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CBE" w:rsidRPr="0034575F" w:rsidRDefault="00A629B7" w:rsidP="001C66B0">
      <w:pPr>
        <w:ind w:hanging="990"/>
        <w:rPr>
          <w:rFonts w:asciiTheme="majorHAnsi" w:hAnsiTheme="majorHAnsi"/>
          <w:b/>
        </w:rPr>
      </w:pPr>
      <w:r w:rsidRPr="0034575F">
        <w:rPr>
          <w:rFonts w:asciiTheme="majorHAnsi" w:hAnsiTheme="majorHAnsi"/>
          <w:b/>
        </w:rPr>
        <w:t>College and Career Readiness Standards for Adult Education (Pimentel, 2013)</w:t>
      </w:r>
    </w:p>
    <w:tbl>
      <w:tblPr>
        <w:tblStyle w:val="TableGrid"/>
        <w:tblW w:w="14940" w:type="dxa"/>
        <w:tblInd w:w="-882" w:type="dxa"/>
        <w:tblLook w:val="04A0" w:firstRow="1" w:lastRow="0" w:firstColumn="1" w:lastColumn="0" w:noHBand="0" w:noVBand="1"/>
        <w:tblCaption w:val="College and Career readiness Standards for Adult Education (Pimentel, 2013)"/>
        <w:tblDescription w:val="This chart shows the anchor standards for the Reading, Writing, Speaking/Listening, and Language domains of the College and Career readiness ELA Standards."/>
      </w:tblPr>
      <w:tblGrid>
        <w:gridCol w:w="4410"/>
        <w:gridCol w:w="4410"/>
        <w:gridCol w:w="3060"/>
        <w:gridCol w:w="3060"/>
      </w:tblGrid>
      <w:tr w:rsidR="006C75F0" w:rsidRPr="006C75F0" w:rsidTr="00562309">
        <w:tc>
          <w:tcPr>
            <w:tcW w:w="4410" w:type="dxa"/>
          </w:tcPr>
          <w:p w:rsidR="00EC0E77" w:rsidRPr="006C75F0" w:rsidRDefault="00EC0E77" w:rsidP="006C75F0">
            <w:pPr>
              <w:jc w:val="center"/>
              <w:rPr>
                <w:rFonts w:asciiTheme="majorHAnsi" w:hAnsiTheme="majorHAnsi"/>
                <w:b/>
                <w:sz w:val="18"/>
                <w:szCs w:val="18"/>
              </w:rPr>
            </w:pPr>
            <w:r w:rsidRPr="006C75F0">
              <w:rPr>
                <w:rFonts w:asciiTheme="majorHAnsi" w:hAnsiTheme="majorHAnsi"/>
                <w:b/>
                <w:sz w:val="18"/>
                <w:szCs w:val="18"/>
              </w:rPr>
              <w:t>Reading</w:t>
            </w:r>
          </w:p>
        </w:tc>
        <w:tc>
          <w:tcPr>
            <w:tcW w:w="4410" w:type="dxa"/>
          </w:tcPr>
          <w:p w:rsidR="00EC0E77" w:rsidRPr="006C75F0" w:rsidRDefault="00790454" w:rsidP="006C75F0">
            <w:pPr>
              <w:jc w:val="center"/>
              <w:rPr>
                <w:rFonts w:asciiTheme="majorHAnsi" w:hAnsiTheme="majorHAnsi"/>
                <w:b/>
                <w:sz w:val="18"/>
                <w:szCs w:val="18"/>
              </w:rPr>
            </w:pPr>
            <w:r w:rsidRPr="006C75F0">
              <w:rPr>
                <w:rFonts w:asciiTheme="majorHAnsi" w:hAnsiTheme="majorHAnsi"/>
                <w:b/>
                <w:sz w:val="18"/>
                <w:szCs w:val="18"/>
              </w:rPr>
              <w:t>Writing</w:t>
            </w:r>
          </w:p>
        </w:tc>
        <w:tc>
          <w:tcPr>
            <w:tcW w:w="3060" w:type="dxa"/>
          </w:tcPr>
          <w:p w:rsidR="00EC0E77" w:rsidRPr="006C75F0" w:rsidRDefault="00790454" w:rsidP="006C75F0">
            <w:pPr>
              <w:jc w:val="center"/>
              <w:rPr>
                <w:rFonts w:asciiTheme="majorHAnsi" w:hAnsiTheme="majorHAnsi"/>
                <w:b/>
                <w:sz w:val="18"/>
                <w:szCs w:val="18"/>
              </w:rPr>
            </w:pPr>
            <w:r w:rsidRPr="006C75F0">
              <w:rPr>
                <w:rFonts w:asciiTheme="majorHAnsi" w:hAnsiTheme="majorHAnsi"/>
                <w:b/>
                <w:sz w:val="18"/>
                <w:szCs w:val="18"/>
              </w:rPr>
              <w:t>Speaking &amp; Listening</w:t>
            </w:r>
          </w:p>
        </w:tc>
        <w:tc>
          <w:tcPr>
            <w:tcW w:w="3060" w:type="dxa"/>
          </w:tcPr>
          <w:p w:rsidR="00EC0E77" w:rsidRPr="006C75F0" w:rsidRDefault="004608B7" w:rsidP="006C75F0">
            <w:pPr>
              <w:jc w:val="center"/>
              <w:rPr>
                <w:rFonts w:asciiTheme="majorHAnsi" w:hAnsiTheme="majorHAnsi"/>
                <w:b/>
                <w:sz w:val="18"/>
                <w:szCs w:val="18"/>
              </w:rPr>
            </w:pPr>
            <w:r w:rsidRPr="006C75F0">
              <w:rPr>
                <w:rFonts w:asciiTheme="majorHAnsi" w:hAnsiTheme="majorHAnsi"/>
                <w:b/>
                <w:sz w:val="18"/>
                <w:szCs w:val="18"/>
              </w:rPr>
              <w:t>Language</w:t>
            </w:r>
          </w:p>
        </w:tc>
      </w:tr>
      <w:tr w:rsidR="006C75F0" w:rsidRPr="006C75F0" w:rsidTr="00562309">
        <w:tc>
          <w:tcPr>
            <w:tcW w:w="4410" w:type="dxa"/>
          </w:tcPr>
          <w:p w:rsidR="00EC0E77" w:rsidRPr="006C75F0" w:rsidRDefault="00EC0E77">
            <w:pPr>
              <w:rPr>
                <w:rFonts w:asciiTheme="majorHAnsi" w:hAnsiTheme="majorHAnsi"/>
                <w:i/>
                <w:sz w:val="18"/>
                <w:szCs w:val="18"/>
              </w:rPr>
            </w:pPr>
            <w:r w:rsidRPr="006C75F0">
              <w:rPr>
                <w:rFonts w:asciiTheme="majorHAnsi" w:hAnsiTheme="majorHAnsi"/>
                <w:b/>
                <w:sz w:val="18"/>
                <w:szCs w:val="18"/>
              </w:rPr>
              <w:t>CCR Anchor 1:</w:t>
            </w:r>
            <w:r w:rsidRPr="006C75F0">
              <w:rPr>
                <w:rFonts w:asciiTheme="majorHAnsi" w:hAnsiTheme="majorHAnsi"/>
                <w:sz w:val="18"/>
                <w:szCs w:val="18"/>
              </w:rPr>
              <w:t xml:space="preserve">  Read closely to determine what the text says explicitly and to make logical inferences from it; cite specific textual evidence when writing or speaking to support conclusions drawn from the text.</w:t>
            </w:r>
            <w:r w:rsidR="000247C5">
              <w:rPr>
                <w:rFonts w:asciiTheme="majorHAnsi" w:hAnsiTheme="majorHAnsi"/>
                <w:sz w:val="18"/>
                <w:szCs w:val="18"/>
              </w:rPr>
              <w:t>*</w:t>
            </w:r>
            <w:r w:rsidRPr="006C75F0">
              <w:rPr>
                <w:rFonts w:asciiTheme="majorHAnsi" w:hAnsiTheme="majorHAnsi"/>
                <w:sz w:val="18"/>
                <w:szCs w:val="18"/>
              </w:rPr>
              <w:t xml:space="preserve"> </w:t>
            </w:r>
          </w:p>
          <w:p w:rsidR="00EC0E77" w:rsidRPr="006C75F0" w:rsidRDefault="00EC0E77">
            <w:pPr>
              <w:rPr>
                <w:rFonts w:asciiTheme="majorHAnsi" w:hAnsiTheme="majorHAnsi"/>
                <w:i/>
                <w:sz w:val="18"/>
                <w:szCs w:val="18"/>
              </w:rPr>
            </w:pPr>
          </w:p>
          <w:p w:rsidR="00EC0E77" w:rsidRPr="006C75F0" w:rsidRDefault="00EC0E77">
            <w:pPr>
              <w:rPr>
                <w:rFonts w:asciiTheme="majorHAnsi" w:hAnsiTheme="majorHAnsi"/>
                <w:sz w:val="18"/>
                <w:szCs w:val="18"/>
              </w:rPr>
            </w:pPr>
            <w:r w:rsidRPr="006C75F0">
              <w:rPr>
                <w:rFonts w:asciiTheme="majorHAnsi" w:hAnsiTheme="majorHAnsi"/>
                <w:b/>
                <w:sz w:val="18"/>
                <w:szCs w:val="18"/>
              </w:rPr>
              <w:t>CCR Anchor 2:</w:t>
            </w:r>
            <w:r w:rsidRPr="006C75F0">
              <w:rPr>
                <w:rFonts w:asciiTheme="majorHAnsi" w:hAnsiTheme="majorHAnsi"/>
                <w:sz w:val="18"/>
                <w:szCs w:val="18"/>
              </w:rPr>
              <w:t xml:space="preserve">  Determine central ideas or themes of a text and analyze their development; summarize the key supporting details and ideas.</w:t>
            </w:r>
            <w:r w:rsidR="000247C5">
              <w:rPr>
                <w:rFonts w:asciiTheme="majorHAnsi" w:hAnsiTheme="majorHAnsi"/>
                <w:sz w:val="18"/>
                <w:szCs w:val="18"/>
              </w:rPr>
              <w:t>*</w:t>
            </w:r>
          </w:p>
          <w:p w:rsidR="00EC0E77" w:rsidRPr="006C75F0" w:rsidRDefault="00EC0E77">
            <w:pPr>
              <w:rPr>
                <w:rFonts w:asciiTheme="majorHAnsi" w:hAnsiTheme="majorHAnsi"/>
                <w:sz w:val="18"/>
                <w:szCs w:val="18"/>
              </w:rPr>
            </w:pPr>
          </w:p>
          <w:p w:rsidR="00EC0E77" w:rsidRPr="006C75F0" w:rsidRDefault="00EC0E77">
            <w:pPr>
              <w:rPr>
                <w:rFonts w:asciiTheme="majorHAnsi" w:hAnsiTheme="majorHAnsi"/>
                <w:sz w:val="18"/>
                <w:szCs w:val="18"/>
              </w:rPr>
            </w:pPr>
            <w:r w:rsidRPr="006C75F0">
              <w:rPr>
                <w:rFonts w:asciiTheme="majorHAnsi" w:hAnsiTheme="majorHAnsi"/>
                <w:b/>
                <w:sz w:val="18"/>
                <w:szCs w:val="18"/>
              </w:rPr>
              <w:t>CCR Anchor 3:</w:t>
            </w:r>
            <w:r w:rsidRPr="006C75F0">
              <w:rPr>
                <w:rFonts w:asciiTheme="majorHAnsi" w:hAnsiTheme="majorHAnsi"/>
                <w:sz w:val="18"/>
                <w:szCs w:val="18"/>
              </w:rPr>
              <w:t xml:space="preserve">  Analyze how and why individuals, even</w:t>
            </w:r>
            <w:r w:rsidR="000247C5">
              <w:rPr>
                <w:rFonts w:asciiTheme="majorHAnsi" w:hAnsiTheme="majorHAnsi"/>
                <w:sz w:val="18"/>
                <w:szCs w:val="18"/>
              </w:rPr>
              <w:t>t</w:t>
            </w:r>
            <w:r w:rsidRPr="006C75F0">
              <w:rPr>
                <w:rFonts w:asciiTheme="majorHAnsi" w:hAnsiTheme="majorHAnsi"/>
                <w:sz w:val="18"/>
                <w:szCs w:val="18"/>
              </w:rPr>
              <w:t>s, and ideas develop and interact over the course of a text.</w:t>
            </w:r>
            <w:r w:rsidR="000247C5">
              <w:rPr>
                <w:rFonts w:asciiTheme="majorHAnsi" w:hAnsiTheme="majorHAnsi"/>
                <w:sz w:val="18"/>
                <w:szCs w:val="18"/>
              </w:rPr>
              <w:t>*</w:t>
            </w:r>
          </w:p>
          <w:p w:rsidR="00EC0E77" w:rsidRPr="006C75F0" w:rsidRDefault="00EC0E77">
            <w:pPr>
              <w:rPr>
                <w:rFonts w:asciiTheme="majorHAnsi" w:hAnsiTheme="majorHAnsi"/>
                <w:sz w:val="18"/>
                <w:szCs w:val="18"/>
              </w:rPr>
            </w:pPr>
          </w:p>
          <w:p w:rsidR="00EC0E77" w:rsidRPr="006C75F0" w:rsidRDefault="006C75F0">
            <w:pPr>
              <w:rPr>
                <w:rFonts w:asciiTheme="majorHAnsi" w:hAnsiTheme="majorHAnsi"/>
                <w:sz w:val="18"/>
                <w:szCs w:val="18"/>
              </w:rPr>
            </w:pPr>
            <w:r w:rsidRPr="006C75F0">
              <w:rPr>
                <w:rFonts w:asciiTheme="majorHAnsi" w:hAnsiTheme="majorHAnsi"/>
                <w:b/>
                <w:sz w:val="18"/>
                <w:szCs w:val="18"/>
              </w:rPr>
              <w:t>CCR Anchor 4:</w:t>
            </w:r>
            <w:r>
              <w:rPr>
                <w:rFonts w:asciiTheme="majorHAnsi" w:hAnsiTheme="majorHAnsi"/>
                <w:sz w:val="18"/>
                <w:szCs w:val="18"/>
              </w:rPr>
              <w:t xml:space="preserve"> </w:t>
            </w:r>
            <w:r w:rsidR="00EC0E77" w:rsidRPr="006C75F0">
              <w:rPr>
                <w:rFonts w:asciiTheme="majorHAnsi" w:hAnsiTheme="majorHAnsi"/>
                <w:sz w:val="18"/>
                <w:szCs w:val="18"/>
              </w:rPr>
              <w:t xml:space="preserve"> Interpret words and phrases as they are used in a text, including determining technical, connotative, and figurative meanings, and analyze how specific word choices shape meaning or tone.</w:t>
            </w:r>
            <w:r w:rsidR="000247C5">
              <w:rPr>
                <w:rFonts w:asciiTheme="majorHAnsi" w:hAnsiTheme="majorHAnsi"/>
                <w:sz w:val="18"/>
                <w:szCs w:val="18"/>
              </w:rPr>
              <w:t>*</w:t>
            </w:r>
          </w:p>
          <w:p w:rsidR="00EC0E77" w:rsidRPr="006C75F0" w:rsidRDefault="00EC0E77">
            <w:pPr>
              <w:rPr>
                <w:rFonts w:asciiTheme="majorHAnsi" w:hAnsiTheme="majorHAnsi"/>
                <w:sz w:val="18"/>
                <w:szCs w:val="18"/>
              </w:rPr>
            </w:pPr>
          </w:p>
          <w:p w:rsidR="00EC0E77" w:rsidRPr="006C75F0" w:rsidRDefault="00EC0E77">
            <w:pPr>
              <w:rPr>
                <w:rFonts w:asciiTheme="majorHAnsi" w:hAnsiTheme="majorHAnsi"/>
                <w:sz w:val="18"/>
                <w:szCs w:val="18"/>
              </w:rPr>
            </w:pPr>
            <w:r w:rsidRPr="006C75F0">
              <w:rPr>
                <w:rFonts w:asciiTheme="majorHAnsi" w:hAnsiTheme="majorHAnsi"/>
                <w:b/>
                <w:sz w:val="18"/>
                <w:szCs w:val="18"/>
              </w:rPr>
              <w:t>CCR Anchor 5:</w:t>
            </w:r>
            <w:r w:rsidRPr="006C75F0">
              <w:rPr>
                <w:rFonts w:asciiTheme="majorHAnsi" w:hAnsiTheme="majorHAnsi"/>
                <w:sz w:val="18"/>
                <w:szCs w:val="18"/>
              </w:rPr>
              <w:t xml:space="preserve"> </w:t>
            </w:r>
            <w:r w:rsidR="006C75F0">
              <w:rPr>
                <w:rFonts w:asciiTheme="majorHAnsi" w:hAnsiTheme="majorHAnsi"/>
                <w:sz w:val="18"/>
                <w:szCs w:val="18"/>
              </w:rPr>
              <w:t xml:space="preserve"> </w:t>
            </w:r>
            <w:r w:rsidRPr="006C75F0">
              <w:rPr>
                <w:rFonts w:asciiTheme="majorHAnsi" w:hAnsiTheme="majorHAnsi"/>
                <w:sz w:val="18"/>
                <w:szCs w:val="18"/>
              </w:rPr>
              <w:t>Analyze the structure of texts, including how specific sentences, paragraphs, and larger portions of the text (e.g., a section, chapter, scene, or stanza) relate to each other and the whole.</w:t>
            </w:r>
            <w:r w:rsidR="000247C5">
              <w:rPr>
                <w:rFonts w:asciiTheme="majorHAnsi" w:hAnsiTheme="majorHAnsi"/>
                <w:sz w:val="18"/>
                <w:szCs w:val="18"/>
              </w:rPr>
              <w:t>*</w:t>
            </w:r>
          </w:p>
          <w:p w:rsidR="00EC0E77" w:rsidRPr="006C75F0" w:rsidRDefault="00EC0E77">
            <w:pPr>
              <w:rPr>
                <w:rFonts w:asciiTheme="majorHAnsi" w:hAnsiTheme="majorHAnsi"/>
                <w:sz w:val="18"/>
                <w:szCs w:val="18"/>
              </w:rPr>
            </w:pPr>
          </w:p>
          <w:p w:rsidR="00EC0E77" w:rsidRPr="006C75F0" w:rsidRDefault="00EC0E77" w:rsidP="00EC0E77">
            <w:pPr>
              <w:rPr>
                <w:rFonts w:asciiTheme="majorHAnsi" w:hAnsiTheme="majorHAnsi"/>
                <w:sz w:val="18"/>
                <w:szCs w:val="18"/>
              </w:rPr>
            </w:pPr>
            <w:r w:rsidRPr="006C75F0">
              <w:rPr>
                <w:rFonts w:asciiTheme="majorHAnsi" w:hAnsiTheme="majorHAnsi"/>
                <w:b/>
                <w:sz w:val="18"/>
                <w:szCs w:val="18"/>
              </w:rPr>
              <w:t>CCR Anchor 6:</w:t>
            </w:r>
            <w:r w:rsidRPr="006C75F0">
              <w:rPr>
                <w:rFonts w:asciiTheme="majorHAnsi" w:hAnsiTheme="majorHAnsi"/>
                <w:sz w:val="18"/>
                <w:szCs w:val="18"/>
              </w:rPr>
              <w:t xml:space="preserve"> </w:t>
            </w:r>
            <w:r w:rsidR="006C75F0">
              <w:rPr>
                <w:rFonts w:asciiTheme="majorHAnsi" w:hAnsiTheme="majorHAnsi"/>
                <w:sz w:val="18"/>
                <w:szCs w:val="18"/>
              </w:rPr>
              <w:t xml:space="preserve"> </w:t>
            </w:r>
            <w:r w:rsidRPr="006C75F0">
              <w:rPr>
                <w:rFonts w:asciiTheme="majorHAnsi" w:hAnsiTheme="majorHAnsi"/>
                <w:sz w:val="18"/>
                <w:szCs w:val="18"/>
              </w:rPr>
              <w:t>Assess how point of view or purpose shapes the content and style of a text.</w:t>
            </w:r>
            <w:r w:rsidR="000247C5">
              <w:rPr>
                <w:rFonts w:asciiTheme="majorHAnsi" w:hAnsiTheme="majorHAnsi"/>
                <w:sz w:val="18"/>
                <w:szCs w:val="18"/>
              </w:rPr>
              <w:t>*</w:t>
            </w:r>
          </w:p>
          <w:p w:rsidR="00EC0E77" w:rsidRPr="006C75F0" w:rsidRDefault="00EC0E77" w:rsidP="00EC0E77">
            <w:pPr>
              <w:rPr>
                <w:rFonts w:asciiTheme="majorHAnsi" w:hAnsiTheme="majorHAnsi"/>
                <w:sz w:val="18"/>
                <w:szCs w:val="18"/>
              </w:rPr>
            </w:pPr>
          </w:p>
          <w:p w:rsidR="00EC0E77" w:rsidRPr="006C75F0" w:rsidRDefault="00EC0E77" w:rsidP="00EC0E77">
            <w:pPr>
              <w:rPr>
                <w:rFonts w:asciiTheme="majorHAnsi" w:hAnsiTheme="majorHAnsi"/>
                <w:sz w:val="18"/>
                <w:szCs w:val="18"/>
              </w:rPr>
            </w:pPr>
            <w:r w:rsidRPr="006C75F0">
              <w:rPr>
                <w:rFonts w:asciiTheme="majorHAnsi" w:hAnsiTheme="majorHAnsi"/>
                <w:b/>
                <w:sz w:val="18"/>
                <w:szCs w:val="18"/>
              </w:rPr>
              <w:t>CCR Anchor 7:</w:t>
            </w:r>
            <w:r w:rsidRPr="006C75F0">
              <w:rPr>
                <w:rFonts w:asciiTheme="majorHAnsi" w:hAnsiTheme="majorHAnsi"/>
                <w:sz w:val="18"/>
                <w:szCs w:val="18"/>
              </w:rPr>
              <w:t xml:space="preserve">  Integrate and evaluate content presented in diverse media and formats, including visually and quantitatively, as well as in words.</w:t>
            </w:r>
            <w:r w:rsidR="000247C5">
              <w:rPr>
                <w:rFonts w:asciiTheme="majorHAnsi" w:hAnsiTheme="majorHAnsi"/>
                <w:sz w:val="18"/>
                <w:szCs w:val="18"/>
              </w:rPr>
              <w:t>*</w:t>
            </w:r>
          </w:p>
          <w:p w:rsidR="00EC0E77" w:rsidRPr="006C75F0" w:rsidRDefault="00EC0E77" w:rsidP="00EC0E77">
            <w:pPr>
              <w:rPr>
                <w:rFonts w:asciiTheme="majorHAnsi" w:hAnsiTheme="majorHAnsi"/>
                <w:sz w:val="18"/>
                <w:szCs w:val="18"/>
              </w:rPr>
            </w:pPr>
          </w:p>
          <w:p w:rsidR="00EC0E77" w:rsidRPr="006C75F0" w:rsidRDefault="00EC0E77" w:rsidP="00EC0E77">
            <w:pPr>
              <w:rPr>
                <w:rFonts w:asciiTheme="majorHAnsi" w:hAnsiTheme="majorHAnsi"/>
                <w:sz w:val="18"/>
                <w:szCs w:val="18"/>
              </w:rPr>
            </w:pPr>
            <w:r w:rsidRPr="006C75F0">
              <w:rPr>
                <w:rFonts w:asciiTheme="majorHAnsi" w:hAnsiTheme="majorHAnsi"/>
                <w:b/>
                <w:sz w:val="18"/>
                <w:szCs w:val="18"/>
              </w:rPr>
              <w:t>CCR Anchor 8:</w:t>
            </w:r>
            <w:r w:rsidRPr="006C75F0">
              <w:rPr>
                <w:rFonts w:asciiTheme="majorHAnsi" w:hAnsiTheme="majorHAnsi"/>
                <w:sz w:val="18"/>
                <w:szCs w:val="18"/>
              </w:rPr>
              <w:t xml:space="preserve">  Delineate and evaluate the argument and specific claims in a text, including the validity of the reasoning as well as the relevance and sufficiency of the evidence.</w:t>
            </w:r>
            <w:r w:rsidR="000247C5">
              <w:rPr>
                <w:rFonts w:asciiTheme="majorHAnsi" w:hAnsiTheme="majorHAnsi"/>
                <w:sz w:val="18"/>
                <w:szCs w:val="18"/>
              </w:rPr>
              <w:t>*</w:t>
            </w:r>
          </w:p>
          <w:p w:rsidR="00BB55AE" w:rsidRPr="006C75F0" w:rsidRDefault="00BB55AE" w:rsidP="00EC0E77">
            <w:pPr>
              <w:rPr>
                <w:rFonts w:asciiTheme="majorHAnsi" w:hAnsiTheme="majorHAnsi"/>
                <w:sz w:val="18"/>
                <w:szCs w:val="18"/>
              </w:rPr>
            </w:pPr>
          </w:p>
          <w:p w:rsidR="00BB55AE" w:rsidRPr="006C75F0" w:rsidRDefault="00BB55AE" w:rsidP="006C75F0">
            <w:pPr>
              <w:rPr>
                <w:rFonts w:asciiTheme="majorHAnsi" w:hAnsiTheme="majorHAnsi"/>
                <w:sz w:val="18"/>
                <w:szCs w:val="18"/>
              </w:rPr>
            </w:pPr>
            <w:r w:rsidRPr="006C75F0">
              <w:rPr>
                <w:rFonts w:asciiTheme="majorHAnsi" w:hAnsiTheme="majorHAnsi"/>
                <w:b/>
                <w:sz w:val="18"/>
                <w:szCs w:val="18"/>
              </w:rPr>
              <w:t>CCR Anchor 9:</w:t>
            </w:r>
            <w:r w:rsidRPr="006C75F0">
              <w:rPr>
                <w:rFonts w:asciiTheme="majorHAnsi" w:hAnsiTheme="majorHAnsi"/>
                <w:sz w:val="18"/>
                <w:szCs w:val="18"/>
              </w:rPr>
              <w:t xml:space="preserve">  Analyze how two or more texts address similar themes or topics in order to build knowledge or to compare the approaches the authors take.</w:t>
            </w:r>
            <w:r w:rsidR="000247C5">
              <w:rPr>
                <w:rFonts w:asciiTheme="majorHAnsi" w:hAnsiTheme="majorHAnsi"/>
                <w:sz w:val="18"/>
                <w:szCs w:val="18"/>
              </w:rPr>
              <w:t>*</w:t>
            </w:r>
          </w:p>
          <w:p w:rsidR="00425DCA" w:rsidRPr="006C75F0" w:rsidRDefault="00425DCA" w:rsidP="00EC0E77">
            <w:pPr>
              <w:rPr>
                <w:rFonts w:asciiTheme="majorHAnsi" w:hAnsiTheme="majorHAnsi"/>
                <w:sz w:val="18"/>
                <w:szCs w:val="18"/>
              </w:rPr>
            </w:pPr>
          </w:p>
          <w:p w:rsidR="00425DCA" w:rsidRDefault="00425DCA" w:rsidP="00EC0E77">
            <w:pPr>
              <w:rPr>
                <w:rFonts w:asciiTheme="majorHAnsi" w:hAnsiTheme="majorHAnsi"/>
                <w:sz w:val="18"/>
                <w:szCs w:val="18"/>
              </w:rPr>
            </w:pPr>
            <w:r w:rsidRPr="006C75F0">
              <w:rPr>
                <w:rFonts w:asciiTheme="majorHAnsi" w:hAnsiTheme="majorHAnsi"/>
                <w:b/>
                <w:sz w:val="18"/>
                <w:szCs w:val="18"/>
              </w:rPr>
              <w:t>CCR Anchor 10:</w:t>
            </w:r>
            <w:r w:rsidRPr="006C75F0">
              <w:rPr>
                <w:rFonts w:asciiTheme="majorHAnsi" w:hAnsiTheme="majorHAnsi"/>
                <w:sz w:val="18"/>
                <w:szCs w:val="18"/>
              </w:rPr>
              <w:t xml:space="preserve">  Read and comprehend complex literary and informational texts independently and proficiently.</w:t>
            </w:r>
          </w:p>
          <w:p w:rsidR="000247C5" w:rsidRDefault="000247C5" w:rsidP="00EC0E77">
            <w:pPr>
              <w:rPr>
                <w:rFonts w:asciiTheme="majorHAnsi" w:hAnsiTheme="majorHAnsi"/>
                <w:i/>
                <w:sz w:val="18"/>
                <w:szCs w:val="18"/>
              </w:rPr>
            </w:pPr>
          </w:p>
          <w:p w:rsidR="00EC0E77" w:rsidRPr="006C75F0" w:rsidRDefault="000247C5">
            <w:pPr>
              <w:rPr>
                <w:rFonts w:asciiTheme="majorHAnsi" w:hAnsiTheme="majorHAnsi"/>
                <w:sz w:val="18"/>
                <w:szCs w:val="18"/>
              </w:rPr>
            </w:pPr>
            <w:r>
              <w:rPr>
                <w:rFonts w:asciiTheme="majorHAnsi" w:hAnsiTheme="majorHAnsi"/>
                <w:i/>
                <w:sz w:val="18"/>
                <w:szCs w:val="18"/>
              </w:rPr>
              <w:t>*</w:t>
            </w:r>
            <w:r w:rsidRPr="006C75F0">
              <w:rPr>
                <w:rFonts w:asciiTheme="majorHAnsi" w:hAnsiTheme="majorHAnsi"/>
                <w:i/>
                <w:sz w:val="18"/>
                <w:szCs w:val="18"/>
              </w:rPr>
              <w:t>Apply this standard to texts of appropriate complexity a</w:t>
            </w:r>
            <w:r>
              <w:rPr>
                <w:rFonts w:asciiTheme="majorHAnsi" w:hAnsiTheme="majorHAnsi"/>
                <w:i/>
                <w:sz w:val="18"/>
                <w:szCs w:val="18"/>
              </w:rPr>
              <w:t>s outlined by Standard 10.</w:t>
            </w:r>
          </w:p>
        </w:tc>
        <w:tc>
          <w:tcPr>
            <w:tcW w:w="4410" w:type="dxa"/>
          </w:tcPr>
          <w:p w:rsidR="00EC0E77" w:rsidRPr="006C75F0" w:rsidRDefault="00C20DF5">
            <w:pPr>
              <w:rPr>
                <w:rFonts w:asciiTheme="majorHAnsi" w:hAnsiTheme="majorHAnsi"/>
                <w:sz w:val="18"/>
                <w:szCs w:val="18"/>
              </w:rPr>
            </w:pPr>
            <w:r w:rsidRPr="006C75F0">
              <w:rPr>
                <w:rFonts w:asciiTheme="majorHAnsi" w:hAnsiTheme="majorHAnsi"/>
                <w:b/>
                <w:sz w:val="18"/>
                <w:szCs w:val="18"/>
              </w:rPr>
              <w:t>CCR Anchor 1:</w:t>
            </w:r>
            <w:r w:rsidRPr="006C75F0">
              <w:rPr>
                <w:rFonts w:asciiTheme="majorHAnsi" w:hAnsiTheme="majorHAnsi"/>
                <w:sz w:val="18"/>
                <w:szCs w:val="18"/>
              </w:rPr>
              <w:t xml:space="preserve">  Write arguments to support claims in an analysis of substantive topics or texts, using valid reasoning and relevant and sufficient evidence.</w:t>
            </w:r>
          </w:p>
          <w:p w:rsidR="00C20DF5" w:rsidRPr="006C75F0" w:rsidRDefault="00C20DF5">
            <w:pPr>
              <w:rPr>
                <w:rFonts w:asciiTheme="majorHAnsi" w:hAnsiTheme="majorHAnsi"/>
                <w:sz w:val="18"/>
                <w:szCs w:val="18"/>
              </w:rPr>
            </w:pPr>
          </w:p>
          <w:p w:rsidR="00C20DF5" w:rsidRPr="006C75F0" w:rsidRDefault="00C20DF5">
            <w:pPr>
              <w:rPr>
                <w:rFonts w:asciiTheme="majorHAnsi" w:hAnsiTheme="majorHAnsi"/>
                <w:sz w:val="18"/>
                <w:szCs w:val="18"/>
              </w:rPr>
            </w:pPr>
            <w:r w:rsidRPr="006C75F0">
              <w:rPr>
                <w:rFonts w:asciiTheme="majorHAnsi" w:hAnsiTheme="majorHAnsi"/>
                <w:b/>
                <w:sz w:val="18"/>
                <w:szCs w:val="18"/>
              </w:rPr>
              <w:t>CCR Anchor 2:</w:t>
            </w:r>
            <w:r w:rsidR="001961DB">
              <w:rPr>
                <w:rFonts w:asciiTheme="majorHAnsi" w:hAnsiTheme="majorHAnsi"/>
                <w:sz w:val="18"/>
                <w:szCs w:val="18"/>
              </w:rPr>
              <w:t xml:space="preserve"> </w:t>
            </w:r>
            <w:r w:rsidR="006C75F0">
              <w:rPr>
                <w:rFonts w:asciiTheme="majorHAnsi" w:hAnsiTheme="majorHAnsi"/>
                <w:sz w:val="18"/>
                <w:szCs w:val="18"/>
              </w:rPr>
              <w:t xml:space="preserve"> </w:t>
            </w:r>
            <w:r w:rsidRPr="006C75F0">
              <w:rPr>
                <w:rFonts w:asciiTheme="majorHAnsi" w:hAnsiTheme="majorHAnsi"/>
                <w:sz w:val="18"/>
                <w:szCs w:val="18"/>
              </w:rPr>
              <w:t>Write informative/explanatory texts to examine and convey complex ideas and information clearly and accurately through the effective selection, organization, and analysis of content.</w:t>
            </w:r>
          </w:p>
          <w:p w:rsidR="00C20DF5" w:rsidRPr="006C75F0" w:rsidRDefault="00C20DF5">
            <w:pPr>
              <w:rPr>
                <w:rFonts w:asciiTheme="majorHAnsi" w:hAnsiTheme="majorHAnsi"/>
                <w:sz w:val="18"/>
                <w:szCs w:val="18"/>
              </w:rPr>
            </w:pPr>
          </w:p>
          <w:p w:rsidR="00C20DF5" w:rsidRPr="006C75F0" w:rsidRDefault="00C20DF5">
            <w:pPr>
              <w:rPr>
                <w:rFonts w:asciiTheme="majorHAnsi" w:hAnsiTheme="majorHAnsi"/>
                <w:sz w:val="18"/>
                <w:szCs w:val="18"/>
              </w:rPr>
            </w:pPr>
            <w:r w:rsidRPr="006C75F0">
              <w:rPr>
                <w:rFonts w:asciiTheme="majorHAnsi" w:hAnsiTheme="majorHAnsi"/>
                <w:b/>
                <w:sz w:val="18"/>
                <w:szCs w:val="18"/>
              </w:rPr>
              <w:t>CCR Anchor 3:</w:t>
            </w:r>
            <w:r w:rsidRPr="006C75F0">
              <w:rPr>
                <w:rFonts w:asciiTheme="majorHAnsi" w:hAnsiTheme="majorHAnsi"/>
                <w:sz w:val="18"/>
                <w:szCs w:val="18"/>
              </w:rPr>
              <w:t xml:space="preserve">  Write narratives to develop real or imagined experiences or events using effective technique, well-chosen details and well-structured event sequence. [not a priority after Level B]</w:t>
            </w:r>
          </w:p>
          <w:p w:rsidR="00C20DF5" w:rsidRPr="006C75F0" w:rsidRDefault="00C20DF5">
            <w:pPr>
              <w:rPr>
                <w:rFonts w:asciiTheme="majorHAnsi" w:hAnsiTheme="majorHAnsi"/>
                <w:sz w:val="18"/>
                <w:szCs w:val="18"/>
              </w:rPr>
            </w:pPr>
          </w:p>
          <w:p w:rsidR="00C20DF5" w:rsidRPr="006C75F0" w:rsidRDefault="00C20DF5">
            <w:pPr>
              <w:rPr>
                <w:rFonts w:asciiTheme="majorHAnsi" w:hAnsiTheme="majorHAnsi"/>
                <w:sz w:val="18"/>
                <w:szCs w:val="18"/>
              </w:rPr>
            </w:pPr>
            <w:r w:rsidRPr="006C75F0">
              <w:rPr>
                <w:rFonts w:asciiTheme="majorHAnsi" w:hAnsiTheme="majorHAnsi"/>
                <w:b/>
                <w:sz w:val="18"/>
                <w:szCs w:val="18"/>
              </w:rPr>
              <w:t xml:space="preserve">CCR Anchor 4:  </w:t>
            </w:r>
            <w:r w:rsidRPr="006C75F0">
              <w:rPr>
                <w:rFonts w:asciiTheme="majorHAnsi" w:hAnsiTheme="majorHAnsi"/>
                <w:sz w:val="18"/>
                <w:szCs w:val="18"/>
              </w:rPr>
              <w:t>Produce clear and coherent writing in which the development, organization, and style are appropriate to task, purpose, and audience.</w:t>
            </w:r>
          </w:p>
          <w:p w:rsidR="00C20DF5" w:rsidRPr="006C75F0" w:rsidRDefault="00C20DF5">
            <w:pPr>
              <w:rPr>
                <w:rFonts w:asciiTheme="majorHAnsi" w:hAnsiTheme="majorHAnsi"/>
                <w:sz w:val="18"/>
                <w:szCs w:val="18"/>
              </w:rPr>
            </w:pPr>
          </w:p>
          <w:p w:rsidR="00C20DF5" w:rsidRPr="006C75F0" w:rsidRDefault="00C20DF5">
            <w:pPr>
              <w:rPr>
                <w:rFonts w:asciiTheme="majorHAnsi" w:hAnsiTheme="majorHAnsi"/>
                <w:sz w:val="18"/>
                <w:szCs w:val="18"/>
              </w:rPr>
            </w:pPr>
            <w:r w:rsidRPr="006C75F0">
              <w:rPr>
                <w:rFonts w:asciiTheme="majorHAnsi" w:hAnsiTheme="majorHAnsi"/>
                <w:b/>
                <w:sz w:val="18"/>
                <w:szCs w:val="18"/>
              </w:rPr>
              <w:t>CCR Anchor 5:</w:t>
            </w:r>
            <w:r w:rsidRPr="006C75F0">
              <w:rPr>
                <w:rFonts w:asciiTheme="majorHAnsi" w:hAnsiTheme="majorHAnsi"/>
                <w:sz w:val="18"/>
                <w:szCs w:val="18"/>
              </w:rPr>
              <w:t xml:space="preserve"> </w:t>
            </w:r>
            <w:r w:rsidR="006C75F0">
              <w:rPr>
                <w:rFonts w:asciiTheme="majorHAnsi" w:hAnsiTheme="majorHAnsi"/>
                <w:sz w:val="18"/>
                <w:szCs w:val="18"/>
              </w:rPr>
              <w:t xml:space="preserve"> </w:t>
            </w:r>
            <w:r w:rsidRPr="006C75F0">
              <w:rPr>
                <w:rFonts w:asciiTheme="majorHAnsi" w:hAnsiTheme="majorHAnsi"/>
                <w:sz w:val="18"/>
                <w:szCs w:val="18"/>
              </w:rPr>
              <w:t>Develop and strengthen writing as needed by planning, revising, editing, rewriting, or trying a new approach.</w:t>
            </w:r>
          </w:p>
          <w:p w:rsidR="00C20DF5" w:rsidRPr="006C75F0" w:rsidRDefault="00C20DF5">
            <w:pPr>
              <w:rPr>
                <w:rFonts w:asciiTheme="majorHAnsi" w:hAnsiTheme="majorHAnsi"/>
                <w:sz w:val="18"/>
                <w:szCs w:val="18"/>
              </w:rPr>
            </w:pPr>
          </w:p>
          <w:p w:rsidR="00C20DF5" w:rsidRPr="006C75F0" w:rsidRDefault="00C20DF5">
            <w:pPr>
              <w:rPr>
                <w:rFonts w:asciiTheme="majorHAnsi" w:hAnsiTheme="majorHAnsi"/>
                <w:sz w:val="18"/>
                <w:szCs w:val="18"/>
              </w:rPr>
            </w:pPr>
            <w:r w:rsidRPr="006C75F0">
              <w:rPr>
                <w:rFonts w:asciiTheme="majorHAnsi" w:hAnsiTheme="majorHAnsi"/>
                <w:b/>
                <w:sz w:val="18"/>
                <w:szCs w:val="18"/>
              </w:rPr>
              <w:t>CCR Anchor 6:</w:t>
            </w:r>
            <w:r w:rsidRPr="006C75F0">
              <w:rPr>
                <w:rFonts w:asciiTheme="majorHAnsi" w:hAnsiTheme="majorHAnsi"/>
                <w:sz w:val="18"/>
                <w:szCs w:val="18"/>
              </w:rPr>
              <w:t xml:space="preserve">  Use technology, including the Internet, to produce and publish writing and to interact and collaborate with others.</w:t>
            </w:r>
          </w:p>
          <w:p w:rsidR="00C20DF5" w:rsidRPr="006C75F0" w:rsidRDefault="00C20DF5">
            <w:pPr>
              <w:rPr>
                <w:rFonts w:asciiTheme="majorHAnsi" w:hAnsiTheme="majorHAnsi"/>
                <w:sz w:val="18"/>
                <w:szCs w:val="18"/>
              </w:rPr>
            </w:pPr>
          </w:p>
          <w:p w:rsidR="00C20DF5" w:rsidRPr="006C75F0" w:rsidRDefault="00C20DF5">
            <w:pPr>
              <w:rPr>
                <w:rFonts w:asciiTheme="majorHAnsi" w:hAnsiTheme="majorHAnsi"/>
                <w:sz w:val="18"/>
                <w:szCs w:val="18"/>
              </w:rPr>
            </w:pPr>
            <w:r w:rsidRPr="006C75F0">
              <w:rPr>
                <w:rFonts w:asciiTheme="majorHAnsi" w:hAnsiTheme="majorHAnsi"/>
                <w:b/>
                <w:sz w:val="18"/>
                <w:szCs w:val="18"/>
              </w:rPr>
              <w:t>CCR Anchor 7:</w:t>
            </w:r>
            <w:r w:rsidRPr="006C75F0">
              <w:rPr>
                <w:rFonts w:asciiTheme="majorHAnsi" w:hAnsiTheme="majorHAnsi"/>
                <w:sz w:val="18"/>
                <w:szCs w:val="18"/>
              </w:rPr>
              <w:t xml:space="preserve">  Conduct short as well as more sustained research projects based on focused questions, demonstrating understanding of the subject</w:t>
            </w:r>
            <w:r w:rsidR="008017B7" w:rsidRPr="006C75F0">
              <w:rPr>
                <w:rFonts w:asciiTheme="majorHAnsi" w:hAnsiTheme="majorHAnsi"/>
                <w:sz w:val="18"/>
                <w:szCs w:val="18"/>
              </w:rPr>
              <w:t xml:space="preserve"> under investigation.</w:t>
            </w:r>
          </w:p>
          <w:p w:rsidR="00603D36" w:rsidRPr="006C75F0" w:rsidRDefault="00603D36">
            <w:pPr>
              <w:rPr>
                <w:rFonts w:asciiTheme="majorHAnsi" w:hAnsiTheme="majorHAnsi"/>
                <w:sz w:val="18"/>
                <w:szCs w:val="18"/>
              </w:rPr>
            </w:pPr>
          </w:p>
          <w:p w:rsidR="00603D36" w:rsidRPr="006C75F0" w:rsidRDefault="00603D36">
            <w:pPr>
              <w:rPr>
                <w:rFonts w:asciiTheme="majorHAnsi" w:hAnsiTheme="majorHAnsi"/>
                <w:sz w:val="18"/>
                <w:szCs w:val="18"/>
              </w:rPr>
            </w:pPr>
            <w:r w:rsidRPr="006C75F0">
              <w:rPr>
                <w:rFonts w:asciiTheme="majorHAnsi" w:hAnsiTheme="majorHAnsi"/>
                <w:b/>
                <w:sz w:val="18"/>
                <w:szCs w:val="18"/>
              </w:rPr>
              <w:t>CCR Anchor 8</w:t>
            </w:r>
            <w:r w:rsidRPr="006C75F0">
              <w:rPr>
                <w:rFonts w:asciiTheme="majorHAnsi" w:hAnsiTheme="majorHAnsi"/>
                <w:sz w:val="18"/>
                <w:szCs w:val="18"/>
              </w:rPr>
              <w:t>:  Gather relevant information from multiple print and digital sources, assess the credibility and accuracy of each source, and integrate the information while avoiding plagiarism.</w:t>
            </w:r>
          </w:p>
          <w:p w:rsidR="00790454" w:rsidRPr="006C75F0" w:rsidRDefault="00790454">
            <w:pPr>
              <w:rPr>
                <w:rFonts w:asciiTheme="majorHAnsi" w:hAnsiTheme="majorHAnsi"/>
                <w:sz w:val="18"/>
                <w:szCs w:val="18"/>
              </w:rPr>
            </w:pPr>
          </w:p>
          <w:p w:rsidR="00790454" w:rsidRPr="006C75F0" w:rsidRDefault="00790454">
            <w:pPr>
              <w:rPr>
                <w:rFonts w:asciiTheme="majorHAnsi" w:hAnsiTheme="majorHAnsi"/>
                <w:sz w:val="18"/>
                <w:szCs w:val="18"/>
              </w:rPr>
            </w:pPr>
            <w:r w:rsidRPr="006C75F0">
              <w:rPr>
                <w:rFonts w:asciiTheme="majorHAnsi" w:hAnsiTheme="majorHAnsi"/>
                <w:b/>
                <w:sz w:val="18"/>
                <w:szCs w:val="18"/>
              </w:rPr>
              <w:t>CCR Anchor 9:</w:t>
            </w:r>
            <w:r w:rsidRPr="006C75F0">
              <w:rPr>
                <w:rFonts w:asciiTheme="majorHAnsi" w:hAnsiTheme="majorHAnsi"/>
                <w:sz w:val="18"/>
                <w:szCs w:val="18"/>
              </w:rPr>
              <w:t xml:space="preserve">  Draw evidence from literary or informational texts to support analysis, reflection, and research.</w:t>
            </w:r>
          </w:p>
          <w:p w:rsidR="00C20DF5" w:rsidRPr="006C75F0" w:rsidRDefault="00C20DF5">
            <w:pPr>
              <w:rPr>
                <w:rFonts w:asciiTheme="majorHAnsi" w:hAnsiTheme="majorHAnsi"/>
                <w:sz w:val="18"/>
                <w:szCs w:val="18"/>
              </w:rPr>
            </w:pPr>
          </w:p>
          <w:p w:rsidR="00C20DF5" w:rsidRPr="006C75F0" w:rsidRDefault="00C20DF5">
            <w:pPr>
              <w:rPr>
                <w:rFonts w:asciiTheme="majorHAnsi" w:hAnsiTheme="majorHAnsi"/>
                <w:sz w:val="18"/>
                <w:szCs w:val="18"/>
              </w:rPr>
            </w:pPr>
          </w:p>
        </w:tc>
        <w:tc>
          <w:tcPr>
            <w:tcW w:w="3060" w:type="dxa"/>
          </w:tcPr>
          <w:p w:rsidR="00EC0E77" w:rsidRPr="006C75F0" w:rsidRDefault="00790454">
            <w:pPr>
              <w:rPr>
                <w:rFonts w:asciiTheme="majorHAnsi" w:hAnsiTheme="majorHAnsi"/>
                <w:sz w:val="18"/>
                <w:szCs w:val="18"/>
              </w:rPr>
            </w:pPr>
            <w:r w:rsidRPr="006C75F0">
              <w:rPr>
                <w:rFonts w:asciiTheme="majorHAnsi" w:hAnsiTheme="majorHAnsi"/>
                <w:b/>
                <w:sz w:val="18"/>
                <w:szCs w:val="18"/>
              </w:rPr>
              <w:t>CCR Anchor 1:</w:t>
            </w:r>
            <w:r w:rsidRPr="006C75F0">
              <w:rPr>
                <w:rFonts w:asciiTheme="majorHAnsi" w:hAnsiTheme="majorHAnsi"/>
                <w:sz w:val="18"/>
                <w:szCs w:val="18"/>
              </w:rPr>
              <w:t xml:space="preserve">  Prepare for and participate effectively in a range of conversations and collaborations with diverse partners, building on others’ ideas and expressing their own clearly and persuasively.</w:t>
            </w:r>
          </w:p>
          <w:p w:rsidR="00790454" w:rsidRPr="006C75F0" w:rsidRDefault="00790454">
            <w:pPr>
              <w:rPr>
                <w:rFonts w:asciiTheme="majorHAnsi" w:hAnsiTheme="majorHAnsi"/>
                <w:sz w:val="18"/>
                <w:szCs w:val="18"/>
              </w:rPr>
            </w:pPr>
          </w:p>
          <w:p w:rsidR="00790454" w:rsidRPr="006C75F0" w:rsidRDefault="00790454" w:rsidP="00790454">
            <w:pPr>
              <w:rPr>
                <w:rFonts w:asciiTheme="majorHAnsi" w:hAnsiTheme="majorHAnsi"/>
                <w:sz w:val="18"/>
                <w:szCs w:val="18"/>
              </w:rPr>
            </w:pPr>
            <w:r w:rsidRPr="006C75F0">
              <w:rPr>
                <w:rFonts w:asciiTheme="majorHAnsi" w:hAnsiTheme="majorHAnsi"/>
                <w:b/>
                <w:sz w:val="18"/>
                <w:szCs w:val="18"/>
              </w:rPr>
              <w:t>CCR Anchor 2:</w:t>
            </w:r>
            <w:r w:rsidRPr="006C75F0">
              <w:rPr>
                <w:rFonts w:asciiTheme="majorHAnsi" w:hAnsiTheme="majorHAnsi"/>
                <w:sz w:val="18"/>
                <w:szCs w:val="18"/>
              </w:rPr>
              <w:t xml:space="preserve">  Integrate and evaluate information presented in diverse media and formats, including visually, quantitatively, and orally.</w:t>
            </w:r>
          </w:p>
          <w:p w:rsidR="00790454" w:rsidRPr="006C75F0" w:rsidRDefault="00790454" w:rsidP="00790454">
            <w:pPr>
              <w:rPr>
                <w:rFonts w:asciiTheme="majorHAnsi" w:hAnsiTheme="majorHAnsi"/>
                <w:sz w:val="18"/>
                <w:szCs w:val="18"/>
              </w:rPr>
            </w:pPr>
          </w:p>
          <w:p w:rsidR="00790454" w:rsidRPr="006C75F0" w:rsidRDefault="00790454" w:rsidP="00790454">
            <w:pPr>
              <w:rPr>
                <w:rFonts w:asciiTheme="majorHAnsi" w:hAnsiTheme="majorHAnsi"/>
                <w:sz w:val="18"/>
                <w:szCs w:val="18"/>
              </w:rPr>
            </w:pPr>
            <w:r w:rsidRPr="006C75F0">
              <w:rPr>
                <w:rFonts w:asciiTheme="majorHAnsi" w:hAnsiTheme="majorHAnsi"/>
                <w:b/>
                <w:sz w:val="18"/>
                <w:szCs w:val="18"/>
              </w:rPr>
              <w:t>CCR Anchor 3:</w:t>
            </w:r>
            <w:r w:rsidRPr="006C75F0">
              <w:rPr>
                <w:rFonts w:asciiTheme="majorHAnsi" w:hAnsiTheme="majorHAnsi"/>
                <w:sz w:val="18"/>
                <w:szCs w:val="18"/>
              </w:rPr>
              <w:t xml:space="preserve">  Evaluate a speaker’s point of view, reasoning, and use of evidence and rhetoric.</w:t>
            </w:r>
          </w:p>
          <w:p w:rsidR="00790454" w:rsidRPr="006C75F0" w:rsidRDefault="00790454" w:rsidP="00790454">
            <w:pPr>
              <w:rPr>
                <w:rFonts w:asciiTheme="majorHAnsi" w:hAnsiTheme="majorHAnsi"/>
                <w:sz w:val="18"/>
                <w:szCs w:val="18"/>
              </w:rPr>
            </w:pPr>
          </w:p>
          <w:p w:rsidR="00790454" w:rsidRPr="006C75F0" w:rsidRDefault="00790454" w:rsidP="00790454">
            <w:pPr>
              <w:rPr>
                <w:rFonts w:asciiTheme="majorHAnsi" w:hAnsiTheme="majorHAnsi"/>
                <w:sz w:val="18"/>
                <w:szCs w:val="18"/>
              </w:rPr>
            </w:pPr>
            <w:r w:rsidRPr="006C75F0">
              <w:rPr>
                <w:rFonts w:asciiTheme="majorHAnsi" w:hAnsiTheme="majorHAnsi"/>
                <w:b/>
                <w:sz w:val="18"/>
                <w:szCs w:val="18"/>
              </w:rPr>
              <w:t xml:space="preserve">CCR Anchor 4:  </w:t>
            </w:r>
            <w:r w:rsidRPr="006C75F0">
              <w:rPr>
                <w:rFonts w:asciiTheme="majorHAnsi" w:hAnsiTheme="majorHAnsi"/>
                <w:sz w:val="18"/>
                <w:szCs w:val="18"/>
              </w:rPr>
              <w:t>Present information, findings, and supporting evidence such that listeners can follow the line of reasoning and the organization, development, and style are appropriate to the task, purpose, and audience.</w:t>
            </w:r>
          </w:p>
          <w:p w:rsidR="00790454" w:rsidRPr="006C75F0" w:rsidRDefault="00790454" w:rsidP="00790454">
            <w:pPr>
              <w:rPr>
                <w:rFonts w:asciiTheme="majorHAnsi" w:hAnsiTheme="majorHAnsi"/>
                <w:sz w:val="18"/>
                <w:szCs w:val="18"/>
              </w:rPr>
            </w:pPr>
          </w:p>
          <w:p w:rsidR="00790454" w:rsidRPr="006C75F0" w:rsidRDefault="00790454" w:rsidP="00790454">
            <w:pPr>
              <w:rPr>
                <w:rFonts w:asciiTheme="majorHAnsi" w:hAnsiTheme="majorHAnsi"/>
                <w:sz w:val="18"/>
                <w:szCs w:val="18"/>
              </w:rPr>
            </w:pPr>
            <w:r w:rsidRPr="006C75F0">
              <w:rPr>
                <w:rFonts w:asciiTheme="majorHAnsi" w:hAnsiTheme="majorHAnsi"/>
                <w:b/>
                <w:sz w:val="18"/>
                <w:szCs w:val="18"/>
              </w:rPr>
              <w:t>CCR Anchor 5:</w:t>
            </w:r>
            <w:r w:rsidRPr="006C75F0">
              <w:rPr>
                <w:rFonts w:asciiTheme="majorHAnsi" w:hAnsiTheme="majorHAnsi"/>
                <w:sz w:val="18"/>
                <w:szCs w:val="18"/>
              </w:rPr>
              <w:t xml:space="preserve">  Make strategic use of digital media and visual displays of data to express information and enhance understanding of presentations.</w:t>
            </w:r>
          </w:p>
          <w:p w:rsidR="00790454" w:rsidRPr="006C75F0" w:rsidRDefault="00790454" w:rsidP="00790454">
            <w:pPr>
              <w:rPr>
                <w:rFonts w:asciiTheme="majorHAnsi" w:hAnsiTheme="majorHAnsi"/>
                <w:sz w:val="18"/>
                <w:szCs w:val="18"/>
              </w:rPr>
            </w:pPr>
          </w:p>
          <w:p w:rsidR="00790454" w:rsidRPr="006C75F0" w:rsidRDefault="00790454" w:rsidP="00790454">
            <w:pPr>
              <w:rPr>
                <w:rFonts w:asciiTheme="majorHAnsi" w:hAnsiTheme="majorHAnsi"/>
                <w:sz w:val="18"/>
                <w:szCs w:val="18"/>
              </w:rPr>
            </w:pPr>
            <w:r w:rsidRPr="006C75F0">
              <w:rPr>
                <w:rFonts w:asciiTheme="majorHAnsi" w:hAnsiTheme="majorHAnsi"/>
                <w:b/>
                <w:sz w:val="18"/>
                <w:szCs w:val="18"/>
              </w:rPr>
              <w:t>CCR Anchor 6:</w:t>
            </w:r>
            <w:r w:rsidRPr="006C75F0">
              <w:rPr>
                <w:rFonts w:asciiTheme="majorHAnsi" w:hAnsiTheme="majorHAnsi"/>
                <w:sz w:val="18"/>
                <w:szCs w:val="18"/>
              </w:rPr>
              <w:t xml:space="preserve">  Adapt speech to a variety of contexts and communicative tasks, demonstrating command of formal English when indicated or appropriate.</w:t>
            </w:r>
          </w:p>
        </w:tc>
        <w:tc>
          <w:tcPr>
            <w:tcW w:w="3060" w:type="dxa"/>
          </w:tcPr>
          <w:p w:rsidR="00EC0E77" w:rsidRPr="006C75F0" w:rsidRDefault="004608B7">
            <w:pPr>
              <w:rPr>
                <w:rFonts w:asciiTheme="majorHAnsi" w:hAnsiTheme="majorHAnsi"/>
                <w:sz w:val="18"/>
                <w:szCs w:val="18"/>
              </w:rPr>
            </w:pPr>
            <w:r w:rsidRPr="006C75F0">
              <w:rPr>
                <w:rFonts w:asciiTheme="majorHAnsi" w:hAnsiTheme="majorHAnsi"/>
                <w:b/>
                <w:sz w:val="18"/>
                <w:szCs w:val="18"/>
              </w:rPr>
              <w:t xml:space="preserve">CCR Anchor 1:  </w:t>
            </w:r>
            <w:r w:rsidRPr="006C75F0">
              <w:rPr>
                <w:rFonts w:asciiTheme="majorHAnsi" w:hAnsiTheme="majorHAnsi"/>
                <w:sz w:val="18"/>
                <w:szCs w:val="18"/>
              </w:rPr>
              <w:t>Demonstrate command of the conventions of standard English grammar and usage when writing or speaking.</w:t>
            </w:r>
          </w:p>
          <w:p w:rsidR="004608B7" w:rsidRPr="006C75F0" w:rsidRDefault="004608B7">
            <w:pPr>
              <w:rPr>
                <w:rFonts w:asciiTheme="majorHAnsi" w:hAnsiTheme="majorHAnsi"/>
                <w:sz w:val="18"/>
                <w:szCs w:val="18"/>
              </w:rPr>
            </w:pPr>
          </w:p>
          <w:p w:rsidR="004608B7" w:rsidRPr="006C75F0" w:rsidRDefault="004608B7">
            <w:pPr>
              <w:rPr>
                <w:rFonts w:asciiTheme="majorHAnsi" w:hAnsiTheme="majorHAnsi"/>
                <w:sz w:val="18"/>
                <w:szCs w:val="18"/>
              </w:rPr>
            </w:pPr>
            <w:r w:rsidRPr="006C75F0">
              <w:rPr>
                <w:rFonts w:asciiTheme="majorHAnsi" w:hAnsiTheme="majorHAnsi"/>
                <w:b/>
                <w:sz w:val="18"/>
                <w:szCs w:val="18"/>
              </w:rPr>
              <w:t>CCR Anchor 2:</w:t>
            </w:r>
            <w:r w:rsidRPr="006C75F0">
              <w:rPr>
                <w:rFonts w:asciiTheme="majorHAnsi" w:hAnsiTheme="majorHAnsi"/>
                <w:sz w:val="18"/>
                <w:szCs w:val="18"/>
              </w:rPr>
              <w:t xml:space="preserve">  </w:t>
            </w:r>
            <w:r w:rsidR="00C40255" w:rsidRPr="006C75F0">
              <w:rPr>
                <w:rFonts w:asciiTheme="majorHAnsi" w:hAnsiTheme="majorHAnsi"/>
                <w:sz w:val="18"/>
                <w:szCs w:val="18"/>
              </w:rPr>
              <w:t>Demonstrate command of the conventions of standard English capitalization, punctuation, and spelling when writing.</w:t>
            </w:r>
          </w:p>
          <w:p w:rsidR="00C40255" w:rsidRPr="006C75F0" w:rsidRDefault="00C40255">
            <w:pPr>
              <w:rPr>
                <w:rFonts w:asciiTheme="majorHAnsi" w:hAnsiTheme="majorHAnsi"/>
                <w:sz w:val="18"/>
                <w:szCs w:val="18"/>
              </w:rPr>
            </w:pPr>
          </w:p>
          <w:p w:rsidR="00C40255" w:rsidRPr="006C75F0" w:rsidRDefault="00C40255">
            <w:pPr>
              <w:rPr>
                <w:rFonts w:asciiTheme="majorHAnsi" w:hAnsiTheme="majorHAnsi"/>
                <w:sz w:val="18"/>
                <w:szCs w:val="18"/>
              </w:rPr>
            </w:pPr>
            <w:r w:rsidRPr="006C75F0">
              <w:rPr>
                <w:rFonts w:asciiTheme="majorHAnsi" w:hAnsiTheme="majorHAnsi"/>
                <w:b/>
                <w:sz w:val="18"/>
                <w:szCs w:val="18"/>
              </w:rPr>
              <w:t>CCR Anchor 3:</w:t>
            </w:r>
            <w:r w:rsidRPr="006C75F0">
              <w:rPr>
                <w:rFonts w:asciiTheme="majorHAnsi" w:hAnsiTheme="majorHAnsi"/>
                <w:sz w:val="18"/>
                <w:szCs w:val="18"/>
              </w:rPr>
              <w:t xml:space="preserve">  Apply knowledge of language to understand how language functions in different contexts, to make effective choices for meaning or style, and to comprehend more fully when reading or listening.</w:t>
            </w:r>
          </w:p>
          <w:p w:rsidR="00C40255" w:rsidRPr="006C75F0" w:rsidRDefault="00C40255">
            <w:pPr>
              <w:rPr>
                <w:rFonts w:asciiTheme="majorHAnsi" w:hAnsiTheme="majorHAnsi"/>
                <w:sz w:val="18"/>
                <w:szCs w:val="18"/>
              </w:rPr>
            </w:pPr>
          </w:p>
          <w:p w:rsidR="00C40255" w:rsidRPr="006C75F0" w:rsidRDefault="00802237">
            <w:pPr>
              <w:rPr>
                <w:rFonts w:asciiTheme="majorHAnsi" w:hAnsiTheme="majorHAnsi"/>
                <w:sz w:val="18"/>
                <w:szCs w:val="18"/>
              </w:rPr>
            </w:pPr>
            <w:r w:rsidRPr="006C75F0">
              <w:rPr>
                <w:rFonts w:asciiTheme="majorHAnsi" w:hAnsiTheme="majorHAnsi"/>
                <w:b/>
                <w:sz w:val="18"/>
                <w:szCs w:val="18"/>
              </w:rPr>
              <w:t xml:space="preserve">CCR Anchor 4:  </w:t>
            </w:r>
            <w:r w:rsidRPr="006C75F0">
              <w:rPr>
                <w:rFonts w:asciiTheme="majorHAnsi" w:hAnsiTheme="majorHAnsi"/>
                <w:sz w:val="18"/>
                <w:szCs w:val="18"/>
              </w:rPr>
              <w:t>Determine or clarify the meaning of unknown and multiple-meaning words and phrases by using context clues, analyzing meaningful word parts, and consulting general and specialized reference materials, as appropriate.</w:t>
            </w:r>
          </w:p>
          <w:p w:rsidR="00802237" w:rsidRPr="006C75F0" w:rsidRDefault="00802237">
            <w:pPr>
              <w:rPr>
                <w:rFonts w:asciiTheme="majorHAnsi" w:hAnsiTheme="majorHAnsi"/>
                <w:sz w:val="18"/>
                <w:szCs w:val="18"/>
              </w:rPr>
            </w:pPr>
          </w:p>
          <w:p w:rsidR="00802237" w:rsidRPr="006C75F0" w:rsidRDefault="00802237">
            <w:pPr>
              <w:rPr>
                <w:rFonts w:asciiTheme="majorHAnsi" w:hAnsiTheme="majorHAnsi"/>
                <w:sz w:val="18"/>
                <w:szCs w:val="18"/>
              </w:rPr>
            </w:pPr>
            <w:r w:rsidRPr="006C75F0">
              <w:rPr>
                <w:rFonts w:asciiTheme="majorHAnsi" w:hAnsiTheme="majorHAnsi"/>
                <w:b/>
                <w:sz w:val="18"/>
                <w:szCs w:val="18"/>
              </w:rPr>
              <w:t>CCR Anchor 5:</w:t>
            </w:r>
            <w:r w:rsidRPr="006C75F0">
              <w:rPr>
                <w:rFonts w:asciiTheme="majorHAnsi" w:hAnsiTheme="majorHAnsi"/>
                <w:sz w:val="18"/>
                <w:szCs w:val="18"/>
              </w:rPr>
              <w:t xml:space="preserve">  Demonstrate understanding of figurative language, word relationships, and nuances in word meanings.</w:t>
            </w:r>
          </w:p>
          <w:p w:rsidR="00802237" w:rsidRPr="006C75F0" w:rsidRDefault="00802237">
            <w:pPr>
              <w:rPr>
                <w:rFonts w:asciiTheme="majorHAnsi" w:hAnsiTheme="majorHAnsi"/>
                <w:sz w:val="18"/>
                <w:szCs w:val="18"/>
              </w:rPr>
            </w:pPr>
          </w:p>
          <w:p w:rsidR="00802237" w:rsidRPr="006C75F0" w:rsidRDefault="00802237">
            <w:pPr>
              <w:rPr>
                <w:rFonts w:asciiTheme="majorHAnsi" w:hAnsiTheme="majorHAnsi"/>
                <w:sz w:val="18"/>
                <w:szCs w:val="18"/>
              </w:rPr>
            </w:pPr>
            <w:r w:rsidRPr="006C75F0">
              <w:rPr>
                <w:rFonts w:asciiTheme="majorHAnsi" w:hAnsiTheme="majorHAnsi"/>
                <w:b/>
                <w:sz w:val="18"/>
                <w:szCs w:val="18"/>
              </w:rPr>
              <w:t>CCR Anchor 6:</w:t>
            </w:r>
            <w:r w:rsidRPr="006C75F0">
              <w:rPr>
                <w:rFonts w:asciiTheme="majorHAnsi" w:hAnsiTheme="majorHAnsi"/>
                <w:sz w:val="18"/>
                <w:szCs w:val="18"/>
              </w:rPr>
              <w:t xml:space="preserve">  Acquire and use accurately a range of general academic and domain-specific words and phrases sufficient for reading, writing, speaking, and listening at the college and career readiness level; demonstrate independence in gathering vocabulary knowledge when encountering a word or phrase important to comprehension or expression.</w:t>
            </w:r>
          </w:p>
        </w:tc>
      </w:tr>
    </w:tbl>
    <w:p w:rsidR="006429B0" w:rsidRDefault="006429B0" w:rsidP="00A629B7">
      <w:pPr>
        <w:ind w:hanging="990"/>
        <w:rPr>
          <w:rFonts w:asciiTheme="majorHAnsi" w:hAnsiTheme="majorHAnsi"/>
          <w:sz w:val="18"/>
          <w:szCs w:val="18"/>
        </w:rPr>
      </w:pPr>
    </w:p>
    <w:p w:rsidR="00A629B7" w:rsidRDefault="00A629B7" w:rsidP="00A629B7">
      <w:pPr>
        <w:ind w:hanging="990"/>
        <w:rPr>
          <w:rFonts w:asciiTheme="majorHAnsi" w:hAnsiTheme="majorHAnsi"/>
          <w:sz w:val="18"/>
          <w:szCs w:val="18"/>
        </w:rPr>
      </w:pPr>
      <w:r>
        <w:rPr>
          <w:rFonts w:asciiTheme="majorHAnsi" w:hAnsiTheme="majorHAnsi"/>
          <w:sz w:val="18"/>
          <w:szCs w:val="18"/>
        </w:rPr>
        <w:t>Prepared by A.R. Trawick</w:t>
      </w:r>
      <w:r w:rsidR="00B40919">
        <w:rPr>
          <w:rFonts w:asciiTheme="majorHAnsi" w:hAnsiTheme="majorHAnsi"/>
          <w:sz w:val="18"/>
          <w:szCs w:val="18"/>
        </w:rPr>
        <w:t xml:space="preserve"> for Massachusetts Department of Elementary and Secondary Education, Adult and Community Learning Services</w:t>
      </w:r>
    </w:p>
    <w:p w:rsidR="00AA7CB1" w:rsidRPr="007C41CC" w:rsidRDefault="00AA7CB1" w:rsidP="00AA7CB1">
      <w:pPr>
        <w:jc w:val="center"/>
        <w:rPr>
          <w:b/>
          <w:sz w:val="22"/>
          <w:szCs w:val="22"/>
        </w:rPr>
      </w:pPr>
      <w:r w:rsidRPr="007C41CC">
        <w:rPr>
          <w:b/>
          <w:sz w:val="22"/>
          <w:szCs w:val="22"/>
        </w:rPr>
        <w:lastRenderedPageBreak/>
        <w:t>College and Career Readiness Standards for Adult Education:  English Language Arts and Literacy</w:t>
      </w:r>
    </w:p>
    <w:p w:rsidR="00AA7CB1" w:rsidRDefault="00AA7CB1" w:rsidP="00AA7CB1">
      <w:pPr>
        <w:rPr>
          <w:sz w:val="22"/>
          <w:szCs w:val="22"/>
        </w:rPr>
      </w:pPr>
    </w:p>
    <w:tbl>
      <w:tblPr>
        <w:tblStyle w:val="TableGrid"/>
        <w:tblpPr w:leftFromText="180" w:rightFromText="180" w:vertAnchor="text" w:horzAnchor="page" w:tblpX="4360" w:tblpY="32"/>
        <w:tblW w:w="0" w:type="auto"/>
        <w:tblLook w:val="04A0" w:firstRow="1" w:lastRow="0" w:firstColumn="1" w:lastColumn="0" w:noHBand="0" w:noVBand="1"/>
        <w:tblCaption w:val="College and Career Readiness Standards for Adult Education (Pimentel, 2013)"/>
        <w:tblDescription w:val="This chart shows the Levels A through E of the College and Career Readiness Standards for Adult Education ELA Standards, along with the levels' corresponding GLE and NRS levels."/>
      </w:tblPr>
      <w:tblGrid>
        <w:gridCol w:w="2070"/>
        <w:gridCol w:w="1530"/>
        <w:gridCol w:w="2448"/>
      </w:tblGrid>
      <w:tr w:rsidR="00AA7CB1" w:rsidRPr="00EA3E0B" w:rsidTr="00AA7CB1">
        <w:tc>
          <w:tcPr>
            <w:tcW w:w="2070" w:type="dxa"/>
          </w:tcPr>
          <w:p w:rsidR="00AA7CB1" w:rsidRPr="007C41CC" w:rsidRDefault="00AA7CB1" w:rsidP="00AA7CB1">
            <w:pPr>
              <w:jc w:val="center"/>
              <w:rPr>
                <w:b/>
                <w:sz w:val="20"/>
                <w:szCs w:val="20"/>
              </w:rPr>
            </w:pPr>
            <w:r w:rsidRPr="007C41CC">
              <w:rPr>
                <w:b/>
                <w:sz w:val="20"/>
                <w:szCs w:val="20"/>
              </w:rPr>
              <w:t>Level</w:t>
            </w:r>
          </w:p>
        </w:tc>
        <w:tc>
          <w:tcPr>
            <w:tcW w:w="1530" w:type="dxa"/>
          </w:tcPr>
          <w:p w:rsidR="00AA7CB1" w:rsidRPr="007C41CC" w:rsidRDefault="00AA7CB1" w:rsidP="00AA7CB1">
            <w:pPr>
              <w:jc w:val="center"/>
              <w:rPr>
                <w:b/>
                <w:sz w:val="20"/>
                <w:szCs w:val="20"/>
              </w:rPr>
            </w:pPr>
            <w:r w:rsidRPr="007C41CC">
              <w:rPr>
                <w:b/>
                <w:sz w:val="20"/>
                <w:szCs w:val="20"/>
              </w:rPr>
              <w:t>GLE Range</w:t>
            </w:r>
          </w:p>
        </w:tc>
        <w:tc>
          <w:tcPr>
            <w:tcW w:w="2448" w:type="dxa"/>
          </w:tcPr>
          <w:p w:rsidR="00AA7CB1" w:rsidRPr="007C41CC" w:rsidRDefault="00AA7CB1" w:rsidP="00AA7CB1">
            <w:pPr>
              <w:jc w:val="center"/>
              <w:rPr>
                <w:b/>
                <w:sz w:val="20"/>
                <w:szCs w:val="20"/>
              </w:rPr>
            </w:pPr>
            <w:r w:rsidRPr="007C41CC">
              <w:rPr>
                <w:b/>
                <w:sz w:val="20"/>
                <w:szCs w:val="20"/>
              </w:rPr>
              <w:t>NRS Level</w:t>
            </w:r>
          </w:p>
        </w:tc>
      </w:tr>
      <w:tr w:rsidR="00AA7CB1" w:rsidRPr="00EA3E0B" w:rsidTr="00AA7CB1">
        <w:tc>
          <w:tcPr>
            <w:tcW w:w="2070" w:type="dxa"/>
          </w:tcPr>
          <w:p w:rsidR="00AA7CB1" w:rsidRPr="007C41CC" w:rsidRDefault="00AA7CB1" w:rsidP="00AA7CB1">
            <w:pPr>
              <w:jc w:val="center"/>
              <w:rPr>
                <w:sz w:val="20"/>
                <w:szCs w:val="20"/>
              </w:rPr>
            </w:pPr>
            <w:bookmarkStart w:id="0" w:name="_GoBack"/>
            <w:r w:rsidRPr="007C41CC">
              <w:rPr>
                <w:sz w:val="20"/>
                <w:szCs w:val="20"/>
              </w:rPr>
              <w:t>A</w:t>
            </w:r>
          </w:p>
        </w:tc>
        <w:tc>
          <w:tcPr>
            <w:tcW w:w="1530" w:type="dxa"/>
          </w:tcPr>
          <w:p w:rsidR="00AA7CB1" w:rsidRPr="007C41CC" w:rsidRDefault="00AA7CB1" w:rsidP="00AA7CB1">
            <w:pPr>
              <w:jc w:val="center"/>
              <w:rPr>
                <w:sz w:val="20"/>
                <w:szCs w:val="20"/>
              </w:rPr>
            </w:pPr>
            <w:r w:rsidRPr="007C41CC">
              <w:rPr>
                <w:sz w:val="20"/>
                <w:szCs w:val="20"/>
              </w:rPr>
              <w:t>K – 1</w:t>
            </w:r>
          </w:p>
        </w:tc>
        <w:tc>
          <w:tcPr>
            <w:tcW w:w="2448" w:type="dxa"/>
          </w:tcPr>
          <w:p w:rsidR="00AA7CB1" w:rsidRPr="007C41CC" w:rsidRDefault="00AA7CB1" w:rsidP="00AA7CB1">
            <w:pPr>
              <w:rPr>
                <w:sz w:val="20"/>
                <w:szCs w:val="20"/>
              </w:rPr>
            </w:pPr>
            <w:r w:rsidRPr="007C41CC">
              <w:rPr>
                <w:sz w:val="20"/>
                <w:szCs w:val="20"/>
              </w:rPr>
              <w:t>Beginning ABE Literacy</w:t>
            </w:r>
          </w:p>
        </w:tc>
      </w:tr>
      <w:tr w:rsidR="00AA7CB1" w:rsidRPr="00EA3E0B" w:rsidTr="00AA7CB1">
        <w:tc>
          <w:tcPr>
            <w:tcW w:w="2070" w:type="dxa"/>
          </w:tcPr>
          <w:p w:rsidR="00AA7CB1" w:rsidRPr="007C41CC" w:rsidRDefault="00AA7CB1" w:rsidP="00AA7CB1">
            <w:pPr>
              <w:jc w:val="center"/>
              <w:rPr>
                <w:sz w:val="20"/>
                <w:szCs w:val="20"/>
              </w:rPr>
            </w:pPr>
            <w:r w:rsidRPr="007C41CC">
              <w:rPr>
                <w:sz w:val="20"/>
                <w:szCs w:val="20"/>
              </w:rPr>
              <w:t>B</w:t>
            </w:r>
          </w:p>
        </w:tc>
        <w:tc>
          <w:tcPr>
            <w:tcW w:w="1530" w:type="dxa"/>
          </w:tcPr>
          <w:p w:rsidR="00AA7CB1" w:rsidRPr="007C41CC" w:rsidRDefault="00AA7CB1" w:rsidP="00AA7CB1">
            <w:pPr>
              <w:jc w:val="center"/>
              <w:rPr>
                <w:sz w:val="20"/>
                <w:szCs w:val="20"/>
              </w:rPr>
            </w:pPr>
            <w:r w:rsidRPr="007C41CC">
              <w:rPr>
                <w:sz w:val="20"/>
                <w:szCs w:val="20"/>
              </w:rPr>
              <w:t>2 – 3</w:t>
            </w:r>
          </w:p>
        </w:tc>
        <w:tc>
          <w:tcPr>
            <w:tcW w:w="2448" w:type="dxa"/>
          </w:tcPr>
          <w:p w:rsidR="00AA7CB1" w:rsidRPr="007C41CC" w:rsidRDefault="00AA7CB1" w:rsidP="00AA7CB1">
            <w:pPr>
              <w:rPr>
                <w:sz w:val="20"/>
                <w:szCs w:val="20"/>
              </w:rPr>
            </w:pPr>
            <w:r w:rsidRPr="007C41CC">
              <w:rPr>
                <w:sz w:val="20"/>
                <w:szCs w:val="20"/>
              </w:rPr>
              <w:t>Beginning ABE</w:t>
            </w:r>
          </w:p>
        </w:tc>
      </w:tr>
      <w:tr w:rsidR="00AA7CB1" w:rsidRPr="00EA3E0B" w:rsidTr="00AA7CB1">
        <w:tc>
          <w:tcPr>
            <w:tcW w:w="2070" w:type="dxa"/>
          </w:tcPr>
          <w:p w:rsidR="00AA7CB1" w:rsidRPr="007C41CC" w:rsidRDefault="00AA7CB1" w:rsidP="00AA7CB1">
            <w:pPr>
              <w:jc w:val="center"/>
              <w:rPr>
                <w:sz w:val="20"/>
                <w:szCs w:val="20"/>
              </w:rPr>
            </w:pPr>
            <w:r w:rsidRPr="007C41CC">
              <w:rPr>
                <w:sz w:val="20"/>
                <w:szCs w:val="20"/>
              </w:rPr>
              <w:t>C</w:t>
            </w:r>
          </w:p>
        </w:tc>
        <w:tc>
          <w:tcPr>
            <w:tcW w:w="1530" w:type="dxa"/>
          </w:tcPr>
          <w:p w:rsidR="00AA7CB1" w:rsidRPr="007C41CC" w:rsidRDefault="00AA7CB1" w:rsidP="00AA7CB1">
            <w:pPr>
              <w:jc w:val="center"/>
              <w:rPr>
                <w:sz w:val="20"/>
                <w:szCs w:val="20"/>
              </w:rPr>
            </w:pPr>
            <w:r w:rsidRPr="007C41CC">
              <w:rPr>
                <w:sz w:val="20"/>
                <w:szCs w:val="20"/>
              </w:rPr>
              <w:t>4 – 5</w:t>
            </w:r>
          </w:p>
        </w:tc>
        <w:tc>
          <w:tcPr>
            <w:tcW w:w="2448" w:type="dxa"/>
          </w:tcPr>
          <w:p w:rsidR="00AA7CB1" w:rsidRPr="007C41CC" w:rsidRDefault="00AA7CB1" w:rsidP="00AA7CB1">
            <w:pPr>
              <w:rPr>
                <w:sz w:val="20"/>
                <w:szCs w:val="20"/>
              </w:rPr>
            </w:pPr>
            <w:r w:rsidRPr="007C41CC">
              <w:rPr>
                <w:sz w:val="20"/>
                <w:szCs w:val="20"/>
              </w:rPr>
              <w:t>Low Intermediate</w:t>
            </w:r>
          </w:p>
        </w:tc>
      </w:tr>
      <w:tr w:rsidR="00AA7CB1" w:rsidRPr="00EA3E0B" w:rsidTr="00AA7CB1">
        <w:tc>
          <w:tcPr>
            <w:tcW w:w="2070" w:type="dxa"/>
          </w:tcPr>
          <w:p w:rsidR="00AA7CB1" w:rsidRPr="007C41CC" w:rsidRDefault="00AA7CB1" w:rsidP="00AA7CB1">
            <w:pPr>
              <w:jc w:val="center"/>
              <w:rPr>
                <w:sz w:val="20"/>
                <w:szCs w:val="20"/>
              </w:rPr>
            </w:pPr>
            <w:r w:rsidRPr="007C41CC">
              <w:rPr>
                <w:sz w:val="20"/>
                <w:szCs w:val="20"/>
              </w:rPr>
              <w:t>D</w:t>
            </w:r>
          </w:p>
        </w:tc>
        <w:tc>
          <w:tcPr>
            <w:tcW w:w="1530" w:type="dxa"/>
          </w:tcPr>
          <w:p w:rsidR="00AA7CB1" w:rsidRPr="007C41CC" w:rsidRDefault="00AA7CB1" w:rsidP="00AA7CB1">
            <w:pPr>
              <w:jc w:val="center"/>
              <w:rPr>
                <w:sz w:val="20"/>
                <w:szCs w:val="20"/>
              </w:rPr>
            </w:pPr>
            <w:r w:rsidRPr="007C41CC">
              <w:rPr>
                <w:sz w:val="20"/>
                <w:szCs w:val="20"/>
              </w:rPr>
              <w:t>6 – 8</w:t>
            </w:r>
          </w:p>
        </w:tc>
        <w:tc>
          <w:tcPr>
            <w:tcW w:w="2448" w:type="dxa"/>
          </w:tcPr>
          <w:p w:rsidR="00AA7CB1" w:rsidRPr="007C41CC" w:rsidRDefault="00AA7CB1" w:rsidP="00AA7CB1">
            <w:pPr>
              <w:rPr>
                <w:sz w:val="20"/>
                <w:szCs w:val="20"/>
              </w:rPr>
            </w:pPr>
            <w:r w:rsidRPr="007C41CC">
              <w:rPr>
                <w:sz w:val="20"/>
                <w:szCs w:val="20"/>
              </w:rPr>
              <w:t>High Intermediate</w:t>
            </w:r>
          </w:p>
        </w:tc>
      </w:tr>
      <w:tr w:rsidR="00AA7CB1" w:rsidRPr="00EA3E0B" w:rsidTr="00AA7CB1">
        <w:trPr>
          <w:trHeight w:val="276"/>
        </w:trPr>
        <w:tc>
          <w:tcPr>
            <w:tcW w:w="2070" w:type="dxa"/>
            <w:vMerge w:val="restart"/>
          </w:tcPr>
          <w:p w:rsidR="00AA7CB1" w:rsidRPr="007C41CC" w:rsidRDefault="00AA7CB1" w:rsidP="00AA7CB1">
            <w:pPr>
              <w:jc w:val="center"/>
              <w:rPr>
                <w:sz w:val="20"/>
                <w:szCs w:val="20"/>
              </w:rPr>
            </w:pPr>
            <w:r w:rsidRPr="007C41CC">
              <w:rPr>
                <w:sz w:val="20"/>
                <w:szCs w:val="20"/>
              </w:rPr>
              <w:t>E</w:t>
            </w:r>
          </w:p>
        </w:tc>
        <w:tc>
          <w:tcPr>
            <w:tcW w:w="1530" w:type="dxa"/>
            <w:vMerge w:val="restart"/>
          </w:tcPr>
          <w:p w:rsidR="00AA7CB1" w:rsidRPr="007C41CC" w:rsidRDefault="00AA7CB1" w:rsidP="00AA7CB1">
            <w:pPr>
              <w:jc w:val="center"/>
              <w:rPr>
                <w:sz w:val="20"/>
                <w:szCs w:val="20"/>
              </w:rPr>
            </w:pPr>
            <w:r w:rsidRPr="007C41CC">
              <w:rPr>
                <w:sz w:val="20"/>
                <w:szCs w:val="20"/>
              </w:rPr>
              <w:t xml:space="preserve">  9 – 12</w:t>
            </w:r>
          </w:p>
        </w:tc>
        <w:tc>
          <w:tcPr>
            <w:tcW w:w="2448" w:type="dxa"/>
          </w:tcPr>
          <w:p w:rsidR="00AA7CB1" w:rsidRPr="007C41CC" w:rsidRDefault="00AA7CB1" w:rsidP="00AA7CB1">
            <w:pPr>
              <w:rPr>
                <w:sz w:val="20"/>
                <w:szCs w:val="20"/>
              </w:rPr>
            </w:pPr>
            <w:r w:rsidRPr="007C41CC">
              <w:rPr>
                <w:sz w:val="20"/>
                <w:szCs w:val="20"/>
              </w:rPr>
              <w:t>Low ASE (GLE 9 - 10.9)</w:t>
            </w:r>
          </w:p>
        </w:tc>
      </w:tr>
      <w:tr w:rsidR="00AA7CB1" w:rsidRPr="00EA3E0B" w:rsidTr="00AA7CB1">
        <w:trPr>
          <w:trHeight w:val="264"/>
        </w:trPr>
        <w:tc>
          <w:tcPr>
            <w:tcW w:w="2070" w:type="dxa"/>
            <w:vMerge/>
          </w:tcPr>
          <w:p w:rsidR="00AA7CB1" w:rsidRPr="007C41CC" w:rsidRDefault="00AA7CB1" w:rsidP="00AA7CB1">
            <w:pPr>
              <w:jc w:val="center"/>
              <w:rPr>
                <w:sz w:val="20"/>
                <w:szCs w:val="20"/>
              </w:rPr>
            </w:pPr>
          </w:p>
        </w:tc>
        <w:tc>
          <w:tcPr>
            <w:tcW w:w="1530" w:type="dxa"/>
            <w:vMerge/>
          </w:tcPr>
          <w:p w:rsidR="00AA7CB1" w:rsidRPr="007C41CC" w:rsidRDefault="00AA7CB1" w:rsidP="00AA7CB1">
            <w:pPr>
              <w:rPr>
                <w:sz w:val="20"/>
                <w:szCs w:val="20"/>
              </w:rPr>
            </w:pPr>
          </w:p>
        </w:tc>
        <w:tc>
          <w:tcPr>
            <w:tcW w:w="2448" w:type="dxa"/>
          </w:tcPr>
          <w:p w:rsidR="00AA7CB1" w:rsidRPr="007C41CC" w:rsidRDefault="00AA7CB1" w:rsidP="00AA7CB1">
            <w:pPr>
              <w:rPr>
                <w:sz w:val="20"/>
                <w:szCs w:val="20"/>
              </w:rPr>
            </w:pPr>
            <w:r w:rsidRPr="007C41CC">
              <w:rPr>
                <w:sz w:val="20"/>
                <w:szCs w:val="20"/>
              </w:rPr>
              <w:t>High ASE (GLE 11 - 12.9)</w:t>
            </w:r>
          </w:p>
        </w:tc>
      </w:tr>
    </w:tbl>
    <w:p w:rsidR="00AA7CB1" w:rsidRPr="007C41CC" w:rsidRDefault="00D16D0A" w:rsidP="00AA7CB1">
      <w:pPr>
        <w:rPr>
          <w:sz w:val="20"/>
          <w:szCs w:val="20"/>
        </w:rPr>
      </w:pPr>
      <w:r>
        <w:rPr>
          <w:b/>
          <w:noProof/>
          <w:sz w:val="20"/>
          <w:szCs w:val="20"/>
          <w:lang w:eastAsia="zh-TW"/>
        </w:rPr>
        <mc:AlternateContent>
          <mc:Choice Requires="wps">
            <w:drawing>
              <wp:anchor distT="0" distB="0" distL="114300" distR="114300" simplePos="0" relativeHeight="251658240" behindDoc="0" locked="0" layoutInCell="1" allowOverlap="1">
                <wp:simplePos x="0" y="0"/>
                <wp:positionH relativeFrom="column">
                  <wp:posOffset>6239510</wp:posOffset>
                </wp:positionH>
                <wp:positionV relativeFrom="paragraph">
                  <wp:posOffset>19685</wp:posOffset>
                </wp:positionV>
                <wp:extent cx="2320290" cy="1300480"/>
                <wp:effectExtent l="10160" t="13970" r="12700" b="9525"/>
                <wp:wrapNone/>
                <wp:docPr id="1" name="Text Box 2" descr="This text box describes the difference between the ELA anchor standards and level-specific standar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1300480"/>
                        </a:xfrm>
                        <a:prstGeom prst="rect">
                          <a:avLst/>
                        </a:prstGeom>
                        <a:solidFill>
                          <a:srgbClr val="FFFFFF"/>
                        </a:solidFill>
                        <a:ln w="9525">
                          <a:solidFill>
                            <a:srgbClr val="000000"/>
                          </a:solidFill>
                          <a:miter lim="800000"/>
                          <a:headEnd/>
                          <a:tailEnd/>
                        </a:ln>
                      </wps:spPr>
                      <wps:txbx>
                        <w:txbxContent>
                          <w:p w:rsidR="00AA7CB1" w:rsidRPr="00C328C0" w:rsidRDefault="00AA7CB1" w:rsidP="00AA7CB1">
                            <w:pPr>
                              <w:rPr>
                                <w:sz w:val="20"/>
                                <w:szCs w:val="20"/>
                              </w:rPr>
                            </w:pPr>
                            <w:r w:rsidRPr="00C328C0">
                              <w:rPr>
                                <w:b/>
                                <w:sz w:val="20"/>
                                <w:szCs w:val="20"/>
                              </w:rPr>
                              <w:t xml:space="preserve">ELA </w:t>
                            </w:r>
                            <w:r w:rsidRPr="00C328C0">
                              <w:rPr>
                                <w:b/>
                                <w:sz w:val="20"/>
                                <w:szCs w:val="20"/>
                                <w:u w:val="single"/>
                              </w:rPr>
                              <w:t>Anchor standards</w:t>
                            </w:r>
                            <w:r w:rsidRPr="00C328C0">
                              <w:rPr>
                                <w:sz w:val="20"/>
                                <w:szCs w:val="20"/>
                              </w:rPr>
                              <w:t xml:space="preserve"> </w:t>
                            </w:r>
                            <w:r>
                              <w:rPr>
                                <w:sz w:val="20"/>
                                <w:szCs w:val="20"/>
                              </w:rPr>
                              <w:t xml:space="preserve">are identical across Levels A – E. Under each Level, there are </w:t>
                            </w:r>
                            <w:r w:rsidRPr="00C328C0">
                              <w:rPr>
                                <w:b/>
                                <w:sz w:val="20"/>
                                <w:szCs w:val="20"/>
                                <w:u w:val="single"/>
                              </w:rPr>
                              <w:t>Level-specific standards</w:t>
                            </w:r>
                            <w:r>
                              <w:rPr>
                                <w:sz w:val="20"/>
                                <w:szCs w:val="20"/>
                              </w:rPr>
                              <w:t xml:space="preserve"> that describe the specific set of skills or strategies learners need to develop and demonstrate at a particular level to meet a more broadly stated Anchor standard.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his text box describes the difference between the ELA anchor standards and level-specific standards." style="position:absolute;margin-left:491.3pt;margin-top:1.55pt;width:182.7pt;height:10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">
                <v:textbox>
                  <w:txbxContent>
                    <w:p w:rsidR="00AA7CB1" w:rsidRPr="00C328C0" w:rsidRDefault="00AA7CB1" w:rsidP="00AA7CB1">
                      <w:pPr>
                        <w:rPr>
                          <w:sz w:val="20"/>
                          <w:szCs w:val="20"/>
                        </w:rPr>
                      </w:pPr>
                      <w:r w:rsidRPr="00C328C0">
                        <w:rPr>
                          <w:b/>
                          <w:sz w:val="20"/>
                          <w:szCs w:val="20"/>
                        </w:rPr>
                        <w:t xml:space="preserve">ELA </w:t>
                      </w:r>
                      <w:r w:rsidRPr="00C328C0">
                        <w:rPr>
                          <w:b/>
                          <w:sz w:val="20"/>
                          <w:szCs w:val="20"/>
                          <w:u w:val="single"/>
                        </w:rPr>
                        <w:t>Anchor standards</w:t>
                      </w:r>
                      <w:r w:rsidRPr="00C328C0">
                        <w:rPr>
                          <w:sz w:val="20"/>
                          <w:szCs w:val="20"/>
                        </w:rPr>
                        <w:t xml:space="preserve"> </w:t>
                      </w:r>
                      <w:r>
                        <w:rPr>
                          <w:sz w:val="20"/>
                          <w:szCs w:val="20"/>
                        </w:rPr>
                        <w:t xml:space="preserve">are identical across Levels A – E. Under each Level, there are </w:t>
                      </w:r>
                      <w:r w:rsidRPr="00C328C0">
                        <w:rPr>
                          <w:b/>
                          <w:sz w:val="20"/>
                          <w:szCs w:val="20"/>
                          <w:u w:val="single"/>
                        </w:rPr>
                        <w:t>Level-specific standards</w:t>
                      </w:r>
                      <w:r>
                        <w:rPr>
                          <w:sz w:val="20"/>
                          <w:szCs w:val="20"/>
                        </w:rPr>
                        <w:t xml:space="preserve"> that describe the specific set of skills or strategies learners need to develop and demonstrate at a particular level to meet a more broadly stated Anchor standard. </w:t>
                      </w:r>
                    </w:p>
                  </w:txbxContent>
                </v:textbox>
              </v:shape>
            </w:pict>
          </mc:Fallback>
        </mc:AlternateContent>
      </w:r>
      <w:r w:rsidR="00AA7CB1" w:rsidRPr="007C41CC">
        <w:rPr>
          <w:b/>
          <w:sz w:val="20"/>
          <w:szCs w:val="20"/>
        </w:rPr>
        <w:t>Standards span five grade-</w:t>
      </w:r>
      <w:bookmarkEnd w:id="0"/>
    </w:p>
    <w:p w:rsidR="00AA7CB1" w:rsidRPr="007C41CC" w:rsidRDefault="00AA7CB1" w:rsidP="00AA7CB1">
      <w:pPr>
        <w:rPr>
          <w:sz w:val="20"/>
          <w:szCs w:val="20"/>
        </w:rPr>
      </w:pPr>
      <w:r w:rsidRPr="007C41CC">
        <w:rPr>
          <w:b/>
          <w:sz w:val="20"/>
          <w:szCs w:val="20"/>
        </w:rPr>
        <w:t>level groupings</w:t>
      </w:r>
      <w:r w:rsidRPr="007C41CC">
        <w:rPr>
          <w:sz w:val="20"/>
          <w:szCs w:val="20"/>
        </w:rPr>
        <w:t>: (</w:t>
      </w:r>
      <w:r>
        <w:rPr>
          <w:sz w:val="20"/>
          <w:szCs w:val="20"/>
        </w:rPr>
        <w:t>S</w:t>
      </w:r>
      <w:r w:rsidRPr="007C41CC">
        <w:rPr>
          <w:sz w:val="20"/>
          <w:szCs w:val="20"/>
        </w:rPr>
        <w:t>ee p. 10)</w:t>
      </w:r>
    </w:p>
    <w:p w:rsidR="00AA7CB1" w:rsidRPr="007C41CC" w:rsidRDefault="00AA7CB1" w:rsidP="00AA7CB1">
      <w:pPr>
        <w:rPr>
          <w:sz w:val="20"/>
          <w:szCs w:val="20"/>
        </w:rPr>
      </w:pPr>
    </w:p>
    <w:p w:rsidR="00AA7CB1" w:rsidRPr="007C41CC" w:rsidRDefault="00AA7CB1" w:rsidP="00AA7CB1">
      <w:pPr>
        <w:rPr>
          <w:b/>
          <w:sz w:val="20"/>
          <w:szCs w:val="20"/>
        </w:rPr>
      </w:pPr>
    </w:p>
    <w:p w:rsidR="00AA7CB1" w:rsidRPr="007C41CC" w:rsidRDefault="00AA7CB1" w:rsidP="00AA7CB1">
      <w:pPr>
        <w:rPr>
          <w:b/>
          <w:sz w:val="20"/>
          <w:szCs w:val="20"/>
        </w:rPr>
      </w:pPr>
    </w:p>
    <w:p w:rsidR="00AA7CB1" w:rsidRPr="007C41CC" w:rsidRDefault="00AA7CB1" w:rsidP="00AA7CB1">
      <w:pPr>
        <w:rPr>
          <w:b/>
          <w:sz w:val="20"/>
          <w:szCs w:val="20"/>
        </w:rPr>
      </w:pPr>
    </w:p>
    <w:p w:rsidR="00AA7CB1" w:rsidRPr="007C41CC" w:rsidRDefault="00AA7CB1" w:rsidP="00AA7CB1">
      <w:pPr>
        <w:rPr>
          <w:b/>
          <w:sz w:val="20"/>
          <w:szCs w:val="20"/>
        </w:rPr>
      </w:pPr>
    </w:p>
    <w:p w:rsidR="00AA7CB1" w:rsidRPr="007C41CC" w:rsidRDefault="00AA7CB1" w:rsidP="00AA7CB1">
      <w:pPr>
        <w:rPr>
          <w:b/>
          <w:sz w:val="20"/>
          <w:szCs w:val="20"/>
        </w:rPr>
      </w:pPr>
    </w:p>
    <w:p w:rsidR="00AA7CB1" w:rsidRPr="007C41CC" w:rsidRDefault="00AA7CB1" w:rsidP="00AA7CB1">
      <w:pPr>
        <w:rPr>
          <w:b/>
          <w:sz w:val="20"/>
          <w:szCs w:val="20"/>
        </w:rPr>
      </w:pPr>
    </w:p>
    <w:p w:rsidR="00AA7CB1" w:rsidRPr="007C41CC" w:rsidRDefault="00AA7CB1" w:rsidP="00AA7CB1">
      <w:pPr>
        <w:rPr>
          <w:b/>
          <w:sz w:val="20"/>
          <w:szCs w:val="20"/>
        </w:rPr>
      </w:pPr>
      <w:r w:rsidRPr="007C41CC">
        <w:rPr>
          <w:b/>
          <w:sz w:val="20"/>
          <w:szCs w:val="20"/>
        </w:rPr>
        <w:t>ELA/Literacy Standards Key</w:t>
      </w:r>
    </w:p>
    <w:p w:rsidR="00AA7CB1" w:rsidRPr="007C41CC" w:rsidRDefault="00AA7CB1" w:rsidP="00AA7CB1">
      <w:pPr>
        <w:rPr>
          <w:sz w:val="20"/>
          <w:szCs w:val="20"/>
        </w:rPr>
      </w:pPr>
      <w:r w:rsidRPr="007C41CC">
        <w:rPr>
          <w:sz w:val="20"/>
          <w:szCs w:val="20"/>
        </w:rPr>
        <w:t xml:space="preserve">The citation at the end of each standard in the CCR Standards charts identifies the </w:t>
      </w:r>
      <w:r w:rsidRPr="007C41CC">
        <w:rPr>
          <w:i/>
          <w:sz w:val="20"/>
          <w:szCs w:val="20"/>
        </w:rPr>
        <w:t>Common Core</w:t>
      </w:r>
      <w:r w:rsidRPr="007C41CC">
        <w:rPr>
          <w:sz w:val="20"/>
          <w:szCs w:val="20"/>
        </w:rPr>
        <w:t xml:space="preserve"> strand, grade, and number (or standard number and letter, where applicable). Examples: </w:t>
      </w:r>
      <w:r w:rsidRPr="007C41CC">
        <w:rPr>
          <w:sz w:val="20"/>
          <w:szCs w:val="20"/>
          <w:u w:val="single"/>
        </w:rPr>
        <w:t>RI.4.3</w:t>
      </w:r>
      <w:r w:rsidRPr="007C41CC">
        <w:rPr>
          <w:sz w:val="20"/>
          <w:szCs w:val="20"/>
        </w:rPr>
        <w:t xml:space="preserve"> stands for Reading, Informational Text, Grade 4, Standard 3; </w:t>
      </w:r>
      <w:r w:rsidRPr="007C41CC">
        <w:rPr>
          <w:sz w:val="20"/>
          <w:szCs w:val="20"/>
          <w:u w:val="single"/>
        </w:rPr>
        <w:t>W.5.1a</w:t>
      </w:r>
      <w:r w:rsidRPr="007C41CC">
        <w:rPr>
          <w:sz w:val="20"/>
          <w:szCs w:val="20"/>
        </w:rPr>
        <w:t xml:space="preserve"> stands for Writing, Grade 5, Standard 1a. (See p. 12).</w:t>
      </w:r>
    </w:p>
    <w:p w:rsidR="00AA7CB1" w:rsidRPr="007C41CC" w:rsidRDefault="00AA7CB1" w:rsidP="00AA7CB1">
      <w:pPr>
        <w:rPr>
          <w:sz w:val="20"/>
          <w:szCs w:val="20"/>
        </w:rPr>
      </w:pPr>
    </w:p>
    <w:tbl>
      <w:tblPr>
        <w:tblStyle w:val="TableGrid"/>
        <w:tblW w:w="0" w:type="auto"/>
        <w:tblLook w:val="04A0" w:firstRow="1" w:lastRow="0" w:firstColumn="1" w:lastColumn="0" w:noHBand="0" w:noVBand="1"/>
        <w:tblCaption w:val="College and Career Readiness Standards for Adult Education (Pimentel, 2013)"/>
        <w:tblDescription w:val="This shart shows a key for the ELA College and Career Readiness Standards."/>
      </w:tblPr>
      <w:tblGrid>
        <w:gridCol w:w="4584"/>
        <w:gridCol w:w="1014"/>
        <w:gridCol w:w="4500"/>
      </w:tblGrid>
      <w:tr w:rsidR="00AA7CB1" w:rsidRPr="007C41CC" w:rsidTr="006A03B1">
        <w:tc>
          <w:tcPr>
            <w:tcW w:w="4584" w:type="dxa"/>
          </w:tcPr>
          <w:p w:rsidR="00AA7CB1" w:rsidRPr="007C41CC" w:rsidRDefault="00AA7CB1" w:rsidP="006A03B1">
            <w:pPr>
              <w:rPr>
                <w:sz w:val="20"/>
                <w:szCs w:val="20"/>
              </w:rPr>
            </w:pPr>
            <w:r w:rsidRPr="007C41CC">
              <w:rPr>
                <w:b/>
                <w:sz w:val="20"/>
                <w:szCs w:val="20"/>
              </w:rPr>
              <w:t>RI</w:t>
            </w:r>
            <w:r w:rsidRPr="007C41CC">
              <w:rPr>
                <w:sz w:val="20"/>
                <w:szCs w:val="20"/>
              </w:rPr>
              <w:t>: Reading Informational Text</w:t>
            </w:r>
          </w:p>
        </w:tc>
        <w:tc>
          <w:tcPr>
            <w:tcW w:w="1014" w:type="dxa"/>
            <w:shd w:val="clear" w:color="auto" w:fill="EEECE1" w:themeFill="background2"/>
          </w:tcPr>
          <w:p w:rsidR="00AA7CB1" w:rsidRPr="007C41CC" w:rsidRDefault="00AA7CB1" w:rsidP="006A03B1">
            <w:pPr>
              <w:rPr>
                <w:sz w:val="20"/>
                <w:szCs w:val="20"/>
              </w:rPr>
            </w:pPr>
          </w:p>
        </w:tc>
        <w:tc>
          <w:tcPr>
            <w:tcW w:w="4500" w:type="dxa"/>
          </w:tcPr>
          <w:p w:rsidR="00AA7CB1" w:rsidRPr="007C41CC" w:rsidRDefault="00AA7CB1" w:rsidP="006A03B1">
            <w:pPr>
              <w:rPr>
                <w:sz w:val="20"/>
                <w:szCs w:val="20"/>
              </w:rPr>
            </w:pPr>
            <w:r w:rsidRPr="007C41CC">
              <w:rPr>
                <w:b/>
                <w:sz w:val="20"/>
                <w:szCs w:val="20"/>
              </w:rPr>
              <w:t>W</w:t>
            </w:r>
            <w:r w:rsidRPr="007C41CC">
              <w:rPr>
                <w:sz w:val="20"/>
                <w:szCs w:val="20"/>
              </w:rPr>
              <w:t>: Writing</w:t>
            </w:r>
          </w:p>
        </w:tc>
      </w:tr>
      <w:tr w:rsidR="00AA7CB1" w:rsidRPr="007C41CC" w:rsidTr="006A03B1">
        <w:tc>
          <w:tcPr>
            <w:tcW w:w="4584" w:type="dxa"/>
          </w:tcPr>
          <w:p w:rsidR="00AA7CB1" w:rsidRPr="007C41CC" w:rsidRDefault="00AA7CB1" w:rsidP="006A03B1">
            <w:pPr>
              <w:rPr>
                <w:sz w:val="20"/>
                <w:szCs w:val="20"/>
              </w:rPr>
            </w:pPr>
            <w:r w:rsidRPr="007C41CC">
              <w:rPr>
                <w:b/>
                <w:sz w:val="20"/>
                <w:szCs w:val="20"/>
              </w:rPr>
              <w:t>RL</w:t>
            </w:r>
            <w:r w:rsidRPr="007C41CC">
              <w:rPr>
                <w:sz w:val="20"/>
                <w:szCs w:val="20"/>
              </w:rPr>
              <w:t>: Reading Literature</w:t>
            </w:r>
          </w:p>
        </w:tc>
        <w:tc>
          <w:tcPr>
            <w:tcW w:w="1014" w:type="dxa"/>
            <w:shd w:val="clear" w:color="auto" w:fill="EEECE1" w:themeFill="background2"/>
          </w:tcPr>
          <w:p w:rsidR="00AA7CB1" w:rsidRPr="007C41CC" w:rsidRDefault="00AA7CB1" w:rsidP="006A03B1">
            <w:pPr>
              <w:rPr>
                <w:sz w:val="20"/>
                <w:szCs w:val="20"/>
              </w:rPr>
            </w:pPr>
          </w:p>
        </w:tc>
        <w:tc>
          <w:tcPr>
            <w:tcW w:w="4500" w:type="dxa"/>
          </w:tcPr>
          <w:p w:rsidR="00AA7CB1" w:rsidRPr="007C41CC" w:rsidRDefault="00AA7CB1" w:rsidP="006A03B1">
            <w:pPr>
              <w:rPr>
                <w:sz w:val="20"/>
                <w:szCs w:val="20"/>
              </w:rPr>
            </w:pPr>
            <w:r w:rsidRPr="007C41CC">
              <w:rPr>
                <w:b/>
                <w:sz w:val="20"/>
                <w:szCs w:val="20"/>
              </w:rPr>
              <w:t>WHST</w:t>
            </w:r>
            <w:r w:rsidRPr="007C41CC">
              <w:rPr>
                <w:sz w:val="20"/>
                <w:szCs w:val="20"/>
              </w:rPr>
              <w:t>: Writing for History/Social Studies, Scientific and Technical Subjects</w:t>
            </w:r>
          </w:p>
        </w:tc>
      </w:tr>
      <w:tr w:rsidR="00AA7CB1" w:rsidRPr="007C41CC" w:rsidTr="006A03B1">
        <w:tc>
          <w:tcPr>
            <w:tcW w:w="4584" w:type="dxa"/>
          </w:tcPr>
          <w:p w:rsidR="00AA7CB1" w:rsidRPr="007C41CC" w:rsidRDefault="00AA7CB1" w:rsidP="006A03B1">
            <w:pPr>
              <w:rPr>
                <w:sz w:val="20"/>
                <w:szCs w:val="20"/>
              </w:rPr>
            </w:pPr>
            <w:r w:rsidRPr="007C41CC">
              <w:rPr>
                <w:b/>
                <w:sz w:val="20"/>
                <w:szCs w:val="20"/>
              </w:rPr>
              <w:t>RH</w:t>
            </w:r>
            <w:r w:rsidRPr="007C41CC">
              <w:rPr>
                <w:sz w:val="20"/>
                <w:szCs w:val="20"/>
              </w:rPr>
              <w:t>: Reading Historical/Social Studies Text</w:t>
            </w:r>
          </w:p>
        </w:tc>
        <w:tc>
          <w:tcPr>
            <w:tcW w:w="1014" w:type="dxa"/>
            <w:shd w:val="clear" w:color="auto" w:fill="EEECE1" w:themeFill="background2"/>
          </w:tcPr>
          <w:p w:rsidR="00AA7CB1" w:rsidRPr="007C41CC" w:rsidRDefault="00AA7CB1" w:rsidP="006A03B1">
            <w:pPr>
              <w:rPr>
                <w:sz w:val="20"/>
                <w:szCs w:val="20"/>
              </w:rPr>
            </w:pPr>
          </w:p>
        </w:tc>
        <w:tc>
          <w:tcPr>
            <w:tcW w:w="4500" w:type="dxa"/>
          </w:tcPr>
          <w:p w:rsidR="00AA7CB1" w:rsidRPr="007C41CC" w:rsidRDefault="00AA7CB1" w:rsidP="006A03B1">
            <w:pPr>
              <w:rPr>
                <w:sz w:val="20"/>
                <w:szCs w:val="20"/>
              </w:rPr>
            </w:pPr>
            <w:r w:rsidRPr="007C41CC">
              <w:rPr>
                <w:b/>
                <w:sz w:val="20"/>
                <w:szCs w:val="20"/>
              </w:rPr>
              <w:t>SL</w:t>
            </w:r>
            <w:r w:rsidRPr="007C41CC">
              <w:rPr>
                <w:sz w:val="20"/>
                <w:szCs w:val="20"/>
              </w:rPr>
              <w:t>: Speaking and Listening</w:t>
            </w:r>
          </w:p>
        </w:tc>
      </w:tr>
      <w:tr w:rsidR="00AA7CB1" w:rsidRPr="007C41CC" w:rsidTr="006A03B1">
        <w:tc>
          <w:tcPr>
            <w:tcW w:w="4584" w:type="dxa"/>
          </w:tcPr>
          <w:p w:rsidR="00AA7CB1" w:rsidRPr="007C41CC" w:rsidRDefault="00AA7CB1" w:rsidP="006A03B1">
            <w:pPr>
              <w:rPr>
                <w:sz w:val="20"/>
                <w:szCs w:val="20"/>
              </w:rPr>
            </w:pPr>
            <w:r w:rsidRPr="007C41CC">
              <w:rPr>
                <w:b/>
                <w:sz w:val="20"/>
                <w:szCs w:val="20"/>
              </w:rPr>
              <w:t>RST</w:t>
            </w:r>
            <w:r w:rsidRPr="007C41CC">
              <w:rPr>
                <w:sz w:val="20"/>
                <w:szCs w:val="20"/>
              </w:rPr>
              <w:t>: Reading Scientific and Technical Text</w:t>
            </w:r>
          </w:p>
        </w:tc>
        <w:tc>
          <w:tcPr>
            <w:tcW w:w="1014" w:type="dxa"/>
            <w:shd w:val="clear" w:color="auto" w:fill="EEECE1" w:themeFill="background2"/>
          </w:tcPr>
          <w:p w:rsidR="00AA7CB1" w:rsidRPr="007C41CC" w:rsidRDefault="00AA7CB1" w:rsidP="006A03B1">
            <w:pPr>
              <w:rPr>
                <w:sz w:val="20"/>
                <w:szCs w:val="20"/>
              </w:rPr>
            </w:pPr>
          </w:p>
        </w:tc>
        <w:tc>
          <w:tcPr>
            <w:tcW w:w="4500" w:type="dxa"/>
          </w:tcPr>
          <w:p w:rsidR="00AA7CB1" w:rsidRPr="007C41CC" w:rsidRDefault="00AA7CB1" w:rsidP="006A03B1">
            <w:pPr>
              <w:rPr>
                <w:sz w:val="20"/>
                <w:szCs w:val="20"/>
              </w:rPr>
            </w:pPr>
            <w:r w:rsidRPr="007C41CC">
              <w:rPr>
                <w:b/>
                <w:sz w:val="20"/>
                <w:szCs w:val="20"/>
              </w:rPr>
              <w:t>L</w:t>
            </w:r>
            <w:r w:rsidRPr="007C41CC">
              <w:rPr>
                <w:sz w:val="20"/>
                <w:szCs w:val="20"/>
              </w:rPr>
              <w:t>: Language</w:t>
            </w:r>
          </w:p>
        </w:tc>
      </w:tr>
      <w:tr w:rsidR="00AA7CB1" w:rsidRPr="007C41CC" w:rsidTr="006A03B1">
        <w:tc>
          <w:tcPr>
            <w:tcW w:w="4584" w:type="dxa"/>
            <w:shd w:val="clear" w:color="auto" w:fill="EEECE1" w:themeFill="background2"/>
          </w:tcPr>
          <w:p w:rsidR="00AA7CB1" w:rsidRPr="007C41CC" w:rsidRDefault="00AA7CB1" w:rsidP="006A03B1">
            <w:pPr>
              <w:rPr>
                <w:sz w:val="20"/>
                <w:szCs w:val="20"/>
              </w:rPr>
            </w:pPr>
          </w:p>
        </w:tc>
        <w:tc>
          <w:tcPr>
            <w:tcW w:w="1014" w:type="dxa"/>
            <w:shd w:val="clear" w:color="auto" w:fill="EEECE1" w:themeFill="background2"/>
          </w:tcPr>
          <w:p w:rsidR="00AA7CB1" w:rsidRPr="007C41CC" w:rsidRDefault="00AA7CB1" w:rsidP="006A03B1">
            <w:pPr>
              <w:rPr>
                <w:sz w:val="20"/>
                <w:szCs w:val="20"/>
              </w:rPr>
            </w:pPr>
          </w:p>
        </w:tc>
        <w:tc>
          <w:tcPr>
            <w:tcW w:w="4500" w:type="dxa"/>
          </w:tcPr>
          <w:p w:rsidR="00AA7CB1" w:rsidRPr="007C41CC" w:rsidRDefault="00AA7CB1" w:rsidP="006A03B1">
            <w:pPr>
              <w:rPr>
                <w:sz w:val="20"/>
                <w:szCs w:val="20"/>
              </w:rPr>
            </w:pPr>
            <w:r w:rsidRPr="007C41CC">
              <w:rPr>
                <w:b/>
                <w:sz w:val="20"/>
                <w:szCs w:val="20"/>
              </w:rPr>
              <w:t>RF</w:t>
            </w:r>
            <w:r w:rsidRPr="007C41CC">
              <w:rPr>
                <w:sz w:val="20"/>
                <w:szCs w:val="20"/>
              </w:rPr>
              <w:t>: Reading Foundations</w:t>
            </w:r>
          </w:p>
        </w:tc>
      </w:tr>
    </w:tbl>
    <w:p w:rsidR="00AA7CB1" w:rsidRPr="007C41CC" w:rsidRDefault="00AA7CB1" w:rsidP="00AA7CB1">
      <w:pPr>
        <w:rPr>
          <w:sz w:val="20"/>
          <w:szCs w:val="20"/>
        </w:rPr>
      </w:pPr>
    </w:p>
    <w:p w:rsidR="00AA7CB1" w:rsidRPr="007C41CC" w:rsidRDefault="00AA7CB1" w:rsidP="00AA7CB1">
      <w:pPr>
        <w:rPr>
          <w:sz w:val="20"/>
          <w:szCs w:val="20"/>
        </w:rPr>
      </w:pPr>
      <w:r w:rsidRPr="007C41CC">
        <w:rPr>
          <w:b/>
          <w:sz w:val="20"/>
          <w:szCs w:val="20"/>
        </w:rPr>
        <w:t>Three Main Instructional Shifts for ELA/Literacy</w:t>
      </w:r>
      <w:r w:rsidRPr="007C41CC">
        <w:rPr>
          <w:sz w:val="20"/>
          <w:szCs w:val="20"/>
        </w:rPr>
        <w:t>:</w:t>
      </w:r>
    </w:p>
    <w:tbl>
      <w:tblPr>
        <w:tblStyle w:val="TableGrid"/>
        <w:tblW w:w="0" w:type="auto"/>
        <w:tblLook w:val="04A0" w:firstRow="1" w:lastRow="0" w:firstColumn="1" w:lastColumn="0" w:noHBand="0" w:noVBand="1"/>
        <w:tblCaption w:val="College and Career Readiness Standards for Adult Education (Pimentel, 2013)"/>
        <w:tblDescription w:val="This chart shows the three main &quot;Instrucitonal Shifts&quot; for the ELA College and Career Readiness Standards. "/>
      </w:tblPr>
      <w:tblGrid>
        <w:gridCol w:w="4324"/>
        <w:gridCol w:w="9274"/>
      </w:tblGrid>
      <w:tr w:rsidR="00AA7CB1" w:rsidRPr="007C41CC" w:rsidTr="006A03B1">
        <w:tc>
          <w:tcPr>
            <w:tcW w:w="4608" w:type="dxa"/>
          </w:tcPr>
          <w:p w:rsidR="00B40919" w:rsidRDefault="00AA7CB1" w:rsidP="006A03B1">
            <w:pPr>
              <w:rPr>
                <w:sz w:val="20"/>
                <w:szCs w:val="20"/>
              </w:rPr>
            </w:pPr>
            <w:r w:rsidRPr="007C41CC">
              <w:rPr>
                <w:sz w:val="20"/>
                <w:szCs w:val="20"/>
                <w:u w:val="single"/>
              </w:rPr>
              <w:t>Shift 1</w:t>
            </w:r>
            <w:r w:rsidRPr="007C41CC">
              <w:rPr>
                <w:sz w:val="20"/>
                <w:szCs w:val="20"/>
              </w:rPr>
              <w:t xml:space="preserve">: </w:t>
            </w:r>
            <w:r w:rsidRPr="007C41CC">
              <w:rPr>
                <w:b/>
                <w:sz w:val="20"/>
                <w:szCs w:val="20"/>
              </w:rPr>
              <w:t>Complexity</w:t>
            </w:r>
            <w:r w:rsidRPr="007C41CC">
              <w:rPr>
                <w:sz w:val="20"/>
                <w:szCs w:val="20"/>
              </w:rPr>
              <w:t xml:space="preserve"> (Regular practice with complex text and its academic language</w:t>
            </w:r>
            <w:r>
              <w:rPr>
                <w:sz w:val="20"/>
                <w:szCs w:val="20"/>
              </w:rPr>
              <w:t>; see</w:t>
            </w:r>
            <w:r w:rsidRPr="007C41CC">
              <w:rPr>
                <w:sz w:val="20"/>
                <w:szCs w:val="20"/>
              </w:rPr>
              <w:t xml:space="preserve"> </w:t>
            </w:r>
          </w:p>
          <w:p w:rsidR="00AA7CB1" w:rsidRPr="007C41CC" w:rsidRDefault="00AA7CB1" w:rsidP="006A03B1">
            <w:pPr>
              <w:rPr>
                <w:sz w:val="20"/>
                <w:szCs w:val="20"/>
                <w:u w:val="single"/>
              </w:rPr>
            </w:pPr>
            <w:r w:rsidRPr="007C41CC">
              <w:rPr>
                <w:sz w:val="20"/>
                <w:szCs w:val="20"/>
              </w:rPr>
              <w:t>p. 9)</w:t>
            </w:r>
          </w:p>
        </w:tc>
        <w:tc>
          <w:tcPr>
            <w:tcW w:w="10008" w:type="dxa"/>
          </w:tcPr>
          <w:p w:rsidR="00AA7CB1" w:rsidRPr="007C41CC" w:rsidRDefault="00AA7CB1" w:rsidP="006A03B1">
            <w:pPr>
              <w:rPr>
                <w:sz w:val="20"/>
                <w:szCs w:val="20"/>
              </w:rPr>
            </w:pPr>
            <w:r w:rsidRPr="007C41CC">
              <w:rPr>
                <w:sz w:val="20"/>
                <w:szCs w:val="20"/>
              </w:rPr>
              <w:t xml:space="preserve">Research indicates that the complexity of text that students are able to read is the greatest predictor of success in college and careers (ACT 2006). There is a 4 grade-level gap between secondary texts and college/career texts (Williamson 2006).  Focus is on exposing students to appropriately complex texts in instruction and assessment. </w:t>
            </w:r>
            <w:r w:rsidRPr="007C41CC">
              <w:rPr>
                <w:i/>
                <w:sz w:val="20"/>
                <w:szCs w:val="20"/>
              </w:rPr>
              <w:t>Reading Standard 10</w:t>
            </w:r>
            <w:r w:rsidRPr="007C41CC">
              <w:rPr>
                <w:sz w:val="20"/>
                <w:szCs w:val="20"/>
              </w:rPr>
              <w:t xml:space="preserve"> shows a staircase of increasing textual complexity for students to read independently and proficiently. Focus also on frequently encountered </w:t>
            </w:r>
            <w:r w:rsidRPr="007C41CC">
              <w:rPr>
                <w:sz w:val="20"/>
                <w:szCs w:val="20"/>
                <w:u w:val="single"/>
              </w:rPr>
              <w:t>academic vocabulary</w:t>
            </w:r>
            <w:r w:rsidRPr="007C41CC">
              <w:rPr>
                <w:sz w:val="20"/>
                <w:szCs w:val="20"/>
              </w:rPr>
              <w:t xml:space="preserve"> (language common to complex texts across literature, science, history, and the arts. </w:t>
            </w:r>
            <w:r w:rsidRPr="007C41CC">
              <w:rPr>
                <w:i/>
                <w:sz w:val="20"/>
                <w:szCs w:val="20"/>
              </w:rPr>
              <w:t>Reading Standard 4</w:t>
            </w:r>
            <w:r w:rsidRPr="007C41CC">
              <w:rPr>
                <w:sz w:val="20"/>
                <w:szCs w:val="20"/>
              </w:rPr>
              <w:t xml:space="preserve"> and </w:t>
            </w:r>
            <w:r w:rsidRPr="007C41CC">
              <w:rPr>
                <w:i/>
                <w:sz w:val="20"/>
                <w:szCs w:val="20"/>
              </w:rPr>
              <w:t>Language Standard 6</w:t>
            </w:r>
            <w:r w:rsidRPr="007C41CC">
              <w:rPr>
                <w:sz w:val="20"/>
                <w:szCs w:val="20"/>
              </w:rPr>
              <w:t xml:space="preserve"> focus on academic (</w:t>
            </w:r>
            <w:r w:rsidRPr="007C41CC">
              <w:rPr>
                <w:sz w:val="20"/>
                <w:szCs w:val="20"/>
                <w:u w:val="single"/>
              </w:rPr>
              <w:t>e.g., Tier 2</w:t>
            </w:r>
            <w:r w:rsidRPr="007C41CC">
              <w:rPr>
                <w:sz w:val="20"/>
                <w:szCs w:val="20"/>
              </w:rPr>
              <w:t xml:space="preserve">) vocabulary. </w:t>
            </w:r>
          </w:p>
        </w:tc>
      </w:tr>
      <w:tr w:rsidR="00AA7CB1" w:rsidRPr="007C41CC" w:rsidTr="006A03B1">
        <w:tc>
          <w:tcPr>
            <w:tcW w:w="4608" w:type="dxa"/>
          </w:tcPr>
          <w:p w:rsidR="00AA7CB1" w:rsidRPr="007C41CC" w:rsidRDefault="00AA7CB1" w:rsidP="006A03B1">
            <w:pPr>
              <w:rPr>
                <w:sz w:val="20"/>
                <w:szCs w:val="20"/>
                <w:u w:val="single"/>
              </w:rPr>
            </w:pPr>
            <w:r w:rsidRPr="007C41CC">
              <w:rPr>
                <w:sz w:val="20"/>
                <w:szCs w:val="20"/>
                <w:u w:val="single"/>
              </w:rPr>
              <w:t>Shift 2</w:t>
            </w:r>
            <w:r w:rsidRPr="007C41CC">
              <w:rPr>
                <w:sz w:val="20"/>
                <w:szCs w:val="20"/>
              </w:rPr>
              <w:t xml:space="preserve">: </w:t>
            </w:r>
            <w:r w:rsidRPr="007C41CC">
              <w:rPr>
                <w:b/>
                <w:sz w:val="20"/>
                <w:szCs w:val="20"/>
              </w:rPr>
              <w:t>Evidence</w:t>
            </w:r>
            <w:r w:rsidRPr="007C41CC">
              <w:rPr>
                <w:sz w:val="20"/>
                <w:szCs w:val="20"/>
              </w:rPr>
              <w:t xml:space="preserve"> (Reading, writing, and speaking grounded in evidence from the text, both literary and informational</w:t>
            </w:r>
            <w:r>
              <w:rPr>
                <w:sz w:val="20"/>
                <w:szCs w:val="20"/>
              </w:rPr>
              <w:t xml:space="preserve">; see </w:t>
            </w:r>
            <w:r w:rsidRPr="007C41CC">
              <w:rPr>
                <w:sz w:val="20"/>
                <w:szCs w:val="20"/>
              </w:rPr>
              <w:t>p. 10)</w:t>
            </w:r>
          </w:p>
        </w:tc>
        <w:tc>
          <w:tcPr>
            <w:tcW w:w="10008" w:type="dxa"/>
          </w:tcPr>
          <w:p w:rsidR="00AA7CB1" w:rsidRPr="007C41CC" w:rsidRDefault="00AA7CB1" w:rsidP="006A03B1">
            <w:pPr>
              <w:rPr>
                <w:sz w:val="20"/>
                <w:szCs w:val="20"/>
              </w:rPr>
            </w:pPr>
            <w:r w:rsidRPr="007C41CC">
              <w:rPr>
                <w:sz w:val="20"/>
                <w:szCs w:val="20"/>
                <w:u w:val="single"/>
              </w:rPr>
              <w:t>For reading</w:t>
            </w:r>
            <w:r w:rsidRPr="007C41CC">
              <w:rPr>
                <w:sz w:val="20"/>
                <w:szCs w:val="20"/>
              </w:rPr>
              <w:t xml:space="preserve">, the focus is on students’ ability to cite evidence from texts to present careful analyses, well-defended claims, and clear information as described in </w:t>
            </w:r>
            <w:r w:rsidRPr="007C41CC">
              <w:rPr>
                <w:i/>
                <w:sz w:val="20"/>
                <w:szCs w:val="20"/>
              </w:rPr>
              <w:t>Reading Standard 1</w:t>
            </w:r>
            <w:r w:rsidRPr="007C41CC">
              <w:rPr>
                <w:sz w:val="20"/>
                <w:szCs w:val="20"/>
              </w:rPr>
              <w:t xml:space="preserve">. </w:t>
            </w:r>
            <w:r w:rsidRPr="007C41CC">
              <w:rPr>
                <w:sz w:val="20"/>
                <w:szCs w:val="20"/>
                <w:u w:val="single"/>
              </w:rPr>
              <w:t>For writing</w:t>
            </w:r>
            <w:r w:rsidRPr="007C41CC">
              <w:rPr>
                <w:sz w:val="20"/>
                <w:szCs w:val="20"/>
              </w:rPr>
              <w:t xml:space="preserve">, the focus is on analyzing sources and conducting research, as described in </w:t>
            </w:r>
            <w:r w:rsidRPr="007C41CC">
              <w:rPr>
                <w:i/>
                <w:sz w:val="20"/>
                <w:szCs w:val="20"/>
              </w:rPr>
              <w:t>Writing Standards 7-9</w:t>
            </w:r>
            <w:r w:rsidRPr="007C41CC">
              <w:rPr>
                <w:sz w:val="20"/>
                <w:szCs w:val="20"/>
              </w:rPr>
              <w:t xml:space="preserve">. </w:t>
            </w:r>
            <w:r w:rsidRPr="007C41CC">
              <w:rPr>
                <w:sz w:val="20"/>
                <w:szCs w:val="20"/>
                <w:u w:val="single"/>
              </w:rPr>
              <w:t>For speaking and listening</w:t>
            </w:r>
            <w:r w:rsidRPr="007C41CC">
              <w:rPr>
                <w:sz w:val="20"/>
                <w:szCs w:val="20"/>
              </w:rPr>
              <w:t xml:space="preserve">, the focus is on purposeful academic talk, in which students contribute accurate, relevant information about a multitude of ideas they have studied or researched in various domains, as described in </w:t>
            </w:r>
            <w:r w:rsidRPr="007C41CC">
              <w:rPr>
                <w:i/>
                <w:sz w:val="20"/>
                <w:szCs w:val="20"/>
              </w:rPr>
              <w:t>Speaking/Listening Standard 1</w:t>
            </w:r>
            <w:r w:rsidRPr="007C41CC">
              <w:rPr>
                <w:sz w:val="20"/>
                <w:szCs w:val="20"/>
              </w:rPr>
              <w:t xml:space="preserve">. </w:t>
            </w:r>
            <w:r w:rsidRPr="007C41CC">
              <w:rPr>
                <w:sz w:val="20"/>
                <w:szCs w:val="20"/>
                <w:u w:val="single"/>
              </w:rPr>
              <w:t>The standards require students</w:t>
            </w:r>
            <w:r w:rsidRPr="007C41CC">
              <w:rPr>
                <w:sz w:val="20"/>
                <w:szCs w:val="20"/>
              </w:rPr>
              <w:t xml:space="preserve"> to answer questions based on their understanding of having read a text, </w:t>
            </w:r>
            <w:r w:rsidRPr="007C41CC">
              <w:rPr>
                <w:sz w:val="20"/>
                <w:szCs w:val="20"/>
                <w:u w:val="single"/>
              </w:rPr>
              <w:t>or multiple texts</w:t>
            </w:r>
            <w:r w:rsidRPr="007C41CC">
              <w:rPr>
                <w:sz w:val="20"/>
                <w:szCs w:val="20"/>
              </w:rPr>
              <w:t xml:space="preserve">, not entirely relying on prior knowledge or experience. </w:t>
            </w:r>
          </w:p>
        </w:tc>
      </w:tr>
      <w:tr w:rsidR="00AA7CB1" w:rsidRPr="007C41CC" w:rsidTr="006A03B1">
        <w:tc>
          <w:tcPr>
            <w:tcW w:w="4608" w:type="dxa"/>
          </w:tcPr>
          <w:p w:rsidR="00AA7CB1" w:rsidRPr="007C41CC" w:rsidRDefault="00AA7CB1" w:rsidP="006A03B1">
            <w:pPr>
              <w:rPr>
                <w:sz w:val="20"/>
                <w:szCs w:val="20"/>
              </w:rPr>
            </w:pPr>
            <w:r w:rsidRPr="007C41CC">
              <w:rPr>
                <w:sz w:val="20"/>
                <w:szCs w:val="20"/>
                <w:u w:val="single"/>
              </w:rPr>
              <w:t>Shift 3</w:t>
            </w:r>
            <w:r w:rsidRPr="007C41CC">
              <w:rPr>
                <w:sz w:val="20"/>
                <w:szCs w:val="20"/>
              </w:rPr>
              <w:t xml:space="preserve">: </w:t>
            </w:r>
            <w:r w:rsidRPr="007C41CC">
              <w:rPr>
                <w:b/>
                <w:sz w:val="20"/>
                <w:szCs w:val="20"/>
              </w:rPr>
              <w:t>Knowledge</w:t>
            </w:r>
            <w:r w:rsidRPr="007C41CC">
              <w:rPr>
                <w:sz w:val="20"/>
                <w:szCs w:val="20"/>
              </w:rPr>
              <w:t xml:space="preserve"> (Building knowledge through content-rich non-fiction</w:t>
            </w:r>
            <w:r>
              <w:rPr>
                <w:sz w:val="20"/>
                <w:szCs w:val="20"/>
              </w:rPr>
              <w:t xml:space="preserve">; see </w:t>
            </w:r>
            <w:r w:rsidRPr="007C41CC">
              <w:rPr>
                <w:sz w:val="20"/>
                <w:szCs w:val="20"/>
              </w:rPr>
              <w:t>p. 10)</w:t>
            </w:r>
          </w:p>
          <w:p w:rsidR="00AA7CB1" w:rsidRPr="007C41CC" w:rsidRDefault="00AA7CB1" w:rsidP="006A03B1">
            <w:pPr>
              <w:rPr>
                <w:sz w:val="20"/>
                <w:szCs w:val="20"/>
                <w:u w:val="single"/>
              </w:rPr>
            </w:pPr>
          </w:p>
        </w:tc>
        <w:tc>
          <w:tcPr>
            <w:tcW w:w="10008" w:type="dxa"/>
          </w:tcPr>
          <w:p w:rsidR="00AA7CB1" w:rsidRPr="007C41CC" w:rsidRDefault="00AA7CB1" w:rsidP="006A03B1">
            <w:pPr>
              <w:rPr>
                <w:sz w:val="20"/>
                <w:szCs w:val="20"/>
              </w:rPr>
            </w:pPr>
            <w:r w:rsidRPr="007C41CC">
              <w:rPr>
                <w:sz w:val="20"/>
                <w:szCs w:val="20"/>
              </w:rPr>
              <w:t xml:space="preserve">Focus is on ELA, and also on literacy across the disciplines of science, social studies, and technical subjects. Informational text makes up the vast majority of required reading in college and the workplace. Through an extended focus on literacy in the domains of science, history, and technical subject areas, students can build the knowledge that will prepare them for college and careers. Given that literacy across the disciplines is one of the goals of ABE, there is </w:t>
            </w:r>
            <w:r w:rsidRPr="007C41CC">
              <w:rPr>
                <w:sz w:val="20"/>
                <w:szCs w:val="20"/>
                <w:u w:val="single"/>
              </w:rPr>
              <w:t>special emphasis on standards for comprehension of informational text</w:t>
            </w:r>
            <w:r w:rsidRPr="007C41CC">
              <w:rPr>
                <w:sz w:val="20"/>
                <w:szCs w:val="20"/>
              </w:rPr>
              <w:t>.</w:t>
            </w:r>
          </w:p>
        </w:tc>
      </w:tr>
    </w:tbl>
    <w:p w:rsidR="00AA7CB1" w:rsidRPr="006C75F0" w:rsidRDefault="002F5268" w:rsidP="00AA7CB1">
      <w:pPr>
        <w:rPr>
          <w:rFonts w:asciiTheme="majorHAnsi" w:hAnsiTheme="majorHAnsi"/>
          <w:sz w:val="18"/>
          <w:szCs w:val="18"/>
        </w:rPr>
      </w:pPr>
      <w:r>
        <w:rPr>
          <w:sz w:val="18"/>
          <w:szCs w:val="18"/>
        </w:rPr>
        <w:t>Massachusetts Dep</w:t>
      </w:r>
      <w:r w:rsidR="00B40919">
        <w:rPr>
          <w:sz w:val="18"/>
          <w:szCs w:val="18"/>
        </w:rPr>
        <w:t xml:space="preserve">artment </w:t>
      </w:r>
      <w:r>
        <w:rPr>
          <w:sz w:val="18"/>
          <w:szCs w:val="18"/>
        </w:rPr>
        <w:t xml:space="preserve">of Elementary </w:t>
      </w:r>
      <w:r w:rsidR="00B40919">
        <w:rPr>
          <w:sz w:val="18"/>
          <w:szCs w:val="18"/>
        </w:rPr>
        <w:t xml:space="preserve">and </w:t>
      </w:r>
      <w:r>
        <w:rPr>
          <w:sz w:val="18"/>
          <w:szCs w:val="18"/>
        </w:rPr>
        <w:t xml:space="preserve">Secondary Education, Adult and Community Learning Services </w:t>
      </w:r>
    </w:p>
    <w:sectPr w:rsidR="00AA7CB1" w:rsidRPr="006C75F0" w:rsidSect="006C75F0">
      <w:pgSz w:w="15840" w:h="12240" w:orient="landscape"/>
      <w:pgMar w:top="720" w:right="79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altName w:val="DaunPenh"/>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77"/>
    <w:rsid w:val="000247C5"/>
    <w:rsid w:val="001961DB"/>
    <w:rsid w:val="001C66B0"/>
    <w:rsid w:val="002E3D7D"/>
    <w:rsid w:val="002F5268"/>
    <w:rsid w:val="0032285C"/>
    <w:rsid w:val="0034575F"/>
    <w:rsid w:val="003E67AF"/>
    <w:rsid w:val="00425DCA"/>
    <w:rsid w:val="004608B7"/>
    <w:rsid w:val="004F6683"/>
    <w:rsid w:val="0056147E"/>
    <w:rsid w:val="00562309"/>
    <w:rsid w:val="005A4219"/>
    <w:rsid w:val="00603D36"/>
    <w:rsid w:val="00617A0D"/>
    <w:rsid w:val="00627551"/>
    <w:rsid w:val="006429B0"/>
    <w:rsid w:val="006B488E"/>
    <w:rsid w:val="006C377E"/>
    <w:rsid w:val="006C75F0"/>
    <w:rsid w:val="00790454"/>
    <w:rsid w:val="008017B7"/>
    <w:rsid w:val="00802237"/>
    <w:rsid w:val="0080435C"/>
    <w:rsid w:val="00870AFF"/>
    <w:rsid w:val="00940468"/>
    <w:rsid w:val="00A629B7"/>
    <w:rsid w:val="00A95CDB"/>
    <w:rsid w:val="00AA7CB1"/>
    <w:rsid w:val="00B40919"/>
    <w:rsid w:val="00B53B82"/>
    <w:rsid w:val="00BB55AE"/>
    <w:rsid w:val="00C20DF5"/>
    <w:rsid w:val="00C40255"/>
    <w:rsid w:val="00C74329"/>
    <w:rsid w:val="00D16D0A"/>
    <w:rsid w:val="00D70458"/>
    <w:rsid w:val="00EC0E77"/>
    <w:rsid w:val="00EC5C0D"/>
    <w:rsid w:val="00F51CBE"/>
    <w:rsid w:val="00FC75A3"/>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8DA99E7-B935-4AB0-B526-CCD883C0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0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DESE-231-53807</_dlc_DocId>
    <_dlc_DocIdUrl xmlns="733efe1c-5bbe-4968-87dc-d400e65c879f">
      <Url>https://sharepoint.doemass.org/ese/webteam/cps/_layouts/DocIdRedir.aspx?ID=DESE-231-53807</Url>
      <Description>DESE-231-53807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6C304-99F0-4E39-9DED-26A1181405F4}">
  <ds:schemaRefs>
    <ds:schemaRef ds:uri="http://schemas.microsoft.com/sharepoint/v3/contenttype/forms"/>
  </ds:schemaRefs>
</ds:datastoreItem>
</file>

<file path=customXml/itemProps2.xml><?xml version="1.0" encoding="utf-8"?>
<ds:datastoreItem xmlns:ds="http://schemas.openxmlformats.org/officeDocument/2006/customXml" ds:itemID="{D1F54F2A-B2CF-4B3F-A870-16F8E1694C42}">
  <ds:schemaRefs>
    <ds:schemaRef ds:uri="http://schemas.microsoft.com/sharepoint/events"/>
  </ds:schemaRefs>
</ds:datastoreItem>
</file>

<file path=customXml/itemProps3.xml><?xml version="1.0" encoding="utf-8"?>
<ds:datastoreItem xmlns:ds="http://schemas.openxmlformats.org/officeDocument/2006/customXml" ds:itemID="{FA30B894-78BD-4120-8387-3E8B5CA0179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3EBCDF7-CC82-422A-834A-A7169B3D4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BFA21E-B593-4912-AA55-8AFBEFB6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Reference Chart of ELA College and Career Readiness  Standards for Adult Education</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Chart of ELA College and Career Readiness  Standards for Adult Education</dc:title>
  <dc:subject/>
  <dc:creator>DESE</dc:creator>
  <cp:keywords>CCRSAE, College and Career Readiness  Standards, ABE,</cp:keywords>
  <dc:description>This chart of the ELA Anchor Standards is based on the College and Career Readiness Standards for Adult Education, or CCRSAE (Pimentel, 2013). The chart of ELA standards was developed by Amy R. Trawick. Jane Schwerdtfeger added the second page of information, taken verbatim from the  CCRSAE.</dc:description>
  <cp:lastModifiedBy>Zou, Dong (EOE)</cp:lastModifiedBy>
  <cp:revision>3</cp:revision>
  <cp:lastPrinted>2015-05-07T17:59:00Z</cp:lastPrinted>
  <dcterms:created xsi:type="dcterms:W3CDTF">2019-08-20T18:51:00Z</dcterms:created>
  <dcterms:modified xsi:type="dcterms:W3CDTF">2019-09-04T19:32:00Z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2019</vt:lpwstr>
  </property>
</Properties>
</file>