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Ind w:w="378" w:type="dxa"/>
        <w:tblLook w:val="04A0" w:firstRow="1" w:lastRow="0" w:firstColumn="1" w:lastColumn="0" w:noHBand="0" w:noVBand="1"/>
      </w:tblPr>
      <w:tblGrid>
        <w:gridCol w:w="2518"/>
        <w:gridCol w:w="543"/>
        <w:gridCol w:w="2789"/>
        <w:gridCol w:w="3978"/>
      </w:tblGrid>
      <w:tr w:rsidR="00EF4708" w:rsidRPr="00BE512F" w:rsidTr="005A5290">
        <w:tc>
          <w:tcPr>
            <w:tcW w:w="5000" w:type="pct"/>
            <w:gridSpan w:val="4"/>
            <w:shd w:val="clear" w:color="auto" w:fill="BFBFBF" w:themeFill="background1" w:themeFillShade="BF"/>
          </w:tcPr>
          <w:p w:rsidR="00EF4708" w:rsidRPr="00BE512F" w:rsidRDefault="00EF4708" w:rsidP="00D75A81">
            <w:pPr>
              <w:snapToGrid w:val="0"/>
              <w:jc w:val="center"/>
              <w:rPr>
                <w:rFonts w:ascii="Times New Roman" w:hAnsi="Times New Roman"/>
                <w:b/>
                <w:bCs/>
                <w:caps/>
              </w:rPr>
            </w:pPr>
            <w:bookmarkStart w:id="0" w:name="_GoBack"/>
            <w:bookmarkEnd w:id="0"/>
            <w:r w:rsidRPr="00BE512F">
              <w:rPr>
                <w:rFonts w:ascii="Times New Roman" w:hAnsi="Times New Roman"/>
                <w:b/>
                <w:bCs/>
                <w:caps/>
              </w:rPr>
              <w:t xml:space="preserve">Amendment Request – </w:t>
            </w:r>
            <w:r w:rsidR="00D75A81">
              <w:rPr>
                <w:rFonts w:ascii="Times New Roman" w:hAnsi="Times New Roman"/>
                <w:b/>
                <w:bCs/>
                <w:caps/>
              </w:rPr>
              <w:t>February</w:t>
            </w:r>
            <w:r w:rsidRPr="00BE512F">
              <w:rPr>
                <w:rFonts w:ascii="Times New Roman" w:hAnsi="Times New Roman"/>
                <w:b/>
                <w:bCs/>
                <w:caps/>
              </w:rPr>
              <w:t xml:space="preserve"> 2014</w:t>
            </w:r>
          </w:p>
        </w:tc>
      </w:tr>
      <w:tr w:rsidR="00EF4708" w:rsidRPr="00BE512F" w:rsidTr="00884F05">
        <w:tc>
          <w:tcPr>
            <w:tcW w:w="1557" w:type="pct"/>
            <w:gridSpan w:val="2"/>
            <w:shd w:val="clear" w:color="auto" w:fill="FFFFFF" w:themeFill="background1"/>
          </w:tcPr>
          <w:p w:rsidR="00EF4708" w:rsidRPr="00BE512F" w:rsidRDefault="00EF4708" w:rsidP="00EF4708">
            <w:pPr>
              <w:rPr>
                <w:rFonts w:ascii="Times New Roman" w:hAnsi="Times New Roman"/>
                <w:b/>
                <w:bCs/>
              </w:rPr>
            </w:pPr>
            <w:r w:rsidRPr="00BE512F">
              <w:rPr>
                <w:rFonts w:ascii="Times New Roman" w:hAnsi="Times New Roman"/>
                <w:b/>
                <w:bCs/>
              </w:rPr>
              <w:t>School Name:</w:t>
            </w:r>
          </w:p>
        </w:tc>
        <w:tc>
          <w:tcPr>
            <w:tcW w:w="3443" w:type="pct"/>
            <w:gridSpan w:val="2"/>
            <w:shd w:val="clear" w:color="auto" w:fill="FFFFFF" w:themeFill="background1"/>
          </w:tcPr>
          <w:p w:rsidR="00EF4708" w:rsidRPr="00BE512F" w:rsidRDefault="00EF4708" w:rsidP="00EF4708">
            <w:pPr>
              <w:rPr>
                <w:rFonts w:ascii="Times New Roman" w:hAnsi="Times New Roman"/>
                <w:bCs/>
              </w:rPr>
            </w:pPr>
            <w:r w:rsidRPr="00BE512F">
              <w:rPr>
                <w:rFonts w:ascii="Times New Roman" w:hAnsi="Times New Roman"/>
              </w:rPr>
              <w:t>Match Charter Public School (Match)</w:t>
            </w:r>
          </w:p>
        </w:tc>
      </w:tr>
      <w:tr w:rsidR="00EF4708" w:rsidRPr="00BE512F" w:rsidTr="00884F05">
        <w:tc>
          <w:tcPr>
            <w:tcW w:w="1557" w:type="pct"/>
            <w:gridSpan w:val="2"/>
            <w:shd w:val="clear" w:color="auto" w:fill="BFBFBF" w:themeFill="background1" w:themeFillShade="BF"/>
          </w:tcPr>
          <w:p w:rsidR="00EF4708" w:rsidRPr="00BE512F" w:rsidRDefault="00EF4708" w:rsidP="00EF4708">
            <w:pPr>
              <w:tabs>
                <w:tab w:val="left" w:pos="2592"/>
              </w:tabs>
              <w:rPr>
                <w:rFonts w:ascii="Times New Roman" w:hAnsi="Times New Roman"/>
              </w:rPr>
            </w:pPr>
            <w:r w:rsidRPr="00BE512F">
              <w:rPr>
                <w:rFonts w:ascii="Times New Roman" w:hAnsi="Times New Roman"/>
                <w:b/>
              </w:rPr>
              <w:t>Amendment Request</w:t>
            </w:r>
            <w:r w:rsidRPr="00BE512F">
              <w:rPr>
                <w:rFonts w:ascii="Times New Roman" w:hAnsi="Times New Roman"/>
              </w:rPr>
              <w:t xml:space="preserve">: </w:t>
            </w:r>
          </w:p>
        </w:tc>
        <w:tc>
          <w:tcPr>
            <w:tcW w:w="3443" w:type="pct"/>
            <w:gridSpan w:val="2"/>
            <w:shd w:val="clear" w:color="auto" w:fill="BFBFBF" w:themeFill="background1" w:themeFillShade="BF"/>
          </w:tcPr>
          <w:p w:rsidR="00EF4708" w:rsidRPr="00BE512F" w:rsidRDefault="00EF4708" w:rsidP="00EF4708">
            <w:pPr>
              <w:tabs>
                <w:tab w:val="left" w:pos="2592"/>
              </w:tabs>
              <w:rPr>
                <w:rFonts w:ascii="Times New Roman" w:hAnsi="Times New Roman"/>
              </w:rPr>
            </w:pPr>
            <w:r w:rsidRPr="00BE512F">
              <w:rPr>
                <w:rFonts w:ascii="Times New Roman" w:hAnsi="Times New Roman"/>
              </w:rPr>
              <w:t xml:space="preserve">Consolidate 2 charters </w:t>
            </w:r>
          </w:p>
        </w:tc>
      </w:tr>
      <w:tr w:rsidR="00EF4708" w:rsidRPr="00BE512F" w:rsidTr="00884F05">
        <w:trPr>
          <w:trHeight w:val="224"/>
        </w:trPr>
        <w:tc>
          <w:tcPr>
            <w:tcW w:w="1557" w:type="pct"/>
            <w:gridSpan w:val="2"/>
            <w:shd w:val="clear" w:color="auto" w:fill="BFBFBF" w:themeFill="background1" w:themeFillShade="BF"/>
          </w:tcPr>
          <w:p w:rsidR="00EF4708" w:rsidRPr="00BE512F" w:rsidRDefault="00884F05" w:rsidP="00EF4708">
            <w:pPr>
              <w:rPr>
                <w:rFonts w:ascii="Times New Roman" w:hAnsi="Times New Roman"/>
                <w:b/>
              </w:rPr>
            </w:pPr>
            <w:r>
              <w:rPr>
                <w:rFonts w:ascii="Times New Roman" w:hAnsi="Times New Roman"/>
                <w:b/>
              </w:rPr>
              <w:t xml:space="preserve">Proposed </w:t>
            </w:r>
            <w:r w:rsidR="00EF4708" w:rsidRPr="00BE512F">
              <w:rPr>
                <w:rFonts w:ascii="Times New Roman" w:hAnsi="Times New Roman"/>
                <w:b/>
              </w:rPr>
              <w:t>Implementation:</w:t>
            </w:r>
          </w:p>
        </w:tc>
        <w:tc>
          <w:tcPr>
            <w:tcW w:w="3443" w:type="pct"/>
            <w:gridSpan w:val="2"/>
            <w:shd w:val="clear" w:color="auto" w:fill="BFBFBF" w:themeFill="background1" w:themeFillShade="BF"/>
          </w:tcPr>
          <w:p w:rsidR="00EF4708" w:rsidRPr="00BE512F" w:rsidRDefault="00EF4708" w:rsidP="00EF4708">
            <w:pPr>
              <w:rPr>
                <w:rFonts w:ascii="Times New Roman" w:hAnsi="Times New Roman"/>
              </w:rPr>
            </w:pPr>
            <w:r w:rsidRPr="00BE512F">
              <w:rPr>
                <w:rFonts w:ascii="Times New Roman" w:hAnsi="Times New Roman"/>
              </w:rPr>
              <w:t>FY201</w:t>
            </w:r>
            <w:r w:rsidR="005A5290">
              <w:rPr>
                <w:rFonts w:ascii="Times New Roman" w:hAnsi="Times New Roman"/>
              </w:rPr>
              <w:t>5; Single enrollment lottery in spring 2014</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p>
        </w:tc>
        <w:tc>
          <w:tcPr>
            <w:tcW w:w="1419" w:type="pct"/>
            <w:vAlign w:val="center"/>
          </w:tcPr>
          <w:p w:rsidR="002703CF" w:rsidRPr="00BE512F" w:rsidRDefault="002703CF" w:rsidP="008103DD">
            <w:pPr>
              <w:pStyle w:val="BodyTextIndent"/>
              <w:ind w:left="0"/>
              <w:rPr>
                <w:bCs/>
                <w:sz w:val="22"/>
                <w:szCs w:val="22"/>
              </w:rPr>
            </w:pPr>
            <w:r w:rsidRPr="00BE512F">
              <w:rPr>
                <w:sz w:val="22"/>
                <w:szCs w:val="22"/>
              </w:rPr>
              <w:t>Match Charter Public School</w:t>
            </w:r>
          </w:p>
        </w:tc>
        <w:tc>
          <w:tcPr>
            <w:tcW w:w="2024" w:type="pct"/>
            <w:vAlign w:val="center"/>
          </w:tcPr>
          <w:p w:rsidR="002703CF" w:rsidRPr="00BE512F" w:rsidRDefault="002703CF" w:rsidP="00B52C2A">
            <w:pPr>
              <w:widowControl/>
              <w:rPr>
                <w:rFonts w:ascii="Times New Roman" w:hAnsi="Times New Roman"/>
              </w:rPr>
            </w:pPr>
            <w:r w:rsidRPr="00BE512F">
              <w:rPr>
                <w:rFonts w:ascii="Times New Roman" w:hAnsi="Times New Roman"/>
              </w:rPr>
              <w:t>Match Community Day Charter Public School (MCD)</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Type of Charter</w:t>
            </w:r>
          </w:p>
        </w:tc>
        <w:tc>
          <w:tcPr>
            <w:tcW w:w="3443" w:type="pct"/>
            <w:gridSpan w:val="2"/>
            <w:vAlign w:val="center"/>
          </w:tcPr>
          <w:p w:rsidR="002703CF" w:rsidRPr="00BE512F" w:rsidRDefault="002703CF" w:rsidP="00BE6DA9">
            <w:pPr>
              <w:pStyle w:val="BodyTextIndent"/>
              <w:ind w:left="0" w:firstLine="1963"/>
              <w:rPr>
                <w:bCs/>
                <w:sz w:val="22"/>
                <w:szCs w:val="22"/>
              </w:rPr>
            </w:pPr>
            <w:r w:rsidRPr="00BE512F">
              <w:rPr>
                <w:bCs/>
                <w:sz w:val="22"/>
                <w:szCs w:val="22"/>
              </w:rPr>
              <w:t>Commonwealth</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Location</w:t>
            </w:r>
          </w:p>
        </w:tc>
        <w:tc>
          <w:tcPr>
            <w:tcW w:w="3443" w:type="pct"/>
            <w:gridSpan w:val="2"/>
            <w:vAlign w:val="center"/>
          </w:tcPr>
          <w:p w:rsidR="002703CF" w:rsidRPr="00BE512F" w:rsidRDefault="002703CF" w:rsidP="00BE6DA9">
            <w:pPr>
              <w:pStyle w:val="BodyTextIndent"/>
              <w:ind w:left="0" w:firstLine="2323"/>
              <w:rPr>
                <w:bCs/>
                <w:sz w:val="22"/>
                <w:szCs w:val="22"/>
              </w:rPr>
            </w:pPr>
            <w:r w:rsidRPr="00BE512F">
              <w:rPr>
                <w:bCs/>
                <w:sz w:val="22"/>
                <w:szCs w:val="22"/>
              </w:rPr>
              <w:t>Boston</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Regional/Non-regional</w:t>
            </w:r>
          </w:p>
        </w:tc>
        <w:tc>
          <w:tcPr>
            <w:tcW w:w="3443" w:type="pct"/>
            <w:gridSpan w:val="2"/>
            <w:vAlign w:val="center"/>
          </w:tcPr>
          <w:p w:rsidR="002703CF" w:rsidRPr="00BE512F" w:rsidRDefault="002703CF" w:rsidP="00BE6DA9">
            <w:pPr>
              <w:pStyle w:val="BodyTextIndent"/>
              <w:ind w:left="0" w:firstLine="2053"/>
              <w:rPr>
                <w:bCs/>
                <w:sz w:val="22"/>
                <w:szCs w:val="22"/>
              </w:rPr>
            </w:pPr>
            <w:r w:rsidRPr="00BE512F">
              <w:rPr>
                <w:bCs/>
                <w:sz w:val="22"/>
                <w:szCs w:val="22"/>
              </w:rPr>
              <w:t>Non-regional</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Year Opened</w:t>
            </w:r>
          </w:p>
        </w:tc>
        <w:tc>
          <w:tcPr>
            <w:tcW w:w="1419" w:type="pct"/>
            <w:vAlign w:val="center"/>
          </w:tcPr>
          <w:p w:rsidR="002703CF" w:rsidRPr="00BE512F" w:rsidRDefault="002703CF" w:rsidP="00B52C2A">
            <w:pPr>
              <w:pStyle w:val="BodyTextIndent"/>
              <w:ind w:left="0"/>
              <w:rPr>
                <w:bCs/>
                <w:sz w:val="22"/>
                <w:szCs w:val="22"/>
              </w:rPr>
            </w:pPr>
            <w:r w:rsidRPr="00BE512F">
              <w:rPr>
                <w:bCs/>
                <w:sz w:val="22"/>
                <w:szCs w:val="22"/>
              </w:rPr>
              <w:t>2000</w:t>
            </w:r>
          </w:p>
        </w:tc>
        <w:tc>
          <w:tcPr>
            <w:tcW w:w="2024" w:type="pct"/>
            <w:vAlign w:val="center"/>
          </w:tcPr>
          <w:p w:rsidR="002703CF" w:rsidRPr="00BE512F" w:rsidRDefault="002703CF" w:rsidP="00B52C2A">
            <w:pPr>
              <w:pStyle w:val="BodyTextIndent"/>
              <w:ind w:left="0"/>
              <w:rPr>
                <w:bCs/>
                <w:sz w:val="22"/>
                <w:szCs w:val="22"/>
              </w:rPr>
            </w:pPr>
            <w:r w:rsidRPr="00BE512F">
              <w:rPr>
                <w:bCs/>
                <w:sz w:val="22"/>
                <w:szCs w:val="22"/>
              </w:rPr>
              <w:t>2011</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Year Renewed</w:t>
            </w:r>
          </w:p>
        </w:tc>
        <w:tc>
          <w:tcPr>
            <w:tcW w:w="1419" w:type="pct"/>
            <w:vAlign w:val="center"/>
          </w:tcPr>
          <w:p w:rsidR="002703CF" w:rsidRPr="00BE512F" w:rsidRDefault="002703CF" w:rsidP="00B52C2A">
            <w:pPr>
              <w:pStyle w:val="BodyTextIndent"/>
              <w:ind w:left="0"/>
              <w:rPr>
                <w:bCs/>
                <w:sz w:val="22"/>
                <w:szCs w:val="22"/>
              </w:rPr>
            </w:pPr>
            <w:r w:rsidRPr="00BE512F">
              <w:rPr>
                <w:bCs/>
                <w:sz w:val="22"/>
                <w:szCs w:val="22"/>
              </w:rPr>
              <w:t>2005, 2010</w:t>
            </w:r>
          </w:p>
        </w:tc>
        <w:tc>
          <w:tcPr>
            <w:tcW w:w="2024" w:type="pct"/>
            <w:vAlign w:val="center"/>
          </w:tcPr>
          <w:p w:rsidR="002703CF" w:rsidRPr="00BE512F" w:rsidRDefault="002703CF" w:rsidP="00B52C2A">
            <w:pPr>
              <w:pStyle w:val="BodyTextIndent"/>
              <w:ind w:left="0"/>
              <w:rPr>
                <w:bCs/>
                <w:sz w:val="22"/>
                <w:szCs w:val="22"/>
              </w:rPr>
            </w:pPr>
            <w:r w:rsidRPr="00BE512F">
              <w:rPr>
                <w:bCs/>
                <w:sz w:val="22"/>
                <w:szCs w:val="22"/>
              </w:rPr>
              <w:t>N/A</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Grades Chartered</w:t>
            </w:r>
          </w:p>
        </w:tc>
        <w:tc>
          <w:tcPr>
            <w:tcW w:w="1419" w:type="pct"/>
            <w:vAlign w:val="center"/>
          </w:tcPr>
          <w:p w:rsidR="002703CF" w:rsidRPr="00BE512F" w:rsidRDefault="002703CF" w:rsidP="00B52C2A">
            <w:pPr>
              <w:pStyle w:val="BodyTextIndent"/>
              <w:ind w:left="0"/>
              <w:rPr>
                <w:bCs/>
                <w:sz w:val="22"/>
                <w:szCs w:val="22"/>
              </w:rPr>
            </w:pPr>
            <w:r w:rsidRPr="00BE512F">
              <w:rPr>
                <w:bCs/>
                <w:sz w:val="22"/>
                <w:szCs w:val="22"/>
              </w:rPr>
              <w:t>5-12</w:t>
            </w:r>
          </w:p>
        </w:tc>
        <w:tc>
          <w:tcPr>
            <w:tcW w:w="2024" w:type="pct"/>
            <w:vAlign w:val="center"/>
          </w:tcPr>
          <w:p w:rsidR="002703CF" w:rsidRPr="00BE512F" w:rsidRDefault="00CE503B" w:rsidP="00B52C2A">
            <w:pPr>
              <w:pStyle w:val="BodyTextIndent"/>
              <w:ind w:left="0"/>
              <w:rPr>
                <w:bCs/>
                <w:sz w:val="22"/>
                <w:szCs w:val="22"/>
              </w:rPr>
            </w:pPr>
            <w:r>
              <w:rPr>
                <w:bCs/>
                <w:sz w:val="22"/>
                <w:szCs w:val="22"/>
              </w:rPr>
              <w:t>PK</w:t>
            </w:r>
            <w:r w:rsidR="002703CF" w:rsidRPr="00BE512F">
              <w:rPr>
                <w:bCs/>
                <w:sz w:val="22"/>
                <w:szCs w:val="22"/>
              </w:rPr>
              <w:t>-12</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Grades Implemented</w:t>
            </w:r>
          </w:p>
        </w:tc>
        <w:tc>
          <w:tcPr>
            <w:tcW w:w="1419" w:type="pct"/>
            <w:vAlign w:val="center"/>
          </w:tcPr>
          <w:p w:rsidR="002703CF" w:rsidRPr="00BE512F" w:rsidRDefault="002703CF" w:rsidP="00B52C2A">
            <w:pPr>
              <w:pStyle w:val="BodyTextIndent"/>
              <w:ind w:left="0"/>
              <w:rPr>
                <w:bCs/>
                <w:sz w:val="22"/>
                <w:szCs w:val="22"/>
              </w:rPr>
            </w:pPr>
            <w:r w:rsidRPr="00BE512F">
              <w:rPr>
                <w:bCs/>
                <w:sz w:val="22"/>
                <w:szCs w:val="22"/>
              </w:rPr>
              <w:t>6-12</w:t>
            </w:r>
          </w:p>
        </w:tc>
        <w:tc>
          <w:tcPr>
            <w:tcW w:w="2024" w:type="pct"/>
            <w:vAlign w:val="center"/>
          </w:tcPr>
          <w:p w:rsidR="002703CF" w:rsidRPr="00BE512F" w:rsidRDefault="00CE503B" w:rsidP="00B52C2A">
            <w:pPr>
              <w:pStyle w:val="BodyTextIndent"/>
              <w:ind w:left="0"/>
              <w:rPr>
                <w:bCs/>
                <w:sz w:val="22"/>
                <w:szCs w:val="22"/>
              </w:rPr>
            </w:pPr>
            <w:r>
              <w:rPr>
                <w:bCs/>
                <w:sz w:val="22"/>
                <w:szCs w:val="22"/>
              </w:rPr>
              <w:t>PK</w:t>
            </w:r>
            <w:r w:rsidR="002703CF" w:rsidRPr="00BE512F">
              <w:rPr>
                <w:bCs/>
                <w:sz w:val="22"/>
                <w:szCs w:val="22"/>
              </w:rPr>
              <w:t>-4</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Maximum Enrollment</w:t>
            </w:r>
          </w:p>
        </w:tc>
        <w:tc>
          <w:tcPr>
            <w:tcW w:w="1419" w:type="pct"/>
            <w:vAlign w:val="center"/>
          </w:tcPr>
          <w:p w:rsidR="002703CF" w:rsidRPr="00BE512F" w:rsidRDefault="002703CF" w:rsidP="00B52C2A">
            <w:pPr>
              <w:pStyle w:val="BodyTextIndent"/>
              <w:ind w:left="0"/>
              <w:rPr>
                <w:bCs/>
                <w:sz w:val="22"/>
                <w:szCs w:val="22"/>
              </w:rPr>
            </w:pPr>
            <w:r w:rsidRPr="00BE512F">
              <w:rPr>
                <w:bCs/>
                <w:sz w:val="22"/>
                <w:szCs w:val="22"/>
              </w:rPr>
              <w:t>550</w:t>
            </w:r>
          </w:p>
        </w:tc>
        <w:tc>
          <w:tcPr>
            <w:tcW w:w="2024" w:type="pct"/>
            <w:vAlign w:val="center"/>
          </w:tcPr>
          <w:p w:rsidR="002703CF" w:rsidRPr="00BE512F" w:rsidRDefault="002703CF" w:rsidP="00B52C2A">
            <w:pPr>
              <w:pStyle w:val="BodyTextIndent"/>
              <w:ind w:left="0"/>
              <w:rPr>
                <w:bCs/>
                <w:sz w:val="22"/>
                <w:szCs w:val="22"/>
              </w:rPr>
            </w:pPr>
            <w:r w:rsidRPr="00BE512F">
              <w:rPr>
                <w:bCs/>
                <w:sz w:val="22"/>
                <w:szCs w:val="22"/>
              </w:rPr>
              <w:t>700</w:t>
            </w:r>
          </w:p>
        </w:tc>
      </w:tr>
      <w:tr w:rsidR="002703CF" w:rsidRPr="00BE512F" w:rsidTr="00884F05">
        <w:tc>
          <w:tcPr>
            <w:tcW w:w="1557" w:type="pct"/>
            <w:gridSpan w:val="2"/>
            <w:vAlign w:val="center"/>
          </w:tcPr>
          <w:p w:rsidR="002703CF" w:rsidRPr="00BE512F" w:rsidRDefault="002703CF" w:rsidP="00B52C2A">
            <w:pPr>
              <w:pStyle w:val="BodyTextIndent"/>
              <w:ind w:left="0"/>
              <w:rPr>
                <w:bCs/>
                <w:sz w:val="22"/>
                <w:szCs w:val="22"/>
              </w:rPr>
            </w:pPr>
            <w:r w:rsidRPr="00BE512F">
              <w:rPr>
                <w:bCs/>
                <w:sz w:val="22"/>
                <w:szCs w:val="22"/>
              </w:rPr>
              <w:t>Current Enrollment</w:t>
            </w:r>
          </w:p>
        </w:tc>
        <w:tc>
          <w:tcPr>
            <w:tcW w:w="1419" w:type="pct"/>
            <w:vAlign w:val="center"/>
          </w:tcPr>
          <w:p w:rsidR="002703CF" w:rsidRPr="00BE512F" w:rsidRDefault="002703CF" w:rsidP="00B52C2A">
            <w:pPr>
              <w:pStyle w:val="BodyTextIndent"/>
              <w:ind w:left="0"/>
              <w:rPr>
                <w:bCs/>
                <w:sz w:val="22"/>
                <w:szCs w:val="22"/>
              </w:rPr>
            </w:pPr>
            <w:r w:rsidRPr="00BE512F">
              <w:rPr>
                <w:bCs/>
                <w:sz w:val="22"/>
                <w:szCs w:val="22"/>
              </w:rPr>
              <w:t>496</w:t>
            </w:r>
          </w:p>
        </w:tc>
        <w:tc>
          <w:tcPr>
            <w:tcW w:w="2024" w:type="pct"/>
            <w:vAlign w:val="center"/>
          </w:tcPr>
          <w:p w:rsidR="002703CF" w:rsidRPr="00BE512F" w:rsidRDefault="002703CF" w:rsidP="00B52C2A">
            <w:pPr>
              <w:pStyle w:val="BodyTextIndent"/>
              <w:ind w:left="0"/>
              <w:rPr>
                <w:bCs/>
                <w:sz w:val="22"/>
                <w:szCs w:val="22"/>
              </w:rPr>
            </w:pPr>
            <w:r w:rsidRPr="00BE512F">
              <w:rPr>
                <w:bCs/>
                <w:sz w:val="22"/>
                <w:szCs w:val="22"/>
              </w:rPr>
              <w:t>300</w:t>
            </w:r>
          </w:p>
        </w:tc>
      </w:tr>
      <w:tr w:rsidR="002703CF" w:rsidRPr="00BE512F" w:rsidTr="005A5290">
        <w:tc>
          <w:tcPr>
            <w:tcW w:w="5000" w:type="pct"/>
            <w:gridSpan w:val="4"/>
            <w:shd w:val="clear" w:color="auto" w:fill="BFBFBF" w:themeFill="background1" w:themeFillShade="BF"/>
            <w:vAlign w:val="center"/>
          </w:tcPr>
          <w:p w:rsidR="002703CF" w:rsidRPr="00BE512F" w:rsidRDefault="002703CF" w:rsidP="00B52C2A">
            <w:pPr>
              <w:pStyle w:val="BodyTextIndent"/>
              <w:ind w:left="0"/>
              <w:rPr>
                <w:bCs/>
                <w:sz w:val="22"/>
                <w:szCs w:val="22"/>
              </w:rPr>
            </w:pPr>
          </w:p>
        </w:tc>
      </w:tr>
      <w:tr w:rsidR="002703CF" w:rsidRPr="00BE512F" w:rsidTr="008103DD">
        <w:trPr>
          <w:trHeight w:val="151"/>
        </w:trPr>
        <w:tc>
          <w:tcPr>
            <w:tcW w:w="1281" w:type="pct"/>
            <w:vMerge w:val="restart"/>
            <w:vAlign w:val="center"/>
          </w:tcPr>
          <w:p w:rsidR="002703CF" w:rsidRPr="00BE512F" w:rsidRDefault="002703CF" w:rsidP="00B52C2A">
            <w:pPr>
              <w:pStyle w:val="BodyTextIndent"/>
              <w:ind w:left="0"/>
              <w:rPr>
                <w:bCs/>
                <w:sz w:val="22"/>
                <w:szCs w:val="22"/>
              </w:rPr>
            </w:pPr>
            <w:r w:rsidRPr="00BE512F">
              <w:rPr>
                <w:bCs/>
                <w:sz w:val="22"/>
                <w:szCs w:val="22"/>
              </w:rPr>
              <w:t>Mission Statement</w:t>
            </w:r>
          </w:p>
        </w:tc>
        <w:tc>
          <w:tcPr>
            <w:tcW w:w="3719" w:type="pct"/>
            <w:gridSpan w:val="3"/>
            <w:vAlign w:val="center"/>
          </w:tcPr>
          <w:p w:rsidR="002703CF" w:rsidRPr="00BE512F" w:rsidRDefault="002703CF" w:rsidP="00B52C2A">
            <w:pPr>
              <w:rPr>
                <w:rFonts w:ascii="Times New Roman" w:eastAsia="Calibri" w:hAnsi="Times New Roman"/>
              </w:rPr>
            </w:pPr>
            <w:r w:rsidRPr="00BE512F">
              <w:rPr>
                <w:rFonts w:ascii="Times New Roman" w:eastAsia="Calibri" w:hAnsi="Times New Roman"/>
              </w:rPr>
              <w:t>The mission of the Match Charter Public School is to prepare students to succeed in college and beyond.</w:t>
            </w:r>
          </w:p>
        </w:tc>
      </w:tr>
      <w:tr w:rsidR="002703CF" w:rsidRPr="00BE512F" w:rsidTr="008103DD">
        <w:trPr>
          <w:trHeight w:val="150"/>
        </w:trPr>
        <w:tc>
          <w:tcPr>
            <w:tcW w:w="1281" w:type="pct"/>
            <w:vMerge/>
            <w:vAlign w:val="center"/>
          </w:tcPr>
          <w:p w:rsidR="002703CF" w:rsidRPr="00BE512F" w:rsidRDefault="002703CF" w:rsidP="00B52C2A">
            <w:pPr>
              <w:pStyle w:val="BodyTextIndent"/>
              <w:ind w:left="0"/>
              <w:rPr>
                <w:bCs/>
                <w:sz w:val="22"/>
                <w:szCs w:val="22"/>
              </w:rPr>
            </w:pPr>
          </w:p>
        </w:tc>
        <w:tc>
          <w:tcPr>
            <w:tcW w:w="3719" w:type="pct"/>
            <w:gridSpan w:val="3"/>
            <w:vAlign w:val="center"/>
          </w:tcPr>
          <w:p w:rsidR="002703CF" w:rsidRPr="00BE512F" w:rsidRDefault="002703CF" w:rsidP="00554308">
            <w:pPr>
              <w:pStyle w:val="BodyTextIndent"/>
              <w:ind w:left="0"/>
              <w:rPr>
                <w:bCs/>
                <w:sz w:val="22"/>
                <w:szCs w:val="22"/>
              </w:rPr>
            </w:pPr>
            <w:r w:rsidRPr="00BE512F">
              <w:rPr>
                <w:sz w:val="22"/>
                <w:szCs w:val="22"/>
              </w:rPr>
              <w:t>The mission of M</w:t>
            </w:r>
            <w:r w:rsidR="00554308" w:rsidRPr="00BE512F">
              <w:rPr>
                <w:sz w:val="22"/>
                <w:szCs w:val="22"/>
              </w:rPr>
              <w:t>atch</w:t>
            </w:r>
            <w:r w:rsidRPr="00BE512F">
              <w:rPr>
                <w:sz w:val="22"/>
                <w:szCs w:val="22"/>
              </w:rPr>
              <w:t xml:space="preserve"> Community Day Charter Public School is to prepare Boston children to succeed in college and beyond, in particular those would be the first in their families to earn a college degree. We intend this school to serve large numbers of English language learners.  </w:t>
            </w:r>
          </w:p>
        </w:tc>
      </w:tr>
      <w:tr w:rsidR="006B7934" w:rsidRPr="00363609" w:rsidTr="005A5290">
        <w:trPr>
          <w:trHeight w:val="150"/>
        </w:trPr>
        <w:tc>
          <w:tcPr>
            <w:tcW w:w="5000" w:type="pct"/>
            <w:gridSpan w:val="4"/>
            <w:vAlign w:val="center"/>
          </w:tcPr>
          <w:p w:rsidR="006B7934" w:rsidRPr="00363609" w:rsidRDefault="006B7934" w:rsidP="00B52C2A">
            <w:pPr>
              <w:pStyle w:val="BodyTextIndent"/>
              <w:ind w:left="0"/>
              <w:rPr>
                <w:b/>
              </w:rPr>
            </w:pPr>
            <w:r w:rsidRPr="00363609">
              <w:rPr>
                <w:b/>
              </w:rPr>
              <w:t>Key Considerations Regarding the Request:</w:t>
            </w:r>
          </w:p>
          <w:p w:rsidR="00554308" w:rsidRPr="00363609" w:rsidRDefault="00554308" w:rsidP="00554308">
            <w:pPr>
              <w:pStyle w:val="BodyTextIndent"/>
              <w:ind w:left="0"/>
            </w:pPr>
            <w:r w:rsidRPr="00363609">
              <w:t xml:space="preserve">The Match and MCD </w:t>
            </w:r>
            <w:r w:rsidR="00395F46" w:rsidRPr="00363609">
              <w:t>board of trustees has</w:t>
            </w:r>
            <w:r w:rsidRPr="00363609">
              <w:t xml:space="preserve"> pursued charter consolidation in an effort to ensure each enrolled student</w:t>
            </w:r>
            <w:r w:rsidR="00CE503B" w:rsidRPr="00363609">
              <w:t xml:space="preserve"> has access to a high quality PK</w:t>
            </w:r>
            <w:r w:rsidRPr="00363609">
              <w:t xml:space="preserve">-12 program </w:t>
            </w:r>
            <w:r w:rsidR="00856EE3" w:rsidRPr="00363609">
              <w:t>and</w:t>
            </w:r>
            <w:r w:rsidRPr="00363609">
              <w:t xml:space="preserve"> to optimize the efficiencies of operating a network of charter schools. The schools’ amendment request provides sufficient evidence, based on the Department’s criteria, that if the charters were to be consolidated, the changes would not impact the material terms of the present charters in a substantial manner</w:t>
            </w:r>
            <w:r w:rsidR="00395F46" w:rsidRPr="00363609">
              <w:t>, including the</w:t>
            </w:r>
            <w:r w:rsidRPr="00363609">
              <w:t xml:space="preserve"> commitment to serve English language learners. </w:t>
            </w:r>
            <w:r w:rsidR="00F265A5" w:rsidRPr="00363609">
              <w:t>The school would implement a single middle school and high school program w</w:t>
            </w:r>
            <w:r w:rsidR="00CE503B" w:rsidRPr="00363609">
              <w:t>hile also providing access to PK</w:t>
            </w:r>
            <w:r w:rsidR="00F265A5" w:rsidRPr="00363609">
              <w:t xml:space="preserve">-4 for all Match families. </w:t>
            </w:r>
            <w:r w:rsidRPr="00363609">
              <w:t>The schools’ request has been found consistent and reasonable with the charter school statute and regulations.</w:t>
            </w:r>
          </w:p>
          <w:p w:rsidR="00554308" w:rsidRPr="00363609" w:rsidRDefault="00554308" w:rsidP="00554308">
            <w:pPr>
              <w:pStyle w:val="BodyTextIndent"/>
              <w:ind w:left="0"/>
            </w:pPr>
          </w:p>
          <w:p w:rsidR="00554308" w:rsidRPr="00363609" w:rsidRDefault="00554308" w:rsidP="00554308">
            <w:pPr>
              <w:pStyle w:val="BodyTextIndent"/>
              <w:ind w:left="0"/>
            </w:pPr>
            <w:r w:rsidRPr="00363609">
              <w:t xml:space="preserve">Under consolidation, the school would </w:t>
            </w:r>
            <w:r w:rsidR="00CE503B" w:rsidRPr="00363609">
              <w:t>operate as a single PK</w:t>
            </w:r>
            <w:r w:rsidR="00856EE3" w:rsidRPr="00363609">
              <w:t xml:space="preserve">-12 with </w:t>
            </w:r>
            <w:r w:rsidR="00F265A5" w:rsidRPr="00363609">
              <w:t xml:space="preserve">three </w:t>
            </w:r>
            <w:r w:rsidR="00856EE3" w:rsidRPr="00363609">
              <w:t xml:space="preserve">proposed campuses for </w:t>
            </w:r>
            <w:r w:rsidR="00913992" w:rsidRPr="00363609">
              <w:t xml:space="preserve">the </w:t>
            </w:r>
            <w:r w:rsidR="00856EE3" w:rsidRPr="00363609">
              <w:t>elementary</w:t>
            </w:r>
            <w:r w:rsidR="00F265A5" w:rsidRPr="00363609">
              <w:t>, middle,</w:t>
            </w:r>
            <w:r w:rsidR="00856EE3" w:rsidRPr="00363609">
              <w:t xml:space="preserve"> and </w:t>
            </w:r>
            <w:r w:rsidR="00F265A5" w:rsidRPr="00363609">
              <w:t>high school</w:t>
            </w:r>
            <w:r w:rsidR="00913992" w:rsidRPr="00363609">
              <w:t>s</w:t>
            </w:r>
            <w:r w:rsidR="00F265A5" w:rsidRPr="00363609">
              <w:t>. The initial distribution of students woul</w:t>
            </w:r>
            <w:r w:rsidR="00CE503B" w:rsidRPr="00363609">
              <w:t>d allow for an entry point at PK</w:t>
            </w:r>
            <w:r w:rsidR="00F265A5" w:rsidRPr="00363609">
              <w:t>, first, and sixth grade while accepting new students through ninth grade. The sixth grade entry point would b</w:t>
            </w:r>
            <w:r w:rsidR="00913992" w:rsidRPr="00363609">
              <w:t>e eliminated once the school reaches</w:t>
            </w:r>
            <w:r w:rsidR="00F265A5" w:rsidRPr="00363609">
              <w:t xml:space="preserve"> maximum enrollment in 2020. </w:t>
            </w:r>
          </w:p>
          <w:p w:rsidR="00554308" w:rsidRPr="00363609" w:rsidRDefault="00554308" w:rsidP="00554308">
            <w:pPr>
              <w:pStyle w:val="BodyTextIndent"/>
              <w:ind w:left="0"/>
            </w:pPr>
          </w:p>
          <w:p w:rsidR="00363609" w:rsidRPr="00363609" w:rsidRDefault="00363609" w:rsidP="00363609">
            <w:pPr>
              <w:pStyle w:val="BodyText2"/>
              <w:spacing w:line="240" w:lineRule="auto"/>
              <w:rPr>
                <w:rFonts w:ascii="Times New Roman" w:hAnsi="Times New Roman"/>
                <w:sz w:val="24"/>
                <w:szCs w:val="24"/>
              </w:rPr>
            </w:pPr>
            <w:r w:rsidRPr="00363609">
              <w:rPr>
                <w:rFonts w:ascii="Times New Roman" w:hAnsi="Times New Roman"/>
                <w:sz w:val="24"/>
                <w:szCs w:val="24"/>
              </w:rPr>
              <w:t xml:space="preserve">To advance the schools’ interests, the schools formed four associated private entities, the Match School Foundation, Inc., (“Foundation”); the Charles </w:t>
            </w:r>
            <w:proofErr w:type="spellStart"/>
            <w:r w:rsidRPr="00363609">
              <w:rPr>
                <w:rFonts w:ascii="Times New Roman" w:hAnsi="Times New Roman"/>
                <w:sz w:val="24"/>
                <w:szCs w:val="24"/>
              </w:rPr>
              <w:t>Sposato</w:t>
            </w:r>
            <w:proofErr w:type="spellEnd"/>
            <w:r w:rsidRPr="00363609">
              <w:rPr>
                <w:rFonts w:ascii="Times New Roman" w:hAnsi="Times New Roman"/>
                <w:sz w:val="24"/>
                <w:szCs w:val="24"/>
              </w:rPr>
              <w:t xml:space="preserve"> Graduate School of Education, Inc. (“Graduate School”); the Match Foundation QALICB, Inc.; and the Match Middle School QALICB, Inc. The associated private entities were created in order to disseminate the best practices developed by the charter schools. These practices include “high-dosage” tutoring, a core element of the Match charter schools and a strategy used by turnaround operators working with Level 4 and 5 schools in Massachusetts and other states, and the teacher preparation model in place at the Match charter schools that provides a pipeline of new teachers to serve in charter and district schools.</w:t>
            </w:r>
          </w:p>
          <w:p w:rsidR="00C30C8D" w:rsidRPr="00363609" w:rsidRDefault="00363609" w:rsidP="00363609">
            <w:pPr>
              <w:pStyle w:val="BodyText2"/>
              <w:spacing w:line="240" w:lineRule="auto"/>
              <w:rPr>
                <w:rFonts w:ascii="Times New Roman" w:hAnsi="Times New Roman"/>
                <w:sz w:val="24"/>
                <w:szCs w:val="24"/>
              </w:rPr>
            </w:pPr>
            <w:r w:rsidRPr="00363609">
              <w:rPr>
                <w:rFonts w:ascii="Times New Roman" w:hAnsi="Times New Roman"/>
                <w:sz w:val="24"/>
                <w:szCs w:val="24"/>
              </w:rPr>
              <w:t xml:space="preserve">The Match charter schools and the private entities have separate governing bodies and do not have </w:t>
            </w:r>
            <w:r w:rsidRPr="00363609">
              <w:rPr>
                <w:rFonts w:ascii="Times New Roman" w:hAnsi="Times New Roman"/>
                <w:sz w:val="24"/>
                <w:szCs w:val="24"/>
              </w:rPr>
              <w:lastRenderedPageBreak/>
              <w:t>overlapping boards. There is, however, fairly extensive overlap between the charter schools and the private entities.</w:t>
            </w:r>
            <w:r w:rsidRPr="00363609">
              <w:rPr>
                <w:rStyle w:val="FootnoteReference"/>
                <w:rFonts w:ascii="Times New Roman" w:hAnsi="Times New Roman"/>
                <w:sz w:val="24"/>
                <w:szCs w:val="24"/>
                <w:vertAlign w:val="superscript"/>
              </w:rPr>
              <w:footnoteReference w:id="1"/>
            </w:r>
            <w:r w:rsidRPr="00363609">
              <w:rPr>
                <w:rFonts w:ascii="Times New Roman" w:hAnsi="Times New Roman"/>
                <w:sz w:val="24"/>
                <w:szCs w:val="24"/>
                <w:vertAlign w:val="superscript"/>
              </w:rPr>
              <w:t xml:space="preserve"> </w:t>
            </w:r>
            <w:r w:rsidRPr="00363609">
              <w:rPr>
                <w:rFonts w:ascii="Times New Roman" w:hAnsi="Times New Roman"/>
                <w:sz w:val="24"/>
                <w:szCs w:val="24"/>
              </w:rPr>
              <w:t>This overlap raises issues regarding record keeping for purposes of state retirement and issues under the Commonwealth’s conflict of interest law, G.L. c. 268A, §§ 4, 5, 6, 7, and 8A. The overlap and manner of presenting the combined enterprise also may raise questions regarding the private control of a public school.</w:t>
            </w:r>
            <w:r w:rsidRPr="00363609">
              <w:rPr>
                <w:rStyle w:val="FootnoteReference"/>
                <w:rFonts w:ascii="Times New Roman" w:hAnsi="Times New Roman"/>
                <w:sz w:val="24"/>
                <w:szCs w:val="24"/>
                <w:vertAlign w:val="superscript"/>
              </w:rPr>
              <w:footnoteReference w:id="2"/>
            </w:r>
            <w:r w:rsidRPr="00363609">
              <w:rPr>
                <w:rFonts w:ascii="Times New Roman" w:hAnsi="Times New Roman"/>
                <w:sz w:val="24"/>
                <w:szCs w:val="24"/>
              </w:rPr>
              <w:t xml:space="preserve"> </w:t>
            </w:r>
          </w:p>
        </w:tc>
      </w:tr>
    </w:tbl>
    <w:p w:rsidR="00D84DA7" w:rsidRPr="00363609" w:rsidRDefault="00D84DA7" w:rsidP="00CA63F0">
      <w:pPr>
        <w:rPr>
          <w:rFonts w:ascii="Times New Roman" w:hAnsi="Times New Roman"/>
          <w:b/>
          <w:sz w:val="24"/>
          <w:szCs w:val="24"/>
        </w:rPr>
      </w:pPr>
    </w:p>
    <w:sectPr w:rsidR="00D84DA7" w:rsidRPr="00363609" w:rsidSect="000E5AFB">
      <w:headerReference w:type="even" r:id="rId8"/>
      <w:headerReference w:type="default" r:id="rId9"/>
      <w:footerReference w:type="even" r:id="rId10"/>
      <w:footerReference w:type="default" r:id="rId11"/>
      <w:headerReference w:type="first" r:id="rId12"/>
      <w:footerReference w:type="first" r:id="rId13"/>
      <w:pgSz w:w="12240" w:h="15840"/>
      <w:pgMar w:top="81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34" w:rsidRDefault="00F35F34" w:rsidP="00943D4E">
      <w:r>
        <w:separator/>
      </w:r>
    </w:p>
  </w:endnote>
  <w:endnote w:type="continuationSeparator" w:id="0">
    <w:p w:rsidR="00F35F34" w:rsidRDefault="00F35F34" w:rsidP="009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2" w:rsidRDefault="00335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2" w:rsidRPr="003357F2" w:rsidRDefault="003357F2">
    <w:pPr>
      <w:pStyle w:val="Footer"/>
      <w:pBdr>
        <w:top w:val="thinThickSmallGap" w:sz="24" w:space="1" w:color="622423" w:themeColor="accent2" w:themeShade="7F"/>
      </w:pBdr>
      <w:rPr>
        <w:rFonts w:ascii="Times New Roman" w:hAnsi="Times New Roman"/>
        <w:sz w:val="20"/>
        <w:szCs w:val="20"/>
      </w:rPr>
    </w:pPr>
    <w:r w:rsidRPr="003357F2">
      <w:rPr>
        <w:rFonts w:ascii="Times New Roman" w:hAnsi="Times New Roman"/>
        <w:sz w:val="20"/>
        <w:szCs w:val="20"/>
      </w:rPr>
      <w:t>Massachusetts Department of Elementary and Secondary Education</w:t>
    </w:r>
    <w:r w:rsidRPr="003357F2">
      <w:rPr>
        <w:rFonts w:ascii="Times New Roman" w:hAnsi="Times New Roman"/>
        <w:sz w:val="20"/>
        <w:szCs w:val="20"/>
      </w:rPr>
      <w:ptab w:relativeTo="margin" w:alignment="right" w:leader="none"/>
    </w:r>
    <w:r w:rsidRPr="003357F2">
      <w:rPr>
        <w:rFonts w:ascii="Times New Roman" w:hAnsi="Times New Roman"/>
        <w:sz w:val="20"/>
        <w:szCs w:val="20"/>
      </w:rPr>
      <w:t xml:space="preserve">Page </w:t>
    </w:r>
    <w:r w:rsidR="00FE2950" w:rsidRPr="003357F2">
      <w:rPr>
        <w:rFonts w:ascii="Times New Roman" w:hAnsi="Times New Roman"/>
        <w:sz w:val="20"/>
        <w:szCs w:val="20"/>
      </w:rPr>
      <w:fldChar w:fldCharType="begin"/>
    </w:r>
    <w:r w:rsidRPr="003357F2">
      <w:rPr>
        <w:rFonts w:ascii="Times New Roman" w:hAnsi="Times New Roman"/>
        <w:sz w:val="20"/>
        <w:szCs w:val="20"/>
      </w:rPr>
      <w:instrText xml:space="preserve"> PAGE   \* MERGEFORMAT </w:instrText>
    </w:r>
    <w:r w:rsidR="00FE2950" w:rsidRPr="003357F2">
      <w:rPr>
        <w:rFonts w:ascii="Times New Roman" w:hAnsi="Times New Roman"/>
        <w:sz w:val="20"/>
        <w:szCs w:val="20"/>
      </w:rPr>
      <w:fldChar w:fldCharType="separate"/>
    </w:r>
    <w:r w:rsidR="00596BF6">
      <w:rPr>
        <w:rFonts w:ascii="Times New Roman" w:hAnsi="Times New Roman"/>
        <w:noProof/>
        <w:sz w:val="20"/>
        <w:szCs w:val="20"/>
      </w:rPr>
      <w:t>1</w:t>
    </w:r>
    <w:r w:rsidR="00FE2950" w:rsidRPr="003357F2">
      <w:rPr>
        <w:rFonts w:ascii="Times New Roman" w:hAnsi="Times New Roman"/>
        <w:sz w:val="20"/>
        <w:szCs w:val="20"/>
      </w:rPr>
      <w:fldChar w:fldCharType="end"/>
    </w:r>
  </w:p>
  <w:p w:rsidR="00B02F10" w:rsidRPr="00295C6F" w:rsidRDefault="00B02F10">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2" w:rsidRDefault="00335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34" w:rsidRDefault="00F35F34" w:rsidP="00943D4E">
      <w:r>
        <w:separator/>
      </w:r>
    </w:p>
  </w:footnote>
  <w:footnote w:type="continuationSeparator" w:id="0">
    <w:p w:rsidR="00F35F34" w:rsidRDefault="00F35F34" w:rsidP="00943D4E">
      <w:r>
        <w:continuationSeparator/>
      </w:r>
    </w:p>
  </w:footnote>
  <w:footnote w:id="1">
    <w:p w:rsidR="00363609" w:rsidRDefault="00363609" w:rsidP="00363609">
      <w:pPr>
        <w:pStyle w:val="FootnoteText"/>
      </w:pPr>
      <w:r w:rsidRPr="00CC2C65">
        <w:rPr>
          <w:rStyle w:val="FootnoteReference"/>
          <w:rFonts w:eastAsiaTheme="minorHAnsi"/>
          <w:vertAlign w:val="superscript"/>
        </w:rPr>
        <w:footnoteRef/>
      </w:r>
      <w:r w:rsidRPr="00CC2C65">
        <w:rPr>
          <w:vertAlign w:val="superscript"/>
        </w:rPr>
        <w:t xml:space="preserve"> </w:t>
      </w:r>
      <w:r>
        <w:t>The overlap between the Match charter school and the private entities includes shared office space; approximately thirteen shared employees, including the chief executive officer, the chief operating officer, and the general counsel; members of the board of trustees of the charter schools moving to the board of an associated private entity; and current and former employees of the charter schools serving on boards of the private entities.</w:t>
      </w:r>
    </w:p>
  </w:footnote>
  <w:footnote w:id="2">
    <w:p w:rsidR="00363609" w:rsidRDefault="00363609" w:rsidP="00363609">
      <w:pPr>
        <w:pStyle w:val="FootnoteText"/>
      </w:pPr>
      <w:r w:rsidRPr="00030404">
        <w:rPr>
          <w:rStyle w:val="FootnoteReference"/>
          <w:rFonts w:eastAsiaTheme="minorHAnsi"/>
          <w:vertAlign w:val="superscript"/>
        </w:rPr>
        <w:footnoteRef/>
      </w:r>
      <w:r w:rsidRPr="00030404">
        <w:rPr>
          <w:vertAlign w:val="superscript"/>
        </w:rPr>
        <w:t xml:space="preserve"> </w:t>
      </w:r>
      <w:r>
        <w:t xml:space="preserve">The Match charter schools and the private entities utilize the common “brand name” of “Match Education.”  </w:t>
      </w:r>
      <w:proofErr w:type="gramStart"/>
      <w:r>
        <w:t>On its website, Match Education states that “[w]</w:t>
      </w:r>
      <w:r w:rsidRPr="00473E3F">
        <w:t>e operate high-performing urban public charter schools and a unique graduate school of education that trains teachers for high-poverty schools.</w:t>
      </w:r>
      <w:r>
        <w:t>”</w:t>
      </w:r>
      <w:proofErr w:type="gramEnd"/>
      <w:r>
        <w:t xml:space="preserve">  In explaining the work of Match Education, the website states that “[o]</w:t>
      </w:r>
      <w:proofErr w:type="spellStart"/>
      <w:r w:rsidRPr="00473E3F">
        <w:t>ur</w:t>
      </w:r>
      <w:proofErr w:type="spellEnd"/>
      <w:r w:rsidRPr="00473E3F">
        <w:t xml:space="preserve"> work is organized into three divisions:</w:t>
      </w:r>
      <w:r>
        <w:t>” Match Schools, Match Teachers, and Match Export.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2" w:rsidRDefault="0033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2" w:rsidRDefault="00335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F2" w:rsidRDefault="00335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1D8D"/>
    <w:multiLevelType w:val="hybridMultilevel"/>
    <w:tmpl w:val="D856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F6173E"/>
    <w:multiLevelType w:val="hybridMultilevel"/>
    <w:tmpl w:val="CDCA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D5"/>
    <w:rsid w:val="000011CB"/>
    <w:rsid w:val="00002D53"/>
    <w:rsid w:val="000410A6"/>
    <w:rsid w:val="00065FE1"/>
    <w:rsid w:val="00066D63"/>
    <w:rsid w:val="00080370"/>
    <w:rsid w:val="000957F9"/>
    <w:rsid w:val="000B0A42"/>
    <w:rsid w:val="000C3064"/>
    <w:rsid w:val="000E5AFB"/>
    <w:rsid w:val="0010691E"/>
    <w:rsid w:val="0011227B"/>
    <w:rsid w:val="00113472"/>
    <w:rsid w:val="00116693"/>
    <w:rsid w:val="00144A48"/>
    <w:rsid w:val="00145E0F"/>
    <w:rsid w:val="00153FE7"/>
    <w:rsid w:val="001C39EE"/>
    <w:rsid w:val="0021313B"/>
    <w:rsid w:val="00253973"/>
    <w:rsid w:val="002703CF"/>
    <w:rsid w:val="0028582B"/>
    <w:rsid w:val="00295C6F"/>
    <w:rsid w:val="002C2AA5"/>
    <w:rsid w:val="002C42ED"/>
    <w:rsid w:val="002C4579"/>
    <w:rsid w:val="002D0258"/>
    <w:rsid w:val="002D06B6"/>
    <w:rsid w:val="003357F2"/>
    <w:rsid w:val="00351357"/>
    <w:rsid w:val="00357B0A"/>
    <w:rsid w:val="00363609"/>
    <w:rsid w:val="00366FB0"/>
    <w:rsid w:val="003675A5"/>
    <w:rsid w:val="00395F46"/>
    <w:rsid w:val="003A784B"/>
    <w:rsid w:val="003C3C08"/>
    <w:rsid w:val="0040035F"/>
    <w:rsid w:val="00416280"/>
    <w:rsid w:val="00422146"/>
    <w:rsid w:val="0043012B"/>
    <w:rsid w:val="00473DBC"/>
    <w:rsid w:val="004B22EB"/>
    <w:rsid w:val="004D14B1"/>
    <w:rsid w:val="0050497A"/>
    <w:rsid w:val="00521B45"/>
    <w:rsid w:val="00542743"/>
    <w:rsid w:val="0054310D"/>
    <w:rsid w:val="005515CC"/>
    <w:rsid w:val="00554308"/>
    <w:rsid w:val="00574AEE"/>
    <w:rsid w:val="00596BF6"/>
    <w:rsid w:val="005A3EB3"/>
    <w:rsid w:val="005A5290"/>
    <w:rsid w:val="005C3E37"/>
    <w:rsid w:val="005E2FBC"/>
    <w:rsid w:val="005E778D"/>
    <w:rsid w:val="00610052"/>
    <w:rsid w:val="0061595D"/>
    <w:rsid w:val="00624A7E"/>
    <w:rsid w:val="006425C9"/>
    <w:rsid w:val="006B738A"/>
    <w:rsid w:val="006B7934"/>
    <w:rsid w:val="006D06BF"/>
    <w:rsid w:val="006F0470"/>
    <w:rsid w:val="006F7776"/>
    <w:rsid w:val="00715128"/>
    <w:rsid w:val="007268AC"/>
    <w:rsid w:val="008103DD"/>
    <w:rsid w:val="00835ED1"/>
    <w:rsid w:val="00856EE3"/>
    <w:rsid w:val="0086048F"/>
    <w:rsid w:val="008747AB"/>
    <w:rsid w:val="00881D09"/>
    <w:rsid w:val="00884F05"/>
    <w:rsid w:val="008C6665"/>
    <w:rsid w:val="008E0C52"/>
    <w:rsid w:val="008E2FDF"/>
    <w:rsid w:val="00913992"/>
    <w:rsid w:val="00943D4E"/>
    <w:rsid w:val="00947353"/>
    <w:rsid w:val="009A224A"/>
    <w:rsid w:val="009B3D10"/>
    <w:rsid w:val="009C4AE5"/>
    <w:rsid w:val="009C4ED5"/>
    <w:rsid w:val="00A03CCC"/>
    <w:rsid w:val="00A17C6A"/>
    <w:rsid w:val="00A34ED3"/>
    <w:rsid w:val="00A84660"/>
    <w:rsid w:val="00B02F10"/>
    <w:rsid w:val="00B04AF7"/>
    <w:rsid w:val="00B62FA6"/>
    <w:rsid w:val="00B6632D"/>
    <w:rsid w:val="00B66589"/>
    <w:rsid w:val="00BB1378"/>
    <w:rsid w:val="00BD0025"/>
    <w:rsid w:val="00BD0F7A"/>
    <w:rsid w:val="00BE512F"/>
    <w:rsid w:val="00BE6DA9"/>
    <w:rsid w:val="00BE7A43"/>
    <w:rsid w:val="00C12B20"/>
    <w:rsid w:val="00C249D7"/>
    <w:rsid w:val="00C27985"/>
    <w:rsid w:val="00C30C8D"/>
    <w:rsid w:val="00C86AA4"/>
    <w:rsid w:val="00CA63F0"/>
    <w:rsid w:val="00CD2EC7"/>
    <w:rsid w:val="00CD5490"/>
    <w:rsid w:val="00CE503B"/>
    <w:rsid w:val="00D45D03"/>
    <w:rsid w:val="00D75A81"/>
    <w:rsid w:val="00D84DA7"/>
    <w:rsid w:val="00DA6AC0"/>
    <w:rsid w:val="00DC0DBF"/>
    <w:rsid w:val="00DF4ADD"/>
    <w:rsid w:val="00E20E51"/>
    <w:rsid w:val="00E20FE2"/>
    <w:rsid w:val="00E72B81"/>
    <w:rsid w:val="00E758AC"/>
    <w:rsid w:val="00EA2A75"/>
    <w:rsid w:val="00EA69A1"/>
    <w:rsid w:val="00EB20C1"/>
    <w:rsid w:val="00ED78C1"/>
    <w:rsid w:val="00EE7691"/>
    <w:rsid w:val="00EF4708"/>
    <w:rsid w:val="00F25E76"/>
    <w:rsid w:val="00F265A5"/>
    <w:rsid w:val="00F35F34"/>
    <w:rsid w:val="00F72480"/>
    <w:rsid w:val="00F9483E"/>
    <w:rsid w:val="00FB52AC"/>
    <w:rsid w:val="00FB602A"/>
    <w:rsid w:val="00FC6DD1"/>
    <w:rsid w:val="00FD551F"/>
    <w:rsid w:val="00FE10A5"/>
    <w:rsid w:val="00FE2950"/>
    <w:rsid w:val="00FE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D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0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F72480"/>
    <w:rPr>
      <w:i/>
    </w:rPr>
  </w:style>
  <w:style w:type="paragraph" w:styleId="Header">
    <w:name w:val="header"/>
    <w:basedOn w:val="Normal"/>
    <w:link w:val="HeaderChar"/>
    <w:rsid w:val="00943D4E"/>
    <w:pPr>
      <w:tabs>
        <w:tab w:val="center" w:pos="4680"/>
        <w:tab w:val="right" w:pos="9360"/>
      </w:tabs>
    </w:pPr>
  </w:style>
  <w:style w:type="character" w:customStyle="1" w:styleId="HeaderChar">
    <w:name w:val="Header Char"/>
    <w:basedOn w:val="DefaultParagraphFont"/>
    <w:link w:val="Header"/>
    <w:rsid w:val="00943D4E"/>
    <w:rPr>
      <w:rFonts w:ascii="Calibri" w:eastAsiaTheme="minorHAnsi" w:hAnsi="Calibri"/>
      <w:sz w:val="22"/>
      <w:szCs w:val="22"/>
    </w:rPr>
  </w:style>
  <w:style w:type="paragraph" w:styleId="Footer">
    <w:name w:val="footer"/>
    <w:basedOn w:val="Normal"/>
    <w:link w:val="FooterChar"/>
    <w:uiPriority w:val="99"/>
    <w:rsid w:val="00943D4E"/>
    <w:pPr>
      <w:tabs>
        <w:tab w:val="center" w:pos="4680"/>
        <w:tab w:val="right" w:pos="9360"/>
      </w:tabs>
    </w:pPr>
  </w:style>
  <w:style w:type="character" w:customStyle="1" w:styleId="FooterChar">
    <w:name w:val="Footer Char"/>
    <w:basedOn w:val="DefaultParagraphFont"/>
    <w:link w:val="Footer"/>
    <w:uiPriority w:val="99"/>
    <w:rsid w:val="00943D4E"/>
    <w:rPr>
      <w:rFonts w:ascii="Calibri" w:eastAsiaTheme="minorHAnsi" w:hAnsi="Calibri"/>
      <w:sz w:val="22"/>
      <w:szCs w:val="22"/>
    </w:rPr>
  </w:style>
  <w:style w:type="paragraph" w:styleId="BalloonText">
    <w:name w:val="Balloon Text"/>
    <w:basedOn w:val="Normal"/>
    <w:link w:val="BalloonTextChar"/>
    <w:rsid w:val="00943D4E"/>
    <w:rPr>
      <w:rFonts w:ascii="Tahoma" w:hAnsi="Tahoma" w:cs="Tahoma"/>
      <w:sz w:val="16"/>
      <w:szCs w:val="16"/>
    </w:rPr>
  </w:style>
  <w:style w:type="character" w:customStyle="1" w:styleId="BalloonTextChar">
    <w:name w:val="Balloon Text Char"/>
    <w:basedOn w:val="DefaultParagraphFont"/>
    <w:link w:val="BalloonText"/>
    <w:rsid w:val="00943D4E"/>
    <w:rPr>
      <w:rFonts w:ascii="Tahoma" w:eastAsiaTheme="minorHAnsi" w:hAnsi="Tahoma" w:cs="Tahoma"/>
      <w:sz w:val="16"/>
      <w:szCs w:val="16"/>
    </w:rPr>
  </w:style>
  <w:style w:type="paragraph" w:customStyle="1" w:styleId="Body">
    <w:name w:val="Body"/>
    <w:basedOn w:val="Normal"/>
    <w:link w:val="BodyChar"/>
    <w:rsid w:val="00D84DA7"/>
    <w:pPr>
      <w:spacing w:after="120"/>
    </w:pPr>
    <w:rPr>
      <w:rFonts w:ascii="Times New Roman" w:eastAsia="Times New Roman" w:hAnsi="Times New Roman"/>
      <w:sz w:val="24"/>
      <w:szCs w:val="24"/>
    </w:rPr>
  </w:style>
  <w:style w:type="character" w:customStyle="1" w:styleId="BodyChar">
    <w:name w:val="Body Char"/>
    <w:basedOn w:val="DefaultParagraphFont"/>
    <w:link w:val="Body"/>
    <w:rsid w:val="00D84DA7"/>
    <w:rPr>
      <w:sz w:val="24"/>
      <w:szCs w:val="24"/>
    </w:rPr>
  </w:style>
  <w:style w:type="paragraph" w:styleId="BodyTextIndent">
    <w:name w:val="Body Text Indent"/>
    <w:basedOn w:val="Normal"/>
    <w:link w:val="BodyTextIndentChar"/>
    <w:rsid w:val="002703CF"/>
    <w:pPr>
      <w:widowControl w:val="0"/>
      <w:autoSpaceDE w:val="0"/>
      <w:autoSpaceDN w:val="0"/>
      <w:adjustRightInd w:val="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703CF"/>
    <w:rPr>
      <w:sz w:val="24"/>
      <w:szCs w:val="24"/>
    </w:rPr>
  </w:style>
  <w:style w:type="table" w:styleId="TableGrid">
    <w:name w:val="Table Grid"/>
    <w:basedOn w:val="TableNormal"/>
    <w:rsid w:val="002703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363609"/>
    <w:pPr>
      <w:spacing w:after="120" w:line="480" w:lineRule="auto"/>
    </w:pPr>
  </w:style>
  <w:style w:type="character" w:customStyle="1" w:styleId="BodyText2Char">
    <w:name w:val="Body Text 2 Char"/>
    <w:basedOn w:val="DefaultParagraphFont"/>
    <w:link w:val="BodyText2"/>
    <w:rsid w:val="00363609"/>
    <w:rPr>
      <w:rFonts w:ascii="Calibri" w:eastAsiaTheme="minorHAnsi" w:hAnsi="Calibri"/>
      <w:sz w:val="22"/>
      <w:szCs w:val="22"/>
    </w:rPr>
  </w:style>
  <w:style w:type="character" w:styleId="FootnoteReference">
    <w:name w:val="footnote reference"/>
    <w:basedOn w:val="DefaultParagraphFont"/>
    <w:semiHidden/>
    <w:rsid w:val="00363609"/>
    <w:rPr>
      <w:rFonts w:cs="Times New Roman"/>
    </w:rPr>
  </w:style>
  <w:style w:type="paragraph" w:styleId="FootnoteText">
    <w:name w:val="footnote text"/>
    <w:basedOn w:val="Normal"/>
    <w:link w:val="FootnoteTextChar"/>
    <w:semiHidden/>
    <w:rsid w:val="00363609"/>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63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D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0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F72480"/>
    <w:rPr>
      <w:i/>
    </w:rPr>
  </w:style>
  <w:style w:type="paragraph" w:styleId="Header">
    <w:name w:val="header"/>
    <w:basedOn w:val="Normal"/>
    <w:link w:val="HeaderChar"/>
    <w:rsid w:val="00943D4E"/>
    <w:pPr>
      <w:tabs>
        <w:tab w:val="center" w:pos="4680"/>
        <w:tab w:val="right" w:pos="9360"/>
      </w:tabs>
    </w:pPr>
  </w:style>
  <w:style w:type="character" w:customStyle="1" w:styleId="HeaderChar">
    <w:name w:val="Header Char"/>
    <w:basedOn w:val="DefaultParagraphFont"/>
    <w:link w:val="Header"/>
    <w:rsid w:val="00943D4E"/>
    <w:rPr>
      <w:rFonts w:ascii="Calibri" w:eastAsiaTheme="minorHAnsi" w:hAnsi="Calibri"/>
      <w:sz w:val="22"/>
      <w:szCs w:val="22"/>
    </w:rPr>
  </w:style>
  <w:style w:type="paragraph" w:styleId="Footer">
    <w:name w:val="footer"/>
    <w:basedOn w:val="Normal"/>
    <w:link w:val="FooterChar"/>
    <w:uiPriority w:val="99"/>
    <w:rsid w:val="00943D4E"/>
    <w:pPr>
      <w:tabs>
        <w:tab w:val="center" w:pos="4680"/>
        <w:tab w:val="right" w:pos="9360"/>
      </w:tabs>
    </w:pPr>
  </w:style>
  <w:style w:type="character" w:customStyle="1" w:styleId="FooterChar">
    <w:name w:val="Footer Char"/>
    <w:basedOn w:val="DefaultParagraphFont"/>
    <w:link w:val="Footer"/>
    <w:uiPriority w:val="99"/>
    <w:rsid w:val="00943D4E"/>
    <w:rPr>
      <w:rFonts w:ascii="Calibri" w:eastAsiaTheme="minorHAnsi" w:hAnsi="Calibri"/>
      <w:sz w:val="22"/>
      <w:szCs w:val="22"/>
    </w:rPr>
  </w:style>
  <w:style w:type="paragraph" w:styleId="BalloonText">
    <w:name w:val="Balloon Text"/>
    <w:basedOn w:val="Normal"/>
    <w:link w:val="BalloonTextChar"/>
    <w:rsid w:val="00943D4E"/>
    <w:rPr>
      <w:rFonts w:ascii="Tahoma" w:hAnsi="Tahoma" w:cs="Tahoma"/>
      <w:sz w:val="16"/>
      <w:szCs w:val="16"/>
    </w:rPr>
  </w:style>
  <w:style w:type="character" w:customStyle="1" w:styleId="BalloonTextChar">
    <w:name w:val="Balloon Text Char"/>
    <w:basedOn w:val="DefaultParagraphFont"/>
    <w:link w:val="BalloonText"/>
    <w:rsid w:val="00943D4E"/>
    <w:rPr>
      <w:rFonts w:ascii="Tahoma" w:eastAsiaTheme="minorHAnsi" w:hAnsi="Tahoma" w:cs="Tahoma"/>
      <w:sz w:val="16"/>
      <w:szCs w:val="16"/>
    </w:rPr>
  </w:style>
  <w:style w:type="paragraph" w:customStyle="1" w:styleId="Body">
    <w:name w:val="Body"/>
    <w:basedOn w:val="Normal"/>
    <w:link w:val="BodyChar"/>
    <w:rsid w:val="00D84DA7"/>
    <w:pPr>
      <w:spacing w:after="120"/>
    </w:pPr>
    <w:rPr>
      <w:rFonts w:ascii="Times New Roman" w:eastAsia="Times New Roman" w:hAnsi="Times New Roman"/>
      <w:sz w:val="24"/>
      <w:szCs w:val="24"/>
    </w:rPr>
  </w:style>
  <w:style w:type="character" w:customStyle="1" w:styleId="BodyChar">
    <w:name w:val="Body Char"/>
    <w:basedOn w:val="DefaultParagraphFont"/>
    <w:link w:val="Body"/>
    <w:rsid w:val="00D84DA7"/>
    <w:rPr>
      <w:sz w:val="24"/>
      <w:szCs w:val="24"/>
    </w:rPr>
  </w:style>
  <w:style w:type="paragraph" w:styleId="BodyTextIndent">
    <w:name w:val="Body Text Indent"/>
    <w:basedOn w:val="Normal"/>
    <w:link w:val="BodyTextIndentChar"/>
    <w:rsid w:val="002703CF"/>
    <w:pPr>
      <w:widowControl w:val="0"/>
      <w:autoSpaceDE w:val="0"/>
      <w:autoSpaceDN w:val="0"/>
      <w:adjustRightInd w:val="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703CF"/>
    <w:rPr>
      <w:sz w:val="24"/>
      <w:szCs w:val="24"/>
    </w:rPr>
  </w:style>
  <w:style w:type="table" w:styleId="TableGrid">
    <w:name w:val="Table Grid"/>
    <w:basedOn w:val="TableNormal"/>
    <w:rsid w:val="002703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363609"/>
    <w:pPr>
      <w:spacing w:after="120" w:line="480" w:lineRule="auto"/>
    </w:pPr>
  </w:style>
  <w:style w:type="character" w:customStyle="1" w:styleId="BodyText2Char">
    <w:name w:val="Body Text 2 Char"/>
    <w:basedOn w:val="DefaultParagraphFont"/>
    <w:link w:val="BodyText2"/>
    <w:rsid w:val="00363609"/>
    <w:rPr>
      <w:rFonts w:ascii="Calibri" w:eastAsiaTheme="minorHAnsi" w:hAnsi="Calibri"/>
      <w:sz w:val="22"/>
      <w:szCs w:val="22"/>
    </w:rPr>
  </w:style>
  <w:style w:type="character" w:styleId="FootnoteReference">
    <w:name w:val="footnote reference"/>
    <w:basedOn w:val="DefaultParagraphFont"/>
    <w:semiHidden/>
    <w:rsid w:val="00363609"/>
    <w:rPr>
      <w:rFonts w:cs="Times New Roman"/>
    </w:rPr>
  </w:style>
  <w:style w:type="paragraph" w:styleId="FootnoteText">
    <w:name w:val="footnote text"/>
    <w:basedOn w:val="Normal"/>
    <w:link w:val="FootnoteTextChar"/>
    <w:semiHidden/>
    <w:rsid w:val="00363609"/>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6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Match Charter Public School Consolidation Amendment Review</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Charter Public School Consolidation Amendment Review</dc:title>
  <dc:subject>Match Charter Public School Consolidation Amendment Review</dc:subject>
  <dc:creator>Massachusetts Department of Elementary and Secondary Education</dc:creator>
  <cp:lastModifiedBy>ESE</cp:lastModifiedBy>
  <cp:revision>2</cp:revision>
  <cp:lastPrinted>2014-02-12T18:52:00Z</cp:lastPrinted>
  <dcterms:created xsi:type="dcterms:W3CDTF">2014-02-20T21:25:00Z</dcterms:created>
  <dcterms:modified xsi:type="dcterms:W3CDTF">2014-02-20T21:25:00Z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2014</vt:lpwstr>
  </property>
</Properties>
</file>