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5" w:rsidRDefault="00A06565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Summary of Public Comments Concerning Proposed Amendments to the </w:t>
      </w:r>
      <w:r>
        <w:rPr>
          <w:b/>
          <w:bCs/>
        </w:rPr>
        <w:t>Massachusetts Charter School Regulations</w:t>
      </w:r>
      <w:r w:rsidR="0043270B">
        <w:rPr>
          <w:b/>
          <w:bCs/>
        </w:rPr>
        <w:t>,</w:t>
      </w:r>
      <w:r>
        <w:rPr>
          <w:b/>
          <w:bCs/>
        </w:rPr>
        <w:t xml:space="preserve"> 603 CMR 1.00</w:t>
      </w:r>
    </w:p>
    <w:p w:rsidR="00A06565" w:rsidRDefault="00A06565">
      <w:pPr>
        <w:spacing w:before="120"/>
        <w:jc w:val="center"/>
        <w:rPr>
          <w:b/>
        </w:rPr>
      </w:pPr>
      <w:r>
        <w:rPr>
          <w:b/>
        </w:rPr>
        <w:t>DRAFT for DISCUSSION ONLY - February 2014</w:t>
      </w:r>
    </w:p>
    <w:p w:rsidR="00A06565" w:rsidRDefault="00A06565">
      <w:pPr>
        <w:pStyle w:val="BodyTextIndent"/>
        <w:ind w:lef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6714"/>
      </w:tblGrid>
      <w:tr w:rsidR="00A06565" w:rsidTr="00D51C26">
        <w:tc>
          <w:tcPr>
            <w:tcW w:w="6318" w:type="dxa"/>
            <w:shd w:val="clear" w:color="auto" w:fill="B8CCE4"/>
          </w:tcPr>
          <w:p w:rsidR="00A06565" w:rsidRDefault="00A06565">
            <w:pPr>
              <w:pStyle w:val="BodyTextIndent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Comments</w:t>
            </w:r>
          </w:p>
        </w:tc>
        <w:tc>
          <w:tcPr>
            <w:tcW w:w="6714" w:type="dxa"/>
            <w:shd w:val="clear" w:color="auto" w:fill="B8CCE4"/>
          </w:tcPr>
          <w:p w:rsidR="00A06565" w:rsidRDefault="00A06565">
            <w:pPr>
              <w:pStyle w:val="BodyTextInden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 Response to Comments and Recommendation</w:t>
            </w:r>
            <w:r w:rsidR="00804B8F">
              <w:rPr>
                <w:b/>
                <w:sz w:val="26"/>
                <w:szCs w:val="26"/>
              </w:rPr>
              <w:t>s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Requests for clarification about Horace Mann charter schools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720"/>
            </w:pP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 xml:space="preserve">Collective bargaining (“work rules” versus “agreed upon provisions of collective bargaining agreement”) </w:t>
            </w:r>
          </w:p>
        </w:tc>
        <w:tc>
          <w:tcPr>
            <w:tcW w:w="6714" w:type="dxa"/>
          </w:tcPr>
          <w:p w:rsidR="00A06565" w:rsidRDefault="00804B8F" w:rsidP="00804B8F">
            <w:pPr>
              <w:pStyle w:val="BodyTextIndent"/>
              <w:ind w:left="0"/>
            </w:pPr>
            <w:r>
              <w:t xml:space="preserve">Clarified the regulation 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 xml:space="preserve">Staffing decisions (Hiring, firing, etc.)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Agreed that there are some ambiguities, but absent legislation, Department focus is on holding board of trustees responsible –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 xml:space="preserve">District/school responsibilities </w:t>
            </w:r>
          </w:p>
        </w:tc>
        <w:tc>
          <w:tcPr>
            <w:tcW w:w="6714" w:type="dxa"/>
          </w:tcPr>
          <w:p w:rsidR="00A06565" w:rsidRDefault="004E5EAA">
            <w:pPr>
              <w:pStyle w:val="BodyTextIndent"/>
              <w:ind w:left="0"/>
            </w:pPr>
            <w:r>
              <w:t xml:space="preserve">Clarified the regulation 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>MOU (union sign-off opening procedures, etc.)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Response to some misperceptions -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 xml:space="preserve">Enrollment preferences </w:t>
            </w:r>
          </w:p>
        </w:tc>
        <w:tc>
          <w:tcPr>
            <w:tcW w:w="6714" w:type="dxa"/>
          </w:tcPr>
          <w:p w:rsidR="00A06565" w:rsidRDefault="004E5EAA">
            <w:pPr>
              <w:pStyle w:val="BodyTextIndent"/>
              <w:ind w:left="0"/>
            </w:pPr>
            <w:r>
              <w:t xml:space="preserve">Clarified the regulation 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numPr>
                <w:ilvl w:val="0"/>
                <w:numId w:val="37"/>
              </w:numPr>
              <w:ind w:left="450"/>
            </w:pPr>
            <w:r>
              <w:t>Amendments</w:t>
            </w:r>
          </w:p>
        </w:tc>
        <w:tc>
          <w:tcPr>
            <w:tcW w:w="6714" w:type="dxa"/>
          </w:tcPr>
          <w:p w:rsidR="00A06565" w:rsidRDefault="004E5EAA">
            <w:pPr>
              <w:pStyle w:val="BodyTextIndent"/>
              <w:ind w:left="0"/>
            </w:pPr>
            <w:r>
              <w:t xml:space="preserve">Clarified the regulation 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Concerns about changing the requisite two phase application process – (losing the current transparency and thoroughness of our review process)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Removed sentence in its entirely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Request for applicants and the Department to respond to public comment during the application review process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Response to some misperceptions -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Proven provider – more focus on access and equity, more disaggregated data (statute doesn’t talk about race); requiring information about suspension, along with expulsion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Incorporated some of the suggested changes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Allowing weighted lotteries of some kind 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Beyond the scope of statute –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R</w:t>
            </w:r>
            <w:r w:rsidR="004E5EAA">
              <w:t>ecruitment</w:t>
            </w:r>
            <w:r>
              <w:t xml:space="preserve"> and R</w:t>
            </w:r>
            <w:r w:rsidR="004E5EAA">
              <w:t>etention</w:t>
            </w:r>
            <w:r>
              <w:t xml:space="preserve"> plan – including specific strategies about disciplinary issues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Beyond the scope of statute –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Boards of Trustees – training (clarification); requests that we emphasize fiduciary responsibilities, along with state ethics and open meeting law responsibilities, also requests to require </w:t>
            </w:r>
            <w:r>
              <w:lastRenderedPageBreak/>
              <w:t xml:space="preserve">board meeting in the local communities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lastRenderedPageBreak/>
              <w:t>Incorporated some of the suggested changes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  <w:rPr>
                <w:b/>
              </w:rPr>
            </w:pPr>
            <w:r>
              <w:lastRenderedPageBreak/>
              <w:t xml:space="preserve">Charter schools and teacher evaluations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Beyond the scope of the statute –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 xml:space="preserve">Investigations – “all significant matters”  </w:t>
            </w:r>
          </w:p>
        </w:tc>
        <w:tc>
          <w:tcPr>
            <w:tcW w:w="6714" w:type="dxa"/>
          </w:tcPr>
          <w:p w:rsidR="00A06565" w:rsidRDefault="004E5EAA" w:rsidP="004E5EAA">
            <w:pPr>
              <w:pStyle w:val="BodyTextIndent"/>
              <w:ind w:left="0"/>
            </w:pPr>
            <w:r>
              <w:t xml:space="preserve">Clarified the regulation 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Amendments – concerns about charter schools changing location of facilities</w:t>
            </w:r>
          </w:p>
        </w:tc>
        <w:tc>
          <w:tcPr>
            <w:tcW w:w="6714" w:type="dxa"/>
          </w:tcPr>
          <w:p w:rsidR="00A06565" w:rsidRDefault="004E5EAA" w:rsidP="004E5EAA">
            <w:pPr>
              <w:pStyle w:val="BodyTextIndent"/>
              <w:ind w:left="0"/>
            </w:pPr>
            <w:r>
              <w:t xml:space="preserve">Clarified the regulation </w:t>
            </w:r>
            <w:r w:rsidR="00A06565">
              <w:t>about changing locations in districts already specified in charter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Closing schools if they don’t have comparable populations – failure to comply with R</w:t>
            </w:r>
            <w:r w:rsidR="004E5EAA">
              <w:t>ecruitment</w:t>
            </w:r>
            <w:r>
              <w:t xml:space="preserve"> and R</w:t>
            </w:r>
            <w:r w:rsidR="004E5EAA">
              <w:t>etention</w:t>
            </w:r>
            <w:r>
              <w:t xml:space="preserve"> plan 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Inconsistent with statute – 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Concerns about waivers (in general, opening procedures, delegation)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No change recommended</w:t>
            </w:r>
          </w:p>
        </w:tc>
      </w:tr>
      <w:tr w:rsidR="00A06565">
        <w:tc>
          <w:tcPr>
            <w:tcW w:w="6318" w:type="dxa"/>
          </w:tcPr>
          <w:p w:rsidR="00A06565" w:rsidRDefault="00A06565">
            <w:pPr>
              <w:pStyle w:val="BodyTextIndent"/>
              <w:ind w:left="0"/>
            </w:pPr>
            <w:r>
              <w:t>General concerns about delegation of authority from Board to Commissioner (Amendments, possible waivers-not even included in the amended regulations)</w:t>
            </w:r>
          </w:p>
        </w:tc>
        <w:tc>
          <w:tcPr>
            <w:tcW w:w="6714" w:type="dxa"/>
          </w:tcPr>
          <w:p w:rsidR="00A06565" w:rsidRDefault="00A06565">
            <w:pPr>
              <w:pStyle w:val="BodyTextIndent"/>
              <w:ind w:left="0"/>
            </w:pPr>
            <w:r>
              <w:t>No change recommended</w:t>
            </w:r>
          </w:p>
        </w:tc>
      </w:tr>
    </w:tbl>
    <w:p w:rsidR="00A06565" w:rsidRDefault="00A06565">
      <w:pPr>
        <w:pStyle w:val="BodyTextIndent"/>
        <w:ind w:left="0"/>
      </w:pPr>
    </w:p>
    <w:sectPr w:rsidR="00A06565" w:rsidSect="00D51C26">
      <w:footerReference w:type="default" r:id="rId13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1C" w:rsidRDefault="00783F1C">
      <w:r>
        <w:separator/>
      </w:r>
    </w:p>
  </w:endnote>
  <w:endnote w:type="continuationSeparator" w:id="0">
    <w:p w:rsidR="00783F1C" w:rsidRDefault="0078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5" w:rsidRDefault="00A0656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30D8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30D8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1C" w:rsidRDefault="00783F1C">
      <w:r>
        <w:separator/>
      </w:r>
    </w:p>
  </w:footnote>
  <w:footnote w:type="continuationSeparator" w:id="0">
    <w:p w:rsidR="00783F1C" w:rsidRDefault="0078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81"/>
    <w:multiLevelType w:val="multilevel"/>
    <w:tmpl w:val="6F5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2DE"/>
    <w:multiLevelType w:val="multilevel"/>
    <w:tmpl w:val="14D6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F34"/>
    <w:multiLevelType w:val="hybridMultilevel"/>
    <w:tmpl w:val="78F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A54"/>
    <w:multiLevelType w:val="multilevel"/>
    <w:tmpl w:val="745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C715B"/>
    <w:multiLevelType w:val="hybridMultilevel"/>
    <w:tmpl w:val="001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4682"/>
    <w:multiLevelType w:val="hybridMultilevel"/>
    <w:tmpl w:val="E594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533"/>
    <w:multiLevelType w:val="hybridMultilevel"/>
    <w:tmpl w:val="03A0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553B6"/>
    <w:multiLevelType w:val="hybridMultilevel"/>
    <w:tmpl w:val="4C24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44642"/>
    <w:multiLevelType w:val="hybridMultilevel"/>
    <w:tmpl w:val="EFD4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0E71"/>
    <w:multiLevelType w:val="hybridMultilevel"/>
    <w:tmpl w:val="773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518"/>
    <w:multiLevelType w:val="multilevel"/>
    <w:tmpl w:val="84705E8A"/>
    <w:lvl w:ilvl="0">
      <w:start w:val="1"/>
      <w:numFmt w:val="decimal"/>
      <w:lvlText w:val="(%1)"/>
      <w:lvlJc w:val="left"/>
      <w:pPr>
        <w:ind w:left="360" w:firstLine="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008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2376"/>
        </w:tabs>
        <w:ind w:left="2880" w:hanging="504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3096" w:hanging="28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 w:hint="default"/>
      </w:rPr>
    </w:lvl>
  </w:abstractNum>
  <w:abstractNum w:abstractNumId="11">
    <w:nsid w:val="28311D1F"/>
    <w:multiLevelType w:val="hybridMultilevel"/>
    <w:tmpl w:val="A820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15A82"/>
    <w:multiLevelType w:val="hybridMultilevel"/>
    <w:tmpl w:val="43FA245C"/>
    <w:lvl w:ilvl="0" w:tplc="82A8FA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063E7"/>
    <w:multiLevelType w:val="hybridMultilevel"/>
    <w:tmpl w:val="7F14B1A4"/>
    <w:lvl w:ilvl="0" w:tplc="63EA7B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1ED5"/>
    <w:multiLevelType w:val="multilevel"/>
    <w:tmpl w:val="02BC2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47944DDE"/>
    <w:multiLevelType w:val="hybridMultilevel"/>
    <w:tmpl w:val="65BEA810"/>
    <w:lvl w:ilvl="0" w:tplc="D310B6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581F"/>
    <w:multiLevelType w:val="hybridMultilevel"/>
    <w:tmpl w:val="C5B2E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37DF"/>
    <w:multiLevelType w:val="hybridMultilevel"/>
    <w:tmpl w:val="586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0BD3"/>
    <w:multiLevelType w:val="multilevel"/>
    <w:tmpl w:val="AB8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A4E9D"/>
    <w:multiLevelType w:val="hybridMultilevel"/>
    <w:tmpl w:val="2EE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075DC"/>
    <w:multiLevelType w:val="hybridMultilevel"/>
    <w:tmpl w:val="4F8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4348C"/>
    <w:multiLevelType w:val="hybridMultilevel"/>
    <w:tmpl w:val="8CB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86B5F"/>
    <w:multiLevelType w:val="hybridMultilevel"/>
    <w:tmpl w:val="D2AC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24BBC"/>
    <w:multiLevelType w:val="hybridMultilevel"/>
    <w:tmpl w:val="76C6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F2946"/>
    <w:multiLevelType w:val="hybridMultilevel"/>
    <w:tmpl w:val="68B0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F"/>
    <w:multiLevelType w:val="multilevel"/>
    <w:tmpl w:val="7DE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22013"/>
    <w:multiLevelType w:val="hybridMultilevel"/>
    <w:tmpl w:val="EB4EA9E0"/>
    <w:lvl w:ilvl="0" w:tplc="2072FC1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9B5603"/>
    <w:multiLevelType w:val="hybridMultilevel"/>
    <w:tmpl w:val="F872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7896"/>
    <w:multiLevelType w:val="multilevel"/>
    <w:tmpl w:val="B13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C693E"/>
    <w:multiLevelType w:val="hybridMultilevel"/>
    <w:tmpl w:val="9E6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16C39"/>
    <w:multiLevelType w:val="hybridMultilevel"/>
    <w:tmpl w:val="42E26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95197"/>
    <w:multiLevelType w:val="multilevel"/>
    <w:tmpl w:val="8C6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F2DE4"/>
    <w:multiLevelType w:val="hybridMultilevel"/>
    <w:tmpl w:val="F6A6DD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D0B00"/>
    <w:multiLevelType w:val="hybridMultilevel"/>
    <w:tmpl w:val="66E49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BBB"/>
    <w:multiLevelType w:val="hybridMultilevel"/>
    <w:tmpl w:val="3836FED0"/>
    <w:lvl w:ilvl="0" w:tplc="4934C45A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1425"/>
    <w:multiLevelType w:val="hybridMultilevel"/>
    <w:tmpl w:val="F6F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C2B86"/>
    <w:multiLevelType w:val="multilevel"/>
    <w:tmpl w:val="BFE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16"/>
  </w:num>
  <w:num w:numId="5">
    <w:abstractNumId w:val="33"/>
  </w:num>
  <w:num w:numId="6">
    <w:abstractNumId w:val="30"/>
  </w:num>
  <w:num w:numId="7">
    <w:abstractNumId w:val="10"/>
  </w:num>
  <w:num w:numId="8">
    <w:abstractNumId w:val="23"/>
  </w:num>
  <w:num w:numId="9">
    <w:abstractNumId w:val="5"/>
  </w:num>
  <w:num w:numId="10">
    <w:abstractNumId w:val="15"/>
  </w:num>
  <w:num w:numId="11">
    <w:abstractNumId w:val="12"/>
  </w:num>
  <w:num w:numId="12">
    <w:abstractNumId w:val="26"/>
  </w:num>
  <w:num w:numId="13">
    <w:abstractNumId w:val="13"/>
  </w:num>
  <w:num w:numId="14">
    <w:abstractNumId w:val="32"/>
  </w:num>
  <w:num w:numId="15">
    <w:abstractNumId w:val="8"/>
  </w:num>
  <w:num w:numId="16">
    <w:abstractNumId w:val="31"/>
  </w:num>
  <w:num w:numId="17">
    <w:abstractNumId w:val="4"/>
  </w:num>
  <w:num w:numId="18">
    <w:abstractNumId w:val="25"/>
  </w:num>
  <w:num w:numId="19">
    <w:abstractNumId w:val="1"/>
  </w:num>
  <w:num w:numId="20">
    <w:abstractNumId w:val="18"/>
  </w:num>
  <w:num w:numId="21">
    <w:abstractNumId w:val="0"/>
  </w:num>
  <w:num w:numId="22">
    <w:abstractNumId w:val="3"/>
  </w:num>
  <w:num w:numId="23">
    <w:abstractNumId w:val="36"/>
  </w:num>
  <w:num w:numId="24">
    <w:abstractNumId w:val="28"/>
  </w:num>
  <w:num w:numId="25">
    <w:abstractNumId w:val="20"/>
  </w:num>
  <w:num w:numId="26">
    <w:abstractNumId w:val="14"/>
  </w:num>
  <w:num w:numId="27">
    <w:abstractNumId w:val="21"/>
  </w:num>
  <w:num w:numId="28">
    <w:abstractNumId w:val="35"/>
  </w:num>
  <w:num w:numId="29">
    <w:abstractNumId w:val="6"/>
  </w:num>
  <w:num w:numId="30">
    <w:abstractNumId w:val="34"/>
  </w:num>
  <w:num w:numId="31">
    <w:abstractNumId w:val="22"/>
  </w:num>
  <w:num w:numId="32">
    <w:abstractNumId w:val="29"/>
  </w:num>
  <w:num w:numId="33">
    <w:abstractNumId w:val="27"/>
  </w:num>
  <w:num w:numId="34">
    <w:abstractNumId w:val="19"/>
  </w:num>
  <w:num w:numId="35">
    <w:abstractNumId w:val="11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trackRevisions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C0"/>
    <w:rsid w:val="00176C31"/>
    <w:rsid w:val="003E1948"/>
    <w:rsid w:val="0043270B"/>
    <w:rsid w:val="004E5EAA"/>
    <w:rsid w:val="00530D86"/>
    <w:rsid w:val="005B565E"/>
    <w:rsid w:val="00622480"/>
    <w:rsid w:val="00783F1C"/>
    <w:rsid w:val="007C03B6"/>
    <w:rsid w:val="00804B8F"/>
    <w:rsid w:val="008F6B7D"/>
    <w:rsid w:val="00A06565"/>
    <w:rsid w:val="00AD68C0"/>
    <w:rsid w:val="00D51C26"/>
    <w:rsid w:val="00E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paragraph" w:styleId="BodyText2">
    <w:name w:val="Body Text 2"/>
    <w:basedOn w:val="Normal"/>
    <w:semiHidden/>
    <w:unhideWhenUsed/>
    <w:pPr>
      <w:ind w:right="396"/>
    </w:pPr>
    <w:rPr>
      <w:rFonts w:eastAsia="Calibri"/>
      <w:i/>
      <w:sz w:val="22"/>
      <w:szCs w:val="22"/>
    </w:rPr>
  </w:style>
  <w:style w:type="character" w:customStyle="1" w:styleId="BodyText2Char">
    <w:name w:val="Body Text 2 Char"/>
    <w:basedOn w:val="DefaultParagraphFont"/>
    <w:rPr>
      <w:rFonts w:eastAsia="Calibri"/>
      <w:i/>
      <w:sz w:val="22"/>
      <w:szCs w:val="22"/>
    </w:rPr>
  </w:style>
  <w:style w:type="paragraph" w:styleId="BodyText3">
    <w:name w:val="Body Text 3"/>
    <w:basedOn w:val="Normal"/>
    <w:semiHidden/>
    <w:unhideWhenUsed/>
    <w:pPr>
      <w:ind w:right="396"/>
    </w:pPr>
    <w:rPr>
      <w:rFonts w:eastAsia="Calibri"/>
      <w:sz w:val="22"/>
      <w:szCs w:val="22"/>
    </w:rPr>
  </w:style>
  <w:style w:type="character" w:customStyle="1" w:styleId="BodyText3Char">
    <w:name w:val="Body Text 3 Char"/>
    <w:basedOn w:val="DefaultParagraphFont"/>
    <w:rPr>
      <w:rFonts w:eastAsia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ocked/>
  </w:style>
  <w:style w:type="character" w:customStyle="1" w:styleId="bold1">
    <w:name w:val="bold1"/>
    <w:basedOn w:val="DefaultParagraphFont"/>
    <w:rPr>
      <w:rFonts w:cs="Times New Roman"/>
      <w:b/>
      <w:bCs/>
    </w:rPr>
  </w:style>
  <w:style w:type="character" w:customStyle="1" w:styleId="Heading1Char">
    <w:name w:val="Heading 1 Char"/>
    <w:basedOn w:val="DefaultParagraphFont"/>
    <w:rPr>
      <w:b/>
      <w:sz w:val="24"/>
    </w:rPr>
  </w:style>
  <w:style w:type="character" w:customStyle="1" w:styleId="apple-tab-span">
    <w:name w:val="apple-tab-span"/>
    <w:basedOn w:val="DefaultParagraphFont"/>
  </w:style>
  <w:style w:type="paragraph" w:styleId="Revision">
    <w:name w:val="Revision"/>
    <w:hidden/>
    <w:semiHidden/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eorgia" w:hAnsi="Georgia" w:cs="Arial Unicode MS"/>
      <w:sz w:val="20"/>
      <w:szCs w:val="20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noteTextChar">
    <w:name w:val="Footnote Text Char"/>
    <w:basedOn w:val="DefaultParagraphFont"/>
    <w:semiHidden/>
  </w:style>
  <w:style w:type="character" w:customStyle="1" w:styleId="em">
    <w:name w:val="em"/>
    <w:basedOn w:val="DefaultParagraphFont"/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customStyle="1" w:styleId="Permission">
    <w:name w:val="Permission"/>
    <w:basedOn w:val="Normal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paragraph" w:styleId="BodyText2">
    <w:name w:val="Body Text 2"/>
    <w:basedOn w:val="Normal"/>
    <w:semiHidden/>
    <w:unhideWhenUsed/>
    <w:pPr>
      <w:ind w:right="396"/>
    </w:pPr>
    <w:rPr>
      <w:rFonts w:eastAsia="Calibri"/>
      <w:i/>
      <w:sz w:val="22"/>
      <w:szCs w:val="22"/>
    </w:rPr>
  </w:style>
  <w:style w:type="character" w:customStyle="1" w:styleId="BodyText2Char">
    <w:name w:val="Body Text 2 Char"/>
    <w:basedOn w:val="DefaultParagraphFont"/>
    <w:rPr>
      <w:rFonts w:eastAsia="Calibri"/>
      <w:i/>
      <w:sz w:val="22"/>
      <w:szCs w:val="22"/>
    </w:rPr>
  </w:style>
  <w:style w:type="paragraph" w:styleId="BodyText3">
    <w:name w:val="Body Text 3"/>
    <w:basedOn w:val="Normal"/>
    <w:semiHidden/>
    <w:unhideWhenUsed/>
    <w:pPr>
      <w:ind w:right="396"/>
    </w:pPr>
    <w:rPr>
      <w:rFonts w:eastAsia="Calibri"/>
      <w:sz w:val="22"/>
      <w:szCs w:val="22"/>
    </w:rPr>
  </w:style>
  <w:style w:type="character" w:customStyle="1" w:styleId="BodyText3Char">
    <w:name w:val="Body Text 3 Char"/>
    <w:basedOn w:val="DefaultParagraphFont"/>
    <w:rPr>
      <w:rFonts w:eastAsia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ocked/>
  </w:style>
  <w:style w:type="character" w:customStyle="1" w:styleId="bold1">
    <w:name w:val="bold1"/>
    <w:basedOn w:val="DefaultParagraphFont"/>
    <w:rPr>
      <w:rFonts w:cs="Times New Roman"/>
      <w:b/>
      <w:bCs/>
    </w:rPr>
  </w:style>
  <w:style w:type="character" w:customStyle="1" w:styleId="Heading1Char">
    <w:name w:val="Heading 1 Char"/>
    <w:basedOn w:val="DefaultParagraphFont"/>
    <w:rPr>
      <w:b/>
      <w:sz w:val="24"/>
    </w:rPr>
  </w:style>
  <w:style w:type="character" w:customStyle="1" w:styleId="apple-tab-span">
    <w:name w:val="apple-tab-span"/>
    <w:basedOn w:val="DefaultParagraphFont"/>
  </w:style>
  <w:style w:type="paragraph" w:styleId="Revision">
    <w:name w:val="Revision"/>
    <w:hidden/>
    <w:semiHidden/>
    <w:rPr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eorgia" w:hAnsi="Georgia" w:cs="Arial Unicode MS"/>
      <w:sz w:val="20"/>
      <w:szCs w:val="20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noteTextChar">
    <w:name w:val="Footnote Text Char"/>
    <w:basedOn w:val="DefaultParagraphFont"/>
    <w:semiHidden/>
  </w:style>
  <w:style w:type="character" w:customStyle="1" w:styleId="em">
    <w:name w:val="em"/>
    <w:basedOn w:val="DefaultParagraphFont"/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customStyle="1" w:styleId="Permission">
    <w:name w:val="Permission"/>
    <w:basedOn w:val="Normal"/>
    <w:pPr>
      <w:jc w:val="center"/>
    </w:pPr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8E5926D-1E73-4EB7-A68E-57F8B85862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58A04A-1844-44A1-A9BD-844E56A6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A8793-BEEF-43CB-8868-469D90D70C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B6EC93-2693-4F3A-8E0C-22966408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99C954-27FA-4FA5-8149-29389ECB3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Comments from Public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Comments from Public for Proposed Amendments to 603 CMR 1.00</dc:title>
  <dc:creator>ESE</dc:creator>
  <cp:lastModifiedBy>ESE</cp:lastModifiedBy>
  <cp:revision>2</cp:revision>
  <cp:lastPrinted>2014-03-10T22:35:00Z</cp:lastPrinted>
  <dcterms:created xsi:type="dcterms:W3CDTF">2014-03-20T14:41:00Z</dcterms:created>
  <dcterms:modified xsi:type="dcterms:W3CDTF">2014-03-20T14:41:00Z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DESE-231-5146</vt:lpwstr>
  </property>
  <property fmtid="{D5CDD505-2E9C-101B-9397-08002B2CF9AE}" pid="4" name="_dlc_DocIdItemGuid">
    <vt:lpwstr>67070887-3463-4281-a8fc-25ea4906fd61</vt:lpwstr>
  </property>
  <property fmtid="{D5CDD505-2E9C-101B-9397-08002B2CF9AE}" pid="5" name="_dlc_DocIdUrl">
    <vt:lpwstr>https://sharepoint.doemass.org/ese/webteam/cps/_layouts/DocIdRedir.aspx?ID=DESE-231-5146, DESE-231-5146</vt:lpwstr>
  </property>
  <property fmtid="{D5CDD505-2E9C-101B-9397-08002B2CF9AE}" pid="6" name="metadate">
    <vt:lpwstr>Mar 20 2014</vt:lpwstr>
  </property>
</Properties>
</file>