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80" w:type="dxa"/>
        <w:tblInd w:w="-335" w:type="dxa"/>
        <w:tblLayout w:type="fixed"/>
        <w:tblCellMar>
          <w:left w:w="115" w:type="dxa"/>
          <w:right w:w="115" w:type="dxa"/>
        </w:tblCellMar>
        <w:tblLook w:val="00A0" w:firstRow="1" w:lastRow="0" w:firstColumn="1" w:lastColumn="0" w:noHBand="0" w:noVBand="0"/>
      </w:tblPr>
      <w:tblGrid>
        <w:gridCol w:w="990"/>
        <w:gridCol w:w="4050"/>
        <w:gridCol w:w="2970"/>
        <w:gridCol w:w="2070"/>
      </w:tblGrid>
      <w:tr w:rsidR="005F037D" w14:paraId="692DFD6D" w14:textId="77777777">
        <w:trPr>
          <w:gridAfter w:val="1"/>
          <w:wAfter w:w="2070" w:type="dxa"/>
          <w:trHeight w:val="5040"/>
        </w:trPr>
        <w:tc>
          <w:tcPr>
            <w:tcW w:w="8010" w:type="dxa"/>
            <w:gridSpan w:val="3"/>
          </w:tcPr>
          <w:p w14:paraId="692DFD6B" w14:textId="77777777" w:rsidR="005F037D" w:rsidRDefault="000A7B23">
            <w:pPr>
              <w:keepNext/>
            </w:pPr>
            <w:r>
              <w:rPr>
                <w:noProof/>
              </w:rPr>
              <w:drawing>
                <wp:inline distT="0" distB="0" distL="0" distR="0" wp14:anchorId="692DFEB6" wp14:editId="692DFEB7">
                  <wp:extent cx="2785745" cy="1350645"/>
                  <wp:effectExtent l="0" t="0" r="0" b="0"/>
                  <wp:docPr id="2" name="Picture 2"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SE logo"/>
                          <pic:cNvPicPr>
                            <a:picLocks noChangeAspect="1" noChangeArrowheads="1"/>
                          </pic:cNvPicPr>
                        </pic:nvPicPr>
                        <pic:blipFill>
                          <a:blip r:embed="rId13" cstate="print"/>
                          <a:srcRect/>
                          <a:stretch>
                            <a:fillRect/>
                          </a:stretch>
                        </pic:blipFill>
                        <pic:spPr bwMode="auto">
                          <a:xfrm>
                            <a:off x="0" y="0"/>
                            <a:ext cx="2785745" cy="1350645"/>
                          </a:xfrm>
                          <a:prstGeom prst="rect">
                            <a:avLst/>
                          </a:prstGeom>
                          <a:noFill/>
                          <a:ln w="9525">
                            <a:noFill/>
                            <a:miter lim="800000"/>
                            <a:headEnd/>
                            <a:tailEnd/>
                          </a:ln>
                        </pic:spPr>
                      </pic:pic>
                    </a:graphicData>
                  </a:graphic>
                </wp:inline>
              </w:drawing>
            </w:r>
          </w:p>
          <w:p w14:paraId="692DFD6C" w14:textId="77777777" w:rsidR="005F037D" w:rsidRDefault="005F037D" w:rsidP="00CE1085"/>
        </w:tc>
      </w:tr>
      <w:tr w:rsidR="005F037D" w14:paraId="692DFD70" w14:textId="77777777">
        <w:trPr>
          <w:gridAfter w:val="1"/>
          <w:wAfter w:w="2070" w:type="dxa"/>
          <w:cantSplit/>
          <w:trHeight w:val="200"/>
        </w:trPr>
        <w:tc>
          <w:tcPr>
            <w:tcW w:w="990" w:type="dxa"/>
            <w:vMerge w:val="restart"/>
            <w:vAlign w:val="bottom"/>
          </w:tcPr>
          <w:p w14:paraId="692DFD6E" w14:textId="77777777" w:rsidR="005F037D" w:rsidRPr="00274356" w:rsidRDefault="005F037D" w:rsidP="00274356"/>
        </w:tc>
        <w:tc>
          <w:tcPr>
            <w:tcW w:w="7020" w:type="dxa"/>
            <w:gridSpan w:val="2"/>
            <w:vAlign w:val="bottom"/>
          </w:tcPr>
          <w:p w14:paraId="692DFD6F" w14:textId="77777777" w:rsidR="005F037D" w:rsidRPr="00F66EB7" w:rsidRDefault="00250032" w:rsidP="00F66EB7">
            <w:pPr>
              <w:pStyle w:val="ESEReportName"/>
            </w:pPr>
            <w:r w:rsidRPr="00250032">
              <w:t>Commonwealth of Massachusetts Virtual School Performance Criteria</w:t>
            </w:r>
          </w:p>
        </w:tc>
      </w:tr>
      <w:tr w:rsidR="005F037D" w14:paraId="692DFD73" w14:textId="77777777">
        <w:trPr>
          <w:gridAfter w:val="1"/>
          <w:wAfter w:w="2070" w:type="dxa"/>
          <w:cantSplit/>
          <w:trHeight w:val="240"/>
        </w:trPr>
        <w:tc>
          <w:tcPr>
            <w:tcW w:w="990" w:type="dxa"/>
            <w:vMerge/>
            <w:vAlign w:val="bottom"/>
          </w:tcPr>
          <w:p w14:paraId="692DFD71" w14:textId="77777777" w:rsidR="005F037D" w:rsidRDefault="005F037D">
            <w:pPr>
              <w:spacing w:line="400" w:lineRule="exact"/>
              <w:rPr>
                <w:rFonts w:ascii="Arial" w:hAnsi="Arial"/>
                <w:color w:val="000000"/>
              </w:rPr>
            </w:pPr>
          </w:p>
        </w:tc>
        <w:tc>
          <w:tcPr>
            <w:tcW w:w="7020" w:type="dxa"/>
            <w:gridSpan w:val="2"/>
          </w:tcPr>
          <w:p w14:paraId="692DFD72" w14:textId="77777777" w:rsidR="005F037D" w:rsidRPr="00EB1F6F" w:rsidRDefault="00643583">
            <w:r>
              <w:pict w14:anchorId="692DFEB8">
                <v:rect id="_x0000_i1025" style="width:0;height:1.5pt" o:hrstd="t" o:hr="t" fillcolor="#aaa" stroked="f"/>
              </w:pict>
            </w:r>
          </w:p>
        </w:tc>
      </w:tr>
      <w:tr w:rsidR="005F037D" w14:paraId="692DFD78" w14:textId="77777777">
        <w:trPr>
          <w:gridAfter w:val="1"/>
          <w:wAfter w:w="2070" w:type="dxa"/>
          <w:cantSplit/>
          <w:trHeight w:val="760"/>
        </w:trPr>
        <w:tc>
          <w:tcPr>
            <w:tcW w:w="990" w:type="dxa"/>
            <w:vMerge/>
            <w:vAlign w:val="bottom"/>
          </w:tcPr>
          <w:p w14:paraId="692DFD74" w14:textId="77777777" w:rsidR="005F037D" w:rsidRDefault="005F037D">
            <w:pPr>
              <w:spacing w:line="400" w:lineRule="exact"/>
              <w:rPr>
                <w:rFonts w:ascii="Arial" w:hAnsi="Arial"/>
                <w:color w:val="000000"/>
              </w:rPr>
            </w:pPr>
          </w:p>
        </w:tc>
        <w:tc>
          <w:tcPr>
            <w:tcW w:w="7020" w:type="dxa"/>
            <w:gridSpan w:val="2"/>
          </w:tcPr>
          <w:p w14:paraId="692DFD75" w14:textId="77777777" w:rsidR="00F66EB7" w:rsidRPr="003C5942" w:rsidRDefault="00500099" w:rsidP="00500099">
            <w:pPr>
              <w:pStyle w:val="arial9"/>
              <w:rPr>
                <w:rFonts w:ascii="Calibri" w:hAnsi="Calibri"/>
                <w:sz w:val="20"/>
              </w:rPr>
            </w:pPr>
            <w:r w:rsidRPr="00500099">
              <w:rPr>
                <w:rFonts w:ascii="Calibri" w:hAnsi="Calibri"/>
                <w:sz w:val="20"/>
              </w:rPr>
              <w:t>As defined in in 603 CMR 52.00, the guiding areas of virtual school accountability are academic program success, organizational viability, and faithfulness t</w:t>
            </w:r>
            <w:r>
              <w:rPr>
                <w:rFonts w:ascii="Calibri" w:hAnsi="Calibri"/>
                <w:sz w:val="20"/>
              </w:rPr>
              <w:t>o certificate. These criteria: a</w:t>
            </w:r>
            <w:r w:rsidRPr="00500099">
              <w:rPr>
                <w:rFonts w:ascii="Calibri" w:hAnsi="Calibri"/>
                <w:sz w:val="20"/>
              </w:rPr>
              <w:t>rticulate the expectations for a virtual school from initial application t</w:t>
            </w:r>
            <w:r>
              <w:rPr>
                <w:rFonts w:ascii="Calibri" w:hAnsi="Calibri"/>
                <w:sz w:val="20"/>
              </w:rPr>
              <w:t>hroughout the certificate term; p</w:t>
            </w:r>
            <w:r w:rsidRPr="00500099">
              <w:rPr>
                <w:rFonts w:ascii="Calibri" w:hAnsi="Calibri"/>
                <w:sz w:val="20"/>
              </w:rPr>
              <w:t>rovide clear guidance about how the Massachusetts Board of Elementary and Secondary Education (Board), the Massachusetts Department of Elementary and Secondary Education (ESE), and the Commissioner of Elementary and Secondary Education (Commissioner) define virtual school success and on what basis the</w:t>
            </w:r>
            <w:r>
              <w:rPr>
                <w:rFonts w:ascii="Calibri" w:hAnsi="Calibri"/>
                <w:sz w:val="20"/>
              </w:rPr>
              <w:t xml:space="preserve"> school will be evaluated; and c</w:t>
            </w:r>
            <w:r w:rsidRPr="00500099">
              <w:rPr>
                <w:rFonts w:ascii="Calibri" w:hAnsi="Calibri"/>
                <w:sz w:val="20"/>
              </w:rPr>
              <w:t>larify the connection between virtual school accountability and the Massachusetts school and district accountability system</w:t>
            </w:r>
          </w:p>
          <w:p w14:paraId="692DFD76" w14:textId="77777777" w:rsidR="0054324B" w:rsidRPr="003C5942" w:rsidRDefault="0054324B" w:rsidP="00EB1F6F">
            <w:pPr>
              <w:pStyle w:val="arial9"/>
              <w:rPr>
                <w:rFonts w:ascii="Calibri" w:hAnsi="Calibri"/>
                <w:sz w:val="20"/>
              </w:rPr>
            </w:pPr>
          </w:p>
          <w:p w14:paraId="692DFD77" w14:textId="77777777" w:rsidR="005F037D" w:rsidRDefault="0071398C" w:rsidP="00EB1F6F">
            <w:pPr>
              <w:pStyle w:val="arial9"/>
            </w:pPr>
            <w:r>
              <w:rPr>
                <w:rFonts w:ascii="Calibri" w:hAnsi="Calibri"/>
                <w:sz w:val="20"/>
              </w:rPr>
              <w:t>September</w:t>
            </w:r>
            <w:r w:rsidR="0054324B" w:rsidRPr="003C5942">
              <w:rPr>
                <w:rFonts w:ascii="Calibri" w:hAnsi="Calibri"/>
                <w:sz w:val="20"/>
              </w:rPr>
              <w:t xml:space="preserve"> 2014</w:t>
            </w:r>
          </w:p>
        </w:tc>
      </w:tr>
      <w:tr w:rsidR="005F037D" w14:paraId="692DFD7E" w14:textId="77777777" w:rsidTr="003C5942">
        <w:trPr>
          <w:gridAfter w:val="1"/>
          <w:wAfter w:w="2070" w:type="dxa"/>
          <w:cantSplit/>
          <w:trHeight w:val="4356"/>
        </w:trPr>
        <w:tc>
          <w:tcPr>
            <w:tcW w:w="990" w:type="dxa"/>
            <w:vMerge/>
            <w:vAlign w:val="bottom"/>
          </w:tcPr>
          <w:p w14:paraId="692DFD79" w14:textId="77777777" w:rsidR="005F037D" w:rsidRDefault="005F037D">
            <w:pPr>
              <w:spacing w:line="400" w:lineRule="exact"/>
              <w:rPr>
                <w:rFonts w:ascii="Arial" w:hAnsi="Arial"/>
                <w:color w:val="000000"/>
              </w:rPr>
            </w:pPr>
          </w:p>
        </w:tc>
        <w:tc>
          <w:tcPr>
            <w:tcW w:w="7020" w:type="dxa"/>
            <w:gridSpan w:val="2"/>
            <w:vAlign w:val="bottom"/>
          </w:tcPr>
          <w:p w14:paraId="692DFD7A" w14:textId="77777777" w:rsidR="005F037D" w:rsidRPr="003C5942" w:rsidRDefault="005F037D" w:rsidP="004E0CA6">
            <w:pPr>
              <w:pStyle w:val="AgencyTitle"/>
              <w:rPr>
                <w:rFonts w:asciiTheme="minorHAnsi" w:hAnsiTheme="minorHAnsi"/>
                <w:sz w:val="20"/>
              </w:rPr>
            </w:pPr>
            <w:r w:rsidRPr="003C5942">
              <w:rPr>
                <w:rFonts w:asciiTheme="minorHAnsi" w:hAnsiTheme="minorHAnsi"/>
                <w:sz w:val="20"/>
              </w:rPr>
              <w:t xml:space="preserve">Massachusetts Department of </w:t>
            </w:r>
            <w:r w:rsidR="00440BAB" w:rsidRPr="003C5942">
              <w:rPr>
                <w:rFonts w:asciiTheme="minorHAnsi" w:hAnsiTheme="minorHAnsi"/>
                <w:sz w:val="20"/>
              </w:rPr>
              <w:t xml:space="preserve">Elementary and Secondary </w:t>
            </w:r>
            <w:r w:rsidRPr="003C5942">
              <w:rPr>
                <w:rFonts w:asciiTheme="minorHAnsi" w:hAnsiTheme="minorHAnsi"/>
                <w:sz w:val="20"/>
              </w:rPr>
              <w:t>Education</w:t>
            </w:r>
          </w:p>
          <w:p w14:paraId="692DFD7B" w14:textId="77777777" w:rsidR="005F037D" w:rsidRPr="003C5942" w:rsidRDefault="005152E7" w:rsidP="00EB1F6F">
            <w:pPr>
              <w:pStyle w:val="arial9"/>
              <w:rPr>
                <w:rFonts w:asciiTheme="minorHAnsi" w:hAnsiTheme="minorHAnsi"/>
                <w:snapToGrid w:val="0"/>
                <w:sz w:val="20"/>
              </w:rPr>
            </w:pPr>
            <w:r w:rsidRPr="003C5942">
              <w:rPr>
                <w:rFonts w:asciiTheme="minorHAnsi" w:hAnsiTheme="minorHAnsi"/>
                <w:snapToGrid w:val="0"/>
                <w:sz w:val="20"/>
              </w:rPr>
              <w:t>75 Pleasant</w:t>
            </w:r>
            <w:r w:rsidR="005F037D" w:rsidRPr="003C5942">
              <w:rPr>
                <w:rFonts w:asciiTheme="minorHAnsi" w:hAnsiTheme="minorHAnsi"/>
                <w:snapToGrid w:val="0"/>
                <w:sz w:val="20"/>
              </w:rPr>
              <w:t xml:space="preserve"> Street, </w:t>
            </w:r>
            <w:smartTag w:uri="urn:schemas-microsoft-com:office:smarttags" w:element="place">
              <w:smartTag w:uri="urn:schemas-microsoft-com:office:smarttags" w:element="City">
                <w:r w:rsidR="005F037D" w:rsidRPr="003C5942">
                  <w:rPr>
                    <w:rFonts w:asciiTheme="minorHAnsi" w:hAnsiTheme="minorHAnsi"/>
                    <w:snapToGrid w:val="0"/>
                    <w:sz w:val="20"/>
                  </w:rPr>
                  <w:t>Malden</w:t>
                </w:r>
              </w:smartTag>
              <w:r w:rsidR="005F037D" w:rsidRPr="003C5942">
                <w:rPr>
                  <w:rFonts w:asciiTheme="minorHAnsi" w:hAnsiTheme="minorHAnsi"/>
                  <w:snapToGrid w:val="0"/>
                  <w:sz w:val="20"/>
                </w:rPr>
                <w:t xml:space="preserve">, </w:t>
              </w:r>
              <w:smartTag w:uri="urn:schemas-microsoft-com:office:smarttags" w:element="State">
                <w:r w:rsidR="005F037D" w:rsidRPr="003C5942">
                  <w:rPr>
                    <w:rFonts w:asciiTheme="minorHAnsi" w:hAnsiTheme="minorHAnsi"/>
                    <w:snapToGrid w:val="0"/>
                    <w:sz w:val="20"/>
                  </w:rPr>
                  <w:t>MA</w:t>
                </w:r>
              </w:smartTag>
              <w:r w:rsidR="005F037D" w:rsidRPr="003C5942">
                <w:rPr>
                  <w:rFonts w:asciiTheme="minorHAnsi" w:hAnsiTheme="minorHAnsi"/>
                  <w:snapToGrid w:val="0"/>
                  <w:sz w:val="20"/>
                </w:rPr>
                <w:t xml:space="preserve"> </w:t>
              </w:r>
              <w:smartTag w:uri="urn:schemas-microsoft-com:office:smarttags" w:element="PostalCode">
                <w:r w:rsidR="005F037D" w:rsidRPr="003C5942">
                  <w:rPr>
                    <w:rFonts w:asciiTheme="minorHAnsi" w:hAnsiTheme="minorHAnsi"/>
                    <w:snapToGrid w:val="0"/>
                    <w:sz w:val="20"/>
                  </w:rPr>
                  <w:t>02148</w:t>
                </w:r>
              </w:smartTag>
            </w:smartTag>
            <w:r w:rsidR="00740C0D" w:rsidRPr="003C5942">
              <w:rPr>
                <w:rFonts w:asciiTheme="minorHAnsi" w:hAnsiTheme="minorHAnsi"/>
                <w:snapToGrid w:val="0"/>
                <w:sz w:val="20"/>
              </w:rPr>
              <w:t>-4906</w:t>
            </w:r>
          </w:p>
          <w:p w14:paraId="692DFD7C" w14:textId="77777777" w:rsidR="0020780F" w:rsidRPr="003C5942" w:rsidRDefault="0020780F" w:rsidP="00EB1F6F">
            <w:pPr>
              <w:pStyle w:val="arial9"/>
              <w:rPr>
                <w:rFonts w:asciiTheme="minorHAnsi" w:hAnsiTheme="minorHAnsi"/>
                <w:snapToGrid w:val="0"/>
                <w:sz w:val="20"/>
              </w:rPr>
            </w:pPr>
            <w:r w:rsidRPr="003C5942">
              <w:rPr>
                <w:rFonts w:asciiTheme="minorHAnsi" w:hAnsiTheme="minorHAnsi"/>
                <w:snapToGrid w:val="0"/>
                <w:sz w:val="20"/>
              </w:rPr>
              <w:t xml:space="preserve">Phone </w:t>
            </w:r>
            <w:r w:rsidR="005F037D" w:rsidRPr="003C5942">
              <w:rPr>
                <w:rFonts w:asciiTheme="minorHAnsi" w:hAnsiTheme="minorHAnsi"/>
                <w:snapToGrid w:val="0"/>
                <w:sz w:val="20"/>
              </w:rPr>
              <w:t xml:space="preserve">781-338-3000  </w:t>
            </w:r>
            <w:r w:rsidRPr="003C5942">
              <w:rPr>
                <w:rFonts w:asciiTheme="minorHAnsi" w:hAnsiTheme="minorHAnsi"/>
                <w:snapToGrid w:val="0"/>
                <w:sz w:val="20"/>
              </w:rPr>
              <w:t>TTY: N.E.T. Relay 800-439-2370</w:t>
            </w:r>
          </w:p>
          <w:p w14:paraId="692DFD7D" w14:textId="77777777" w:rsidR="005F037D" w:rsidRDefault="005F037D" w:rsidP="00EB1F6F">
            <w:pPr>
              <w:pStyle w:val="arial9"/>
            </w:pPr>
            <w:r w:rsidRPr="003C5942">
              <w:rPr>
                <w:rFonts w:asciiTheme="minorHAnsi" w:hAnsiTheme="minorHAnsi"/>
                <w:snapToGrid w:val="0"/>
                <w:sz w:val="20"/>
              </w:rPr>
              <w:t>www.doe.mass.edu</w:t>
            </w:r>
          </w:p>
        </w:tc>
      </w:tr>
      <w:tr w:rsidR="005F037D" w14:paraId="692DFD81" w14:textId="77777777">
        <w:tblPrEx>
          <w:tblCellMar>
            <w:left w:w="108" w:type="dxa"/>
            <w:right w:w="108" w:type="dxa"/>
          </w:tblCellMar>
        </w:tblPrEx>
        <w:trPr>
          <w:trHeight w:val="80"/>
        </w:trPr>
        <w:tc>
          <w:tcPr>
            <w:tcW w:w="5040" w:type="dxa"/>
            <w:gridSpan w:val="2"/>
          </w:tcPr>
          <w:p w14:paraId="692DFD7F" w14:textId="77777777" w:rsidR="005F037D" w:rsidRDefault="005F037D" w:rsidP="00274356"/>
        </w:tc>
        <w:tc>
          <w:tcPr>
            <w:tcW w:w="5040" w:type="dxa"/>
            <w:gridSpan w:val="2"/>
          </w:tcPr>
          <w:p w14:paraId="692DFD80" w14:textId="77777777" w:rsidR="005F037D" w:rsidRDefault="005F037D" w:rsidP="00274356"/>
        </w:tc>
      </w:tr>
      <w:tr w:rsidR="00C118B2" w14:paraId="692DFDA3" w14:textId="77777777">
        <w:tblPrEx>
          <w:tblCellMar>
            <w:left w:w="108" w:type="dxa"/>
            <w:right w:w="108" w:type="dxa"/>
          </w:tblCellMar>
        </w:tblPrEx>
        <w:trPr>
          <w:trHeight w:val="8235"/>
        </w:trPr>
        <w:tc>
          <w:tcPr>
            <w:tcW w:w="10080" w:type="dxa"/>
            <w:gridSpan w:val="4"/>
          </w:tcPr>
          <w:p w14:paraId="692DFD82" w14:textId="77777777" w:rsidR="00C118B2" w:rsidRPr="00345DE2" w:rsidRDefault="000A7B23" w:rsidP="008734A6">
            <w:pPr>
              <w:jc w:val="center"/>
            </w:pPr>
            <w:r>
              <w:rPr>
                <w:noProof/>
              </w:rPr>
              <w:lastRenderedPageBreak/>
              <w:drawing>
                <wp:inline distT="0" distB="0" distL="0" distR="0" wp14:anchorId="692DFEB9" wp14:editId="692DFEBA">
                  <wp:extent cx="2711450" cy="1308100"/>
                  <wp:effectExtent l="19050" t="0" r="0" b="0"/>
                  <wp:docPr id="3" name="Picture 3"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E logo"/>
                          <pic:cNvPicPr>
                            <a:picLocks noChangeAspect="1" noChangeArrowheads="1"/>
                          </pic:cNvPicPr>
                        </pic:nvPicPr>
                        <pic:blipFill>
                          <a:blip r:embed="rId13" cstate="print"/>
                          <a:srcRect/>
                          <a:stretch>
                            <a:fillRect/>
                          </a:stretch>
                        </pic:blipFill>
                        <pic:spPr bwMode="auto">
                          <a:xfrm>
                            <a:off x="0" y="0"/>
                            <a:ext cx="2711450" cy="1308100"/>
                          </a:xfrm>
                          <a:prstGeom prst="rect">
                            <a:avLst/>
                          </a:prstGeom>
                          <a:noFill/>
                          <a:ln w="9525">
                            <a:noFill/>
                            <a:miter lim="800000"/>
                            <a:headEnd/>
                            <a:tailEnd/>
                          </a:ln>
                        </pic:spPr>
                      </pic:pic>
                    </a:graphicData>
                  </a:graphic>
                </wp:inline>
              </w:drawing>
            </w:r>
          </w:p>
          <w:p w14:paraId="692DFD83" w14:textId="77777777" w:rsidR="00C118B2" w:rsidRDefault="00C118B2" w:rsidP="00345DE2"/>
          <w:p w14:paraId="692DFD84" w14:textId="77777777" w:rsidR="00D4127E" w:rsidRDefault="00D4127E" w:rsidP="00345DE2"/>
          <w:p w14:paraId="692DFD85" w14:textId="77777777" w:rsidR="00D4127E" w:rsidRDefault="00D4127E" w:rsidP="00345DE2"/>
          <w:p w14:paraId="692DFD86" w14:textId="77777777" w:rsidR="00C118B2" w:rsidRPr="003C5942" w:rsidRDefault="00706286" w:rsidP="008734A6">
            <w:pPr>
              <w:pStyle w:val="BoardMembers"/>
              <w:rPr>
                <w:rFonts w:ascii="Calibri" w:hAnsi="Calibri"/>
                <w:sz w:val="20"/>
              </w:rPr>
            </w:pPr>
            <w:r w:rsidRPr="003C5942">
              <w:rPr>
                <w:rFonts w:ascii="Calibri" w:hAnsi="Calibri"/>
                <w:sz w:val="20"/>
              </w:rPr>
              <w:t>T</w:t>
            </w:r>
            <w:r w:rsidR="00C118B2" w:rsidRPr="003C5942">
              <w:rPr>
                <w:rFonts w:ascii="Calibri" w:hAnsi="Calibri"/>
                <w:sz w:val="20"/>
              </w:rPr>
              <w:t xml:space="preserve">his document was prepared by the </w:t>
            </w:r>
            <w:r w:rsidR="00C118B2" w:rsidRPr="003C5942">
              <w:rPr>
                <w:rFonts w:ascii="Calibri" w:hAnsi="Calibri"/>
                <w:sz w:val="20"/>
              </w:rPr>
              <w:br/>
              <w:t xml:space="preserve">Massachusetts Department of </w:t>
            </w:r>
            <w:r w:rsidR="00440BAB" w:rsidRPr="003C5942">
              <w:rPr>
                <w:rFonts w:ascii="Calibri" w:hAnsi="Calibri"/>
                <w:sz w:val="20"/>
              </w:rPr>
              <w:t xml:space="preserve">Elementary and Secondary </w:t>
            </w:r>
            <w:r w:rsidR="00C118B2" w:rsidRPr="003C5942">
              <w:rPr>
                <w:rFonts w:ascii="Calibri" w:hAnsi="Calibri"/>
                <w:sz w:val="20"/>
              </w:rPr>
              <w:t>Education</w:t>
            </w:r>
          </w:p>
          <w:p w14:paraId="692DFD87" w14:textId="77777777" w:rsidR="00CC22F1" w:rsidRPr="003C5942" w:rsidRDefault="00CC22F1" w:rsidP="008734A6">
            <w:pPr>
              <w:pStyle w:val="BoardMembers"/>
              <w:rPr>
                <w:rFonts w:ascii="Calibri" w:hAnsi="Calibri"/>
                <w:sz w:val="20"/>
              </w:rPr>
            </w:pPr>
            <w:r w:rsidRPr="003C5942">
              <w:rPr>
                <w:rFonts w:ascii="Calibri" w:hAnsi="Calibri"/>
                <w:sz w:val="20"/>
              </w:rPr>
              <w:t xml:space="preserve">Mitchell D. Chester, </w:t>
            </w:r>
            <w:proofErr w:type="spellStart"/>
            <w:r w:rsidRPr="003C5942">
              <w:rPr>
                <w:rFonts w:ascii="Calibri" w:hAnsi="Calibri"/>
                <w:sz w:val="20"/>
              </w:rPr>
              <w:t>Ed.D</w:t>
            </w:r>
            <w:proofErr w:type="spellEnd"/>
            <w:r w:rsidR="00AD298F" w:rsidRPr="003C5942">
              <w:rPr>
                <w:rFonts w:ascii="Calibri" w:hAnsi="Calibri"/>
                <w:sz w:val="20"/>
              </w:rPr>
              <w:t>.</w:t>
            </w:r>
          </w:p>
          <w:p w14:paraId="692DFD88" w14:textId="77777777" w:rsidR="00C118B2" w:rsidRPr="003C5942" w:rsidRDefault="00C118B2" w:rsidP="008734A6">
            <w:pPr>
              <w:pStyle w:val="BoardMembers"/>
              <w:rPr>
                <w:rFonts w:ascii="Calibri" w:hAnsi="Calibri"/>
                <w:sz w:val="20"/>
              </w:rPr>
            </w:pPr>
            <w:r w:rsidRPr="003C5942">
              <w:rPr>
                <w:rFonts w:ascii="Calibri" w:hAnsi="Calibri"/>
                <w:sz w:val="20"/>
              </w:rPr>
              <w:t xml:space="preserve">Commissioner </w:t>
            </w:r>
          </w:p>
          <w:p w14:paraId="692DFD89" w14:textId="77777777" w:rsidR="00706286" w:rsidRPr="003C5942" w:rsidRDefault="00706286" w:rsidP="008734A6">
            <w:pPr>
              <w:pStyle w:val="BoardMembers"/>
              <w:rPr>
                <w:rFonts w:ascii="Calibri" w:hAnsi="Calibri"/>
                <w:sz w:val="20"/>
              </w:rPr>
            </w:pPr>
          </w:p>
          <w:p w14:paraId="692DFD8A" w14:textId="77777777" w:rsidR="00706286" w:rsidRPr="003C5942" w:rsidRDefault="00706286" w:rsidP="008734A6">
            <w:pPr>
              <w:pStyle w:val="BoardMembers"/>
              <w:rPr>
                <w:rFonts w:ascii="Calibri" w:hAnsi="Calibri"/>
                <w:sz w:val="20"/>
              </w:rPr>
            </w:pPr>
          </w:p>
          <w:p w14:paraId="692DFD8B" w14:textId="77777777" w:rsidR="00C118B2" w:rsidRPr="003C5942" w:rsidRDefault="00C118B2" w:rsidP="00345DE2">
            <w:pPr>
              <w:rPr>
                <w:rFonts w:ascii="Calibri" w:hAnsi="Calibri"/>
                <w:sz w:val="28"/>
              </w:rPr>
            </w:pPr>
          </w:p>
          <w:p w14:paraId="692DFD8C" w14:textId="77777777" w:rsidR="00D4127E" w:rsidRPr="003C5942" w:rsidRDefault="00D4127E" w:rsidP="00345DE2">
            <w:pPr>
              <w:rPr>
                <w:rFonts w:ascii="Calibri" w:hAnsi="Calibri"/>
                <w:sz w:val="28"/>
              </w:rPr>
            </w:pPr>
          </w:p>
          <w:p w14:paraId="692DFD8D" w14:textId="77777777" w:rsidR="00D4127E" w:rsidRPr="003C5942" w:rsidRDefault="00D4127E" w:rsidP="00345DE2">
            <w:pPr>
              <w:rPr>
                <w:rFonts w:ascii="Calibri" w:hAnsi="Calibri"/>
                <w:sz w:val="28"/>
              </w:rPr>
            </w:pPr>
          </w:p>
          <w:p w14:paraId="692DFD8E" w14:textId="77777777" w:rsidR="00D4127E" w:rsidRPr="003C5942" w:rsidRDefault="00D4127E" w:rsidP="00345DE2">
            <w:pPr>
              <w:rPr>
                <w:rFonts w:ascii="Calibri" w:hAnsi="Calibri"/>
                <w:sz w:val="28"/>
              </w:rPr>
            </w:pPr>
          </w:p>
          <w:p w14:paraId="692DFD8F" w14:textId="77777777" w:rsidR="00D4127E" w:rsidRPr="003C5942" w:rsidRDefault="00D4127E" w:rsidP="00345DE2">
            <w:pPr>
              <w:rPr>
                <w:rFonts w:ascii="Calibri" w:hAnsi="Calibri"/>
                <w:sz w:val="28"/>
              </w:rPr>
            </w:pPr>
          </w:p>
          <w:p w14:paraId="692DFD90" w14:textId="77777777" w:rsidR="00D4127E" w:rsidRPr="003C5942" w:rsidRDefault="00D4127E" w:rsidP="00345DE2">
            <w:pPr>
              <w:rPr>
                <w:rFonts w:ascii="Calibri" w:hAnsi="Calibri"/>
                <w:sz w:val="28"/>
              </w:rPr>
            </w:pPr>
          </w:p>
          <w:p w14:paraId="692DFD91" w14:textId="77777777" w:rsidR="00D4127E" w:rsidRPr="003C5942" w:rsidRDefault="00D4127E" w:rsidP="00345DE2">
            <w:pPr>
              <w:rPr>
                <w:rFonts w:ascii="Calibri" w:hAnsi="Calibri"/>
                <w:sz w:val="28"/>
              </w:rPr>
            </w:pPr>
          </w:p>
          <w:p w14:paraId="692DFD92" w14:textId="77777777" w:rsidR="00440BAB" w:rsidRPr="003C5942" w:rsidRDefault="00C118B2" w:rsidP="008734A6">
            <w:pPr>
              <w:pStyle w:val="BoardMembers"/>
              <w:rPr>
                <w:rFonts w:ascii="Calibri" w:hAnsi="Calibri"/>
                <w:sz w:val="20"/>
              </w:rPr>
            </w:pPr>
            <w:r w:rsidRPr="003C5942">
              <w:rPr>
                <w:rFonts w:ascii="Calibri" w:hAnsi="Calibri"/>
                <w:sz w:val="20"/>
              </w:rPr>
              <w:t>The Massachusetts Department of</w:t>
            </w:r>
            <w:r w:rsidR="00440BAB" w:rsidRPr="003C5942">
              <w:rPr>
                <w:rFonts w:ascii="Calibri" w:hAnsi="Calibri"/>
                <w:sz w:val="20"/>
              </w:rPr>
              <w:t xml:space="preserve"> Elementary and Secondary </w:t>
            </w:r>
            <w:r w:rsidRPr="003C5942">
              <w:rPr>
                <w:rFonts w:ascii="Calibri" w:hAnsi="Calibri"/>
                <w:sz w:val="20"/>
              </w:rPr>
              <w:t xml:space="preserve">Education, an affirmative action employer, is committed to ensuring that all of its programs and facilities are accessible to all members of the public. </w:t>
            </w:r>
          </w:p>
          <w:p w14:paraId="692DFD93" w14:textId="77777777" w:rsidR="00C118B2" w:rsidRPr="003C5942" w:rsidRDefault="00C118B2" w:rsidP="008734A6">
            <w:pPr>
              <w:pStyle w:val="BoardMembers"/>
              <w:rPr>
                <w:rFonts w:ascii="Calibri" w:hAnsi="Calibri"/>
                <w:sz w:val="20"/>
              </w:rPr>
            </w:pPr>
            <w:r w:rsidRPr="003C5942">
              <w:rPr>
                <w:rFonts w:ascii="Calibri" w:hAnsi="Calibri"/>
                <w:sz w:val="20"/>
              </w:rPr>
              <w:t>We do not discriminate on the basis of age, color, disability, national origin, race, religion, sex</w:t>
            </w:r>
            <w:r w:rsidR="00D4127E" w:rsidRPr="003C5942">
              <w:rPr>
                <w:rFonts w:ascii="Calibri" w:hAnsi="Calibri"/>
                <w:sz w:val="20"/>
              </w:rPr>
              <w:t>, gender identity,</w:t>
            </w:r>
            <w:r w:rsidRPr="003C5942">
              <w:rPr>
                <w:rFonts w:ascii="Calibri" w:hAnsi="Calibri"/>
                <w:sz w:val="20"/>
              </w:rPr>
              <w:t xml:space="preserve"> or sexual orientation. </w:t>
            </w:r>
          </w:p>
          <w:p w14:paraId="692DFD94" w14:textId="77777777" w:rsidR="00C118B2" w:rsidRPr="003C5942" w:rsidRDefault="00C118B2" w:rsidP="008734A6">
            <w:pPr>
              <w:pStyle w:val="BoardMembers"/>
              <w:rPr>
                <w:rFonts w:ascii="Calibri" w:hAnsi="Calibri"/>
                <w:sz w:val="20"/>
              </w:rPr>
            </w:pPr>
            <w:r w:rsidRPr="003C5942">
              <w:rPr>
                <w:rFonts w:ascii="Calibri" w:hAnsi="Calibri"/>
                <w:sz w:val="20"/>
              </w:rPr>
              <w:t xml:space="preserve"> Inquiries regarding the Department’s compliance with Title IX and other civil rights laws may be directed to the </w:t>
            </w:r>
          </w:p>
          <w:p w14:paraId="692DFD95" w14:textId="77777777" w:rsidR="00C118B2" w:rsidRPr="003C5942" w:rsidRDefault="00C118B2" w:rsidP="008734A6">
            <w:pPr>
              <w:pStyle w:val="BoardMembers"/>
              <w:rPr>
                <w:rFonts w:ascii="Calibri" w:hAnsi="Calibri"/>
                <w:sz w:val="20"/>
              </w:rPr>
            </w:pPr>
            <w:r w:rsidRPr="003C5942">
              <w:rPr>
                <w:rFonts w:ascii="Calibri" w:hAnsi="Calibri"/>
                <w:sz w:val="20"/>
              </w:rPr>
              <w:t xml:space="preserve">Human Resources Director, </w:t>
            </w:r>
            <w:r w:rsidR="005152E7" w:rsidRPr="003C5942">
              <w:rPr>
                <w:rFonts w:ascii="Calibri" w:hAnsi="Calibri"/>
                <w:snapToGrid w:val="0"/>
                <w:sz w:val="20"/>
              </w:rPr>
              <w:t xml:space="preserve">75 Pleasant </w:t>
            </w:r>
            <w:r w:rsidRPr="003C5942">
              <w:rPr>
                <w:rFonts w:ascii="Calibri" w:hAnsi="Calibri"/>
                <w:sz w:val="20"/>
              </w:rPr>
              <w:t>St., Malden, MA 02148</w:t>
            </w:r>
            <w:r w:rsidR="007E31B2" w:rsidRPr="003C5942">
              <w:rPr>
                <w:rFonts w:ascii="Calibri" w:hAnsi="Calibri"/>
                <w:sz w:val="20"/>
              </w:rPr>
              <w:t>-4906. Phone:</w:t>
            </w:r>
            <w:r w:rsidRPr="003C5942">
              <w:rPr>
                <w:rFonts w:ascii="Calibri" w:hAnsi="Calibri"/>
                <w:sz w:val="20"/>
              </w:rPr>
              <w:t xml:space="preserve"> 781-338-6105.</w:t>
            </w:r>
          </w:p>
          <w:p w14:paraId="692DFD96" w14:textId="77777777" w:rsidR="00C118B2" w:rsidRPr="003C5942" w:rsidRDefault="00C118B2" w:rsidP="00345DE2">
            <w:pPr>
              <w:rPr>
                <w:rFonts w:ascii="Calibri" w:hAnsi="Calibri"/>
                <w:sz w:val="28"/>
              </w:rPr>
            </w:pPr>
          </w:p>
          <w:p w14:paraId="692DFD97" w14:textId="77777777" w:rsidR="00C118B2" w:rsidRPr="003C5942" w:rsidRDefault="00C118B2" w:rsidP="00345DE2">
            <w:pPr>
              <w:rPr>
                <w:rFonts w:ascii="Calibri" w:hAnsi="Calibri"/>
                <w:sz w:val="28"/>
              </w:rPr>
            </w:pPr>
          </w:p>
          <w:p w14:paraId="692DFD98" w14:textId="77777777" w:rsidR="00C118B2" w:rsidRPr="003C5942" w:rsidRDefault="00C118B2" w:rsidP="002B51B3">
            <w:pPr>
              <w:pStyle w:val="BoardMembers"/>
              <w:rPr>
                <w:rFonts w:ascii="Calibri" w:hAnsi="Calibri"/>
                <w:sz w:val="20"/>
              </w:rPr>
            </w:pPr>
            <w:r w:rsidRPr="003C5942">
              <w:rPr>
                <w:rFonts w:ascii="Calibri" w:hAnsi="Calibri"/>
                <w:sz w:val="20"/>
              </w:rPr>
              <w:t>© 20</w:t>
            </w:r>
            <w:r w:rsidR="001F35ED" w:rsidRPr="003C5942">
              <w:rPr>
                <w:rFonts w:ascii="Calibri" w:hAnsi="Calibri"/>
                <w:sz w:val="20"/>
              </w:rPr>
              <w:t>1</w:t>
            </w:r>
            <w:r w:rsidR="00E25B58" w:rsidRPr="003C5942">
              <w:rPr>
                <w:rFonts w:ascii="Calibri" w:hAnsi="Calibri"/>
                <w:sz w:val="20"/>
              </w:rPr>
              <w:t xml:space="preserve">4 </w:t>
            </w:r>
            <w:r w:rsidRPr="003C5942">
              <w:rPr>
                <w:rFonts w:ascii="Calibri" w:hAnsi="Calibri"/>
                <w:sz w:val="20"/>
              </w:rPr>
              <w:t xml:space="preserve">Massachusetts Department of </w:t>
            </w:r>
            <w:r w:rsidR="00440BAB" w:rsidRPr="003C5942">
              <w:rPr>
                <w:rFonts w:ascii="Calibri" w:hAnsi="Calibri"/>
                <w:sz w:val="20"/>
              </w:rPr>
              <w:t xml:space="preserve">Elementary and Secondary </w:t>
            </w:r>
            <w:r w:rsidRPr="003C5942">
              <w:rPr>
                <w:rFonts w:ascii="Calibri" w:hAnsi="Calibri"/>
                <w:sz w:val="20"/>
              </w:rPr>
              <w:t>Education</w:t>
            </w:r>
          </w:p>
          <w:p w14:paraId="692DFD99" w14:textId="77777777" w:rsidR="00C118B2" w:rsidRPr="003C5942" w:rsidRDefault="00C118B2" w:rsidP="00345DE2">
            <w:pPr>
              <w:pStyle w:val="Permission"/>
              <w:rPr>
                <w:rFonts w:ascii="Calibri" w:hAnsi="Calibri"/>
                <w:sz w:val="20"/>
              </w:rPr>
            </w:pPr>
            <w:r w:rsidRPr="003C5942">
              <w:rPr>
                <w:rFonts w:ascii="Calibri" w:hAnsi="Calibri"/>
                <w:sz w:val="20"/>
              </w:rPr>
              <w:t>Permission is hereby granted to copy any or all parts of this document for non-commercial educational purposes. Please credit the “Massachusetts Department of</w:t>
            </w:r>
            <w:r w:rsidR="00440BAB" w:rsidRPr="003C5942">
              <w:rPr>
                <w:rFonts w:ascii="Calibri" w:hAnsi="Calibri"/>
                <w:sz w:val="20"/>
              </w:rPr>
              <w:t xml:space="preserve"> Elementary and Secondary</w:t>
            </w:r>
            <w:r w:rsidRPr="003C5942">
              <w:rPr>
                <w:rFonts w:ascii="Calibri" w:hAnsi="Calibri"/>
                <w:sz w:val="20"/>
              </w:rPr>
              <w:t xml:space="preserve"> Education.”</w:t>
            </w:r>
          </w:p>
          <w:p w14:paraId="692DFD9A" w14:textId="77777777" w:rsidR="00C118B2" w:rsidRPr="003C5942" w:rsidRDefault="00C118B2" w:rsidP="00345DE2">
            <w:pPr>
              <w:rPr>
                <w:rFonts w:ascii="Calibri" w:hAnsi="Calibri"/>
                <w:sz w:val="28"/>
              </w:rPr>
            </w:pPr>
          </w:p>
          <w:p w14:paraId="692DFD9B" w14:textId="77777777" w:rsidR="00C118B2" w:rsidRPr="003C5942" w:rsidRDefault="00C118B2" w:rsidP="00345DE2">
            <w:pPr>
              <w:pStyle w:val="Permission"/>
              <w:rPr>
                <w:rFonts w:ascii="Calibri" w:hAnsi="Calibri"/>
                <w:sz w:val="20"/>
              </w:rPr>
            </w:pPr>
            <w:r w:rsidRPr="003C5942">
              <w:rPr>
                <w:rFonts w:ascii="Calibri" w:hAnsi="Calibri"/>
                <w:sz w:val="20"/>
              </w:rPr>
              <w:t>This document printed on recycled paper</w:t>
            </w:r>
          </w:p>
          <w:p w14:paraId="692DFD9C" w14:textId="77777777" w:rsidR="00C118B2" w:rsidRPr="003C5942" w:rsidRDefault="00C118B2" w:rsidP="00345DE2">
            <w:pPr>
              <w:rPr>
                <w:rFonts w:ascii="Calibri" w:hAnsi="Calibri"/>
                <w:sz w:val="28"/>
              </w:rPr>
            </w:pPr>
          </w:p>
          <w:p w14:paraId="692DFD9D" w14:textId="77777777" w:rsidR="00C118B2" w:rsidRPr="003C5942" w:rsidRDefault="00C118B2" w:rsidP="008734A6">
            <w:pPr>
              <w:pStyle w:val="BoardMembers"/>
              <w:rPr>
                <w:rFonts w:ascii="Calibri" w:hAnsi="Calibri"/>
                <w:sz w:val="20"/>
              </w:rPr>
            </w:pPr>
            <w:r w:rsidRPr="003C5942">
              <w:rPr>
                <w:rFonts w:ascii="Calibri" w:hAnsi="Calibri"/>
                <w:sz w:val="20"/>
              </w:rPr>
              <w:t xml:space="preserve">Massachusetts Department of </w:t>
            </w:r>
            <w:r w:rsidR="00440BAB" w:rsidRPr="003C5942">
              <w:rPr>
                <w:rFonts w:ascii="Calibri" w:hAnsi="Calibri"/>
                <w:sz w:val="20"/>
              </w:rPr>
              <w:t xml:space="preserve">Elementary and Secondary </w:t>
            </w:r>
            <w:r w:rsidRPr="003C5942">
              <w:rPr>
                <w:rFonts w:ascii="Calibri" w:hAnsi="Calibri"/>
                <w:sz w:val="20"/>
              </w:rPr>
              <w:t>Education</w:t>
            </w:r>
          </w:p>
          <w:p w14:paraId="692DFD9E" w14:textId="77777777" w:rsidR="00C118B2" w:rsidRPr="003C5942" w:rsidRDefault="005152E7" w:rsidP="008734A6">
            <w:pPr>
              <w:pStyle w:val="BoardMembers"/>
              <w:rPr>
                <w:rFonts w:ascii="Calibri" w:hAnsi="Calibri"/>
                <w:sz w:val="20"/>
              </w:rPr>
            </w:pPr>
            <w:r w:rsidRPr="003C5942">
              <w:rPr>
                <w:rFonts w:ascii="Calibri" w:hAnsi="Calibri"/>
                <w:snapToGrid w:val="0"/>
                <w:sz w:val="20"/>
              </w:rPr>
              <w:t xml:space="preserve">75 Pleasant </w:t>
            </w:r>
            <w:r w:rsidR="00C118B2" w:rsidRPr="003C5942">
              <w:rPr>
                <w:rFonts w:ascii="Calibri" w:hAnsi="Calibri"/>
                <w:sz w:val="20"/>
              </w:rPr>
              <w:t xml:space="preserve">Street, </w:t>
            </w:r>
            <w:smartTag w:uri="urn:schemas-microsoft-com:office:smarttags" w:element="place">
              <w:smartTag w:uri="urn:schemas-microsoft-com:office:smarttags" w:element="City">
                <w:r w:rsidR="00C118B2" w:rsidRPr="003C5942">
                  <w:rPr>
                    <w:rFonts w:ascii="Calibri" w:hAnsi="Calibri"/>
                    <w:sz w:val="20"/>
                  </w:rPr>
                  <w:t>Malden</w:t>
                </w:r>
              </w:smartTag>
              <w:r w:rsidR="00C118B2" w:rsidRPr="003C5942">
                <w:rPr>
                  <w:rFonts w:ascii="Calibri" w:hAnsi="Calibri"/>
                  <w:sz w:val="20"/>
                </w:rPr>
                <w:t xml:space="preserve">, </w:t>
              </w:r>
              <w:smartTag w:uri="urn:schemas-microsoft-com:office:smarttags" w:element="State">
                <w:r w:rsidR="00C118B2" w:rsidRPr="003C5942">
                  <w:rPr>
                    <w:rFonts w:ascii="Calibri" w:hAnsi="Calibri"/>
                    <w:sz w:val="20"/>
                  </w:rPr>
                  <w:t>MA</w:t>
                </w:r>
              </w:smartTag>
              <w:r w:rsidR="00C118B2" w:rsidRPr="003C5942">
                <w:rPr>
                  <w:rFonts w:ascii="Calibri" w:hAnsi="Calibri"/>
                  <w:sz w:val="20"/>
                </w:rPr>
                <w:t xml:space="preserve"> </w:t>
              </w:r>
              <w:smartTag w:uri="urn:schemas-microsoft-com:office:smarttags" w:element="PostalCode">
                <w:r w:rsidR="00C118B2" w:rsidRPr="003C5942">
                  <w:rPr>
                    <w:rFonts w:ascii="Calibri" w:hAnsi="Calibri"/>
                    <w:sz w:val="20"/>
                  </w:rPr>
                  <w:t>02148</w:t>
                </w:r>
              </w:smartTag>
            </w:smartTag>
            <w:r w:rsidR="00C118B2" w:rsidRPr="003C5942">
              <w:rPr>
                <w:rFonts w:ascii="Calibri" w:hAnsi="Calibri"/>
                <w:sz w:val="20"/>
              </w:rPr>
              <w:t>-</w:t>
            </w:r>
            <w:r w:rsidR="00740C0D" w:rsidRPr="003C5942">
              <w:rPr>
                <w:rFonts w:ascii="Calibri" w:hAnsi="Calibri"/>
                <w:sz w:val="20"/>
              </w:rPr>
              <w:t>4906</w:t>
            </w:r>
          </w:p>
          <w:p w14:paraId="692DFD9F" w14:textId="77777777" w:rsidR="0020780F" w:rsidRPr="003C5942" w:rsidRDefault="0020780F" w:rsidP="008734A6">
            <w:pPr>
              <w:pStyle w:val="BoardMembers"/>
              <w:rPr>
                <w:rFonts w:ascii="Calibri" w:hAnsi="Calibri"/>
                <w:sz w:val="20"/>
              </w:rPr>
            </w:pPr>
            <w:r w:rsidRPr="003C5942">
              <w:rPr>
                <w:rFonts w:ascii="Calibri" w:hAnsi="Calibri"/>
                <w:sz w:val="20"/>
              </w:rPr>
              <w:t>Phone 781-338-3000  TTY: N.E.T. Relay 800-439-2370</w:t>
            </w:r>
          </w:p>
          <w:p w14:paraId="692DFDA0" w14:textId="77777777" w:rsidR="00C118B2" w:rsidRDefault="00C118B2" w:rsidP="008734A6">
            <w:pPr>
              <w:pStyle w:val="BoardMembers"/>
            </w:pPr>
            <w:r w:rsidRPr="003C5942">
              <w:rPr>
                <w:rFonts w:ascii="Calibri" w:hAnsi="Calibri"/>
                <w:sz w:val="20"/>
              </w:rPr>
              <w:t>www.doe.mass.edu</w:t>
            </w:r>
          </w:p>
          <w:p w14:paraId="692DFDA1" w14:textId="77777777" w:rsidR="00C118B2" w:rsidRPr="00345DE2" w:rsidRDefault="00C118B2" w:rsidP="00345DE2"/>
          <w:p w14:paraId="692DFDA2" w14:textId="77777777" w:rsidR="00C118B2" w:rsidRDefault="000A7B23" w:rsidP="00C118B2">
            <w:pPr>
              <w:jc w:val="center"/>
              <w:rPr>
                <w:sz w:val="18"/>
              </w:rPr>
            </w:pPr>
            <w:bookmarkStart w:id="0" w:name="_GoBack"/>
            <w:r>
              <w:rPr>
                <w:noProof/>
              </w:rPr>
              <w:drawing>
                <wp:inline distT="0" distB="0" distL="0" distR="0" wp14:anchorId="692DFEBB" wp14:editId="692DFEBC">
                  <wp:extent cx="1031240" cy="1020445"/>
                  <wp:effectExtent l="19050" t="0" r="0" b="0"/>
                  <wp:docPr id="4" name="Picture 4" descr="State Seal of Massachuset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tate Seal of Massachusetts"/>
                          <pic:cNvPicPr>
                            <a:picLocks noChangeAspect="1" noChangeArrowheads="1"/>
                          </pic:cNvPicPr>
                        </pic:nvPicPr>
                        <pic:blipFill>
                          <a:blip r:embed="rId14" cstate="print"/>
                          <a:srcRect/>
                          <a:stretch>
                            <a:fillRect/>
                          </a:stretch>
                        </pic:blipFill>
                        <pic:spPr bwMode="auto">
                          <a:xfrm>
                            <a:off x="0" y="0"/>
                            <a:ext cx="1031240" cy="1020445"/>
                          </a:xfrm>
                          <a:prstGeom prst="rect">
                            <a:avLst/>
                          </a:prstGeom>
                          <a:noFill/>
                          <a:ln w="9525">
                            <a:noFill/>
                            <a:miter lim="800000"/>
                            <a:headEnd/>
                            <a:tailEnd/>
                          </a:ln>
                        </pic:spPr>
                      </pic:pic>
                    </a:graphicData>
                  </a:graphic>
                </wp:inline>
              </w:drawing>
            </w:r>
            <w:bookmarkEnd w:id="0"/>
          </w:p>
        </w:tc>
      </w:tr>
    </w:tbl>
    <w:p w14:paraId="692DFDA4" w14:textId="77777777" w:rsidR="004D45D4" w:rsidRDefault="004D45D4" w:rsidP="00C118B2"/>
    <w:p w14:paraId="692DFDA5" w14:textId="77777777" w:rsidR="003F3636" w:rsidRPr="00522A11" w:rsidRDefault="004D45D4" w:rsidP="0026580B">
      <w:pPr>
        <w:rPr>
          <w:rFonts w:asciiTheme="minorHAnsi" w:hAnsiTheme="minorHAnsi"/>
        </w:rPr>
      </w:pPr>
      <w:r>
        <w:br w:type="page"/>
      </w:r>
      <w:r w:rsidR="003F3636" w:rsidRPr="00522A11">
        <w:rPr>
          <w:rFonts w:asciiTheme="minorHAnsi" w:hAnsiTheme="minorHAnsi"/>
        </w:rPr>
        <w:lastRenderedPageBreak/>
        <w:t>Table of Contents</w:t>
      </w:r>
    </w:p>
    <w:p w14:paraId="692DFDA6" w14:textId="77777777" w:rsidR="0071398C" w:rsidRDefault="00497458">
      <w:pPr>
        <w:pStyle w:val="TOC1"/>
        <w:rPr>
          <w:rFonts w:asciiTheme="minorHAnsi" w:eastAsiaTheme="minorEastAsia" w:hAnsiTheme="minorHAnsi" w:cstheme="minorBidi"/>
          <w:b w:val="0"/>
          <w:noProof/>
          <w:sz w:val="22"/>
          <w:szCs w:val="22"/>
        </w:rPr>
      </w:pPr>
      <w:r>
        <w:rPr>
          <w:rFonts w:asciiTheme="minorHAnsi" w:hAnsiTheme="minorHAnsi" w:cs="Arial"/>
          <w:sz w:val="18"/>
        </w:rPr>
        <w:fldChar w:fldCharType="begin"/>
      </w:r>
      <w:r w:rsidR="00F07325">
        <w:rPr>
          <w:rFonts w:asciiTheme="minorHAnsi" w:hAnsiTheme="minorHAnsi" w:cs="Arial"/>
          <w:sz w:val="18"/>
        </w:rPr>
        <w:instrText xml:space="preserve"> TOC \o "1-3" \h \z \u </w:instrText>
      </w:r>
      <w:r>
        <w:rPr>
          <w:rFonts w:asciiTheme="minorHAnsi" w:hAnsiTheme="minorHAnsi" w:cs="Arial"/>
          <w:sz w:val="18"/>
        </w:rPr>
        <w:fldChar w:fldCharType="separate"/>
      </w:r>
      <w:hyperlink w:anchor="_Toc398114642" w:history="1">
        <w:r w:rsidR="0071398C" w:rsidRPr="003506A4">
          <w:rPr>
            <w:rStyle w:val="Hyperlink"/>
            <w:noProof/>
          </w:rPr>
          <w:t>Overview</w:t>
        </w:r>
        <w:r w:rsidR="0071398C">
          <w:rPr>
            <w:noProof/>
            <w:webHidden/>
          </w:rPr>
          <w:tab/>
        </w:r>
        <w:r>
          <w:rPr>
            <w:noProof/>
            <w:webHidden/>
          </w:rPr>
          <w:fldChar w:fldCharType="begin"/>
        </w:r>
        <w:r w:rsidR="0071398C">
          <w:rPr>
            <w:noProof/>
            <w:webHidden/>
          </w:rPr>
          <w:instrText xml:space="preserve"> PAGEREF _Toc398114642 \h </w:instrText>
        </w:r>
        <w:r>
          <w:rPr>
            <w:noProof/>
            <w:webHidden/>
          </w:rPr>
        </w:r>
        <w:r>
          <w:rPr>
            <w:noProof/>
            <w:webHidden/>
          </w:rPr>
          <w:fldChar w:fldCharType="separate"/>
        </w:r>
        <w:r w:rsidR="0026580B">
          <w:rPr>
            <w:noProof/>
            <w:webHidden/>
          </w:rPr>
          <w:t>1</w:t>
        </w:r>
        <w:r>
          <w:rPr>
            <w:noProof/>
            <w:webHidden/>
          </w:rPr>
          <w:fldChar w:fldCharType="end"/>
        </w:r>
      </w:hyperlink>
    </w:p>
    <w:p w14:paraId="692DFDA7" w14:textId="77777777" w:rsidR="0071398C" w:rsidRDefault="00643583">
      <w:pPr>
        <w:pStyle w:val="TOC3"/>
        <w:tabs>
          <w:tab w:val="right" w:leader="dot" w:pos="9350"/>
        </w:tabs>
        <w:rPr>
          <w:rFonts w:asciiTheme="minorHAnsi" w:eastAsiaTheme="minorEastAsia" w:hAnsiTheme="minorHAnsi" w:cstheme="minorBidi"/>
          <w:noProof/>
          <w:sz w:val="22"/>
          <w:szCs w:val="22"/>
        </w:rPr>
      </w:pPr>
      <w:hyperlink w:anchor="_Toc398114643" w:history="1">
        <w:r w:rsidR="0071398C" w:rsidRPr="003506A4">
          <w:rPr>
            <w:rStyle w:val="Hyperlink"/>
            <w:noProof/>
          </w:rPr>
          <w:t>Guiding areas of virtual school accountability</w:t>
        </w:r>
        <w:r w:rsidR="0071398C">
          <w:rPr>
            <w:noProof/>
            <w:webHidden/>
          </w:rPr>
          <w:tab/>
        </w:r>
        <w:r w:rsidR="00497458">
          <w:rPr>
            <w:noProof/>
            <w:webHidden/>
          </w:rPr>
          <w:fldChar w:fldCharType="begin"/>
        </w:r>
        <w:r w:rsidR="0071398C">
          <w:rPr>
            <w:noProof/>
            <w:webHidden/>
          </w:rPr>
          <w:instrText xml:space="preserve"> PAGEREF _Toc398114643 \h </w:instrText>
        </w:r>
        <w:r w:rsidR="00497458">
          <w:rPr>
            <w:noProof/>
            <w:webHidden/>
          </w:rPr>
        </w:r>
        <w:r w:rsidR="00497458">
          <w:rPr>
            <w:noProof/>
            <w:webHidden/>
          </w:rPr>
          <w:fldChar w:fldCharType="separate"/>
        </w:r>
        <w:r w:rsidR="0026580B">
          <w:rPr>
            <w:noProof/>
            <w:webHidden/>
          </w:rPr>
          <w:t>1</w:t>
        </w:r>
        <w:r w:rsidR="00497458">
          <w:rPr>
            <w:noProof/>
            <w:webHidden/>
          </w:rPr>
          <w:fldChar w:fldCharType="end"/>
        </w:r>
      </w:hyperlink>
    </w:p>
    <w:p w14:paraId="692DFDA8" w14:textId="77777777" w:rsidR="0071398C" w:rsidRDefault="00643583">
      <w:pPr>
        <w:pStyle w:val="TOC3"/>
        <w:tabs>
          <w:tab w:val="right" w:leader="dot" w:pos="9350"/>
        </w:tabs>
        <w:rPr>
          <w:rFonts w:asciiTheme="minorHAnsi" w:eastAsiaTheme="minorEastAsia" w:hAnsiTheme="minorHAnsi" w:cstheme="minorBidi"/>
          <w:noProof/>
          <w:sz w:val="22"/>
          <w:szCs w:val="22"/>
        </w:rPr>
      </w:pPr>
      <w:hyperlink w:anchor="_Toc398114644" w:history="1">
        <w:r w:rsidR="0071398C" w:rsidRPr="003506A4">
          <w:rPr>
            <w:rStyle w:val="Hyperlink"/>
            <w:noProof/>
          </w:rPr>
          <w:t>Principles guiding the development of these criteria</w:t>
        </w:r>
        <w:r w:rsidR="0071398C">
          <w:rPr>
            <w:noProof/>
            <w:webHidden/>
          </w:rPr>
          <w:tab/>
        </w:r>
        <w:r w:rsidR="00497458">
          <w:rPr>
            <w:noProof/>
            <w:webHidden/>
          </w:rPr>
          <w:fldChar w:fldCharType="begin"/>
        </w:r>
        <w:r w:rsidR="0071398C">
          <w:rPr>
            <w:noProof/>
            <w:webHidden/>
          </w:rPr>
          <w:instrText xml:space="preserve"> PAGEREF _Toc398114644 \h </w:instrText>
        </w:r>
        <w:r w:rsidR="00497458">
          <w:rPr>
            <w:noProof/>
            <w:webHidden/>
          </w:rPr>
        </w:r>
        <w:r w:rsidR="00497458">
          <w:rPr>
            <w:noProof/>
            <w:webHidden/>
          </w:rPr>
          <w:fldChar w:fldCharType="separate"/>
        </w:r>
        <w:r w:rsidR="0026580B">
          <w:rPr>
            <w:noProof/>
            <w:webHidden/>
          </w:rPr>
          <w:t>1</w:t>
        </w:r>
        <w:r w:rsidR="00497458">
          <w:rPr>
            <w:noProof/>
            <w:webHidden/>
          </w:rPr>
          <w:fldChar w:fldCharType="end"/>
        </w:r>
      </w:hyperlink>
    </w:p>
    <w:p w14:paraId="692DFDA9" w14:textId="77777777" w:rsidR="0071398C" w:rsidRDefault="00643583">
      <w:pPr>
        <w:pStyle w:val="TOC3"/>
        <w:tabs>
          <w:tab w:val="right" w:leader="dot" w:pos="9350"/>
        </w:tabs>
        <w:rPr>
          <w:rFonts w:asciiTheme="minorHAnsi" w:eastAsiaTheme="minorEastAsia" w:hAnsiTheme="minorHAnsi" w:cstheme="minorBidi"/>
          <w:noProof/>
          <w:sz w:val="22"/>
          <w:szCs w:val="22"/>
        </w:rPr>
      </w:pPr>
      <w:hyperlink w:anchor="_Toc398114645" w:history="1">
        <w:r w:rsidR="0071398C" w:rsidRPr="003506A4">
          <w:rPr>
            <w:rStyle w:val="Hyperlink"/>
            <w:noProof/>
          </w:rPr>
          <w:t>Using the criteria during the certificate term</w:t>
        </w:r>
        <w:r w:rsidR="0071398C">
          <w:rPr>
            <w:noProof/>
            <w:webHidden/>
          </w:rPr>
          <w:tab/>
        </w:r>
        <w:r w:rsidR="00497458">
          <w:rPr>
            <w:noProof/>
            <w:webHidden/>
          </w:rPr>
          <w:fldChar w:fldCharType="begin"/>
        </w:r>
        <w:r w:rsidR="0071398C">
          <w:rPr>
            <w:noProof/>
            <w:webHidden/>
          </w:rPr>
          <w:instrText xml:space="preserve"> PAGEREF _Toc398114645 \h </w:instrText>
        </w:r>
        <w:r w:rsidR="00497458">
          <w:rPr>
            <w:noProof/>
            <w:webHidden/>
          </w:rPr>
        </w:r>
        <w:r w:rsidR="00497458">
          <w:rPr>
            <w:noProof/>
            <w:webHidden/>
          </w:rPr>
          <w:fldChar w:fldCharType="separate"/>
        </w:r>
        <w:r w:rsidR="0026580B">
          <w:rPr>
            <w:noProof/>
            <w:webHidden/>
          </w:rPr>
          <w:t>1</w:t>
        </w:r>
        <w:r w:rsidR="00497458">
          <w:rPr>
            <w:noProof/>
            <w:webHidden/>
          </w:rPr>
          <w:fldChar w:fldCharType="end"/>
        </w:r>
      </w:hyperlink>
    </w:p>
    <w:p w14:paraId="692DFDAA" w14:textId="77777777" w:rsidR="0071398C" w:rsidRDefault="00643583">
      <w:pPr>
        <w:pStyle w:val="TOC3"/>
        <w:tabs>
          <w:tab w:val="right" w:leader="dot" w:pos="9350"/>
        </w:tabs>
        <w:rPr>
          <w:rFonts w:asciiTheme="minorHAnsi" w:eastAsiaTheme="minorEastAsia" w:hAnsiTheme="minorHAnsi" w:cstheme="minorBidi"/>
          <w:noProof/>
          <w:sz w:val="22"/>
          <w:szCs w:val="22"/>
        </w:rPr>
      </w:pPr>
      <w:hyperlink w:anchor="_Toc398114646" w:history="1">
        <w:r w:rsidR="0071398C" w:rsidRPr="003506A4">
          <w:rPr>
            <w:rStyle w:val="Hyperlink"/>
            <w:noProof/>
          </w:rPr>
          <w:t>Using the criteria to inform renewal recommendations</w:t>
        </w:r>
        <w:r w:rsidR="0071398C">
          <w:rPr>
            <w:noProof/>
            <w:webHidden/>
          </w:rPr>
          <w:tab/>
        </w:r>
        <w:r w:rsidR="00497458">
          <w:rPr>
            <w:noProof/>
            <w:webHidden/>
          </w:rPr>
          <w:fldChar w:fldCharType="begin"/>
        </w:r>
        <w:r w:rsidR="0071398C">
          <w:rPr>
            <w:noProof/>
            <w:webHidden/>
          </w:rPr>
          <w:instrText xml:space="preserve"> PAGEREF _Toc398114646 \h </w:instrText>
        </w:r>
        <w:r w:rsidR="00497458">
          <w:rPr>
            <w:noProof/>
            <w:webHidden/>
          </w:rPr>
        </w:r>
        <w:r w:rsidR="00497458">
          <w:rPr>
            <w:noProof/>
            <w:webHidden/>
          </w:rPr>
          <w:fldChar w:fldCharType="separate"/>
        </w:r>
        <w:r w:rsidR="0026580B">
          <w:rPr>
            <w:noProof/>
            <w:webHidden/>
          </w:rPr>
          <w:t>1</w:t>
        </w:r>
        <w:r w:rsidR="00497458">
          <w:rPr>
            <w:noProof/>
            <w:webHidden/>
          </w:rPr>
          <w:fldChar w:fldCharType="end"/>
        </w:r>
      </w:hyperlink>
    </w:p>
    <w:p w14:paraId="692DFDAB" w14:textId="77777777" w:rsidR="0071398C" w:rsidRDefault="00643583">
      <w:pPr>
        <w:pStyle w:val="TOC1"/>
        <w:rPr>
          <w:rFonts w:asciiTheme="minorHAnsi" w:eastAsiaTheme="minorEastAsia" w:hAnsiTheme="minorHAnsi" w:cstheme="minorBidi"/>
          <w:b w:val="0"/>
          <w:noProof/>
          <w:sz w:val="22"/>
          <w:szCs w:val="22"/>
        </w:rPr>
      </w:pPr>
      <w:hyperlink w:anchor="_Toc398114647" w:history="1">
        <w:r w:rsidR="0071398C" w:rsidRPr="003506A4">
          <w:rPr>
            <w:rStyle w:val="Hyperlink"/>
            <w:noProof/>
            <w:lang w:bidi="en-US"/>
          </w:rPr>
          <w:t>Criteria Summary</w:t>
        </w:r>
        <w:r w:rsidR="0071398C">
          <w:rPr>
            <w:noProof/>
            <w:webHidden/>
          </w:rPr>
          <w:tab/>
        </w:r>
        <w:r w:rsidR="00497458">
          <w:rPr>
            <w:noProof/>
            <w:webHidden/>
          </w:rPr>
          <w:fldChar w:fldCharType="begin"/>
        </w:r>
        <w:r w:rsidR="0071398C">
          <w:rPr>
            <w:noProof/>
            <w:webHidden/>
          </w:rPr>
          <w:instrText xml:space="preserve"> PAGEREF _Toc398114647 \h </w:instrText>
        </w:r>
        <w:r w:rsidR="00497458">
          <w:rPr>
            <w:noProof/>
            <w:webHidden/>
          </w:rPr>
        </w:r>
        <w:r w:rsidR="00497458">
          <w:rPr>
            <w:noProof/>
            <w:webHidden/>
          </w:rPr>
          <w:fldChar w:fldCharType="separate"/>
        </w:r>
        <w:r w:rsidR="0026580B">
          <w:rPr>
            <w:noProof/>
            <w:webHidden/>
          </w:rPr>
          <w:t>2</w:t>
        </w:r>
        <w:r w:rsidR="00497458">
          <w:rPr>
            <w:noProof/>
            <w:webHidden/>
          </w:rPr>
          <w:fldChar w:fldCharType="end"/>
        </w:r>
      </w:hyperlink>
    </w:p>
    <w:p w14:paraId="692DFDAC" w14:textId="77777777" w:rsidR="0071398C" w:rsidRDefault="00643583">
      <w:pPr>
        <w:pStyle w:val="TOC1"/>
        <w:rPr>
          <w:rFonts w:asciiTheme="minorHAnsi" w:eastAsiaTheme="minorEastAsia" w:hAnsiTheme="minorHAnsi" w:cstheme="minorBidi"/>
          <w:b w:val="0"/>
          <w:noProof/>
          <w:sz w:val="22"/>
          <w:szCs w:val="22"/>
        </w:rPr>
      </w:pPr>
      <w:hyperlink w:anchor="_Toc398114648" w:history="1">
        <w:r w:rsidR="0071398C" w:rsidRPr="003506A4">
          <w:rPr>
            <w:rStyle w:val="Hyperlink"/>
            <w:noProof/>
          </w:rPr>
          <w:t>Faithfulness to certificate</w:t>
        </w:r>
        <w:r w:rsidR="0071398C">
          <w:rPr>
            <w:noProof/>
            <w:webHidden/>
          </w:rPr>
          <w:tab/>
        </w:r>
        <w:r w:rsidR="00497458">
          <w:rPr>
            <w:noProof/>
            <w:webHidden/>
          </w:rPr>
          <w:fldChar w:fldCharType="begin"/>
        </w:r>
        <w:r w:rsidR="0071398C">
          <w:rPr>
            <w:noProof/>
            <w:webHidden/>
          </w:rPr>
          <w:instrText xml:space="preserve"> PAGEREF _Toc398114648 \h </w:instrText>
        </w:r>
        <w:r w:rsidR="00497458">
          <w:rPr>
            <w:noProof/>
            <w:webHidden/>
          </w:rPr>
        </w:r>
        <w:r w:rsidR="00497458">
          <w:rPr>
            <w:noProof/>
            <w:webHidden/>
          </w:rPr>
          <w:fldChar w:fldCharType="separate"/>
        </w:r>
        <w:r w:rsidR="0026580B">
          <w:rPr>
            <w:noProof/>
            <w:webHidden/>
          </w:rPr>
          <w:t>3</w:t>
        </w:r>
        <w:r w:rsidR="00497458">
          <w:rPr>
            <w:noProof/>
            <w:webHidden/>
          </w:rPr>
          <w:fldChar w:fldCharType="end"/>
        </w:r>
      </w:hyperlink>
    </w:p>
    <w:p w14:paraId="692DFDAD" w14:textId="77777777" w:rsidR="0071398C" w:rsidRDefault="00643583">
      <w:pPr>
        <w:pStyle w:val="TOC3"/>
        <w:tabs>
          <w:tab w:val="left" w:pos="960"/>
          <w:tab w:val="right" w:leader="dot" w:pos="9350"/>
        </w:tabs>
        <w:rPr>
          <w:rFonts w:asciiTheme="minorHAnsi" w:eastAsiaTheme="minorEastAsia" w:hAnsiTheme="minorHAnsi" w:cstheme="minorBidi"/>
          <w:noProof/>
          <w:sz w:val="22"/>
          <w:szCs w:val="22"/>
        </w:rPr>
      </w:pPr>
      <w:hyperlink w:anchor="_Toc398114649" w:history="1">
        <w:r w:rsidR="0071398C" w:rsidRPr="003506A4">
          <w:rPr>
            <w:rStyle w:val="Hyperlink"/>
            <w:noProof/>
          </w:rPr>
          <w:t>1.</w:t>
        </w:r>
        <w:r w:rsidR="0071398C">
          <w:rPr>
            <w:rFonts w:asciiTheme="minorHAnsi" w:eastAsiaTheme="minorEastAsia" w:hAnsiTheme="minorHAnsi" w:cstheme="minorBidi"/>
            <w:noProof/>
            <w:sz w:val="22"/>
            <w:szCs w:val="22"/>
          </w:rPr>
          <w:tab/>
        </w:r>
        <w:r w:rsidR="0071398C" w:rsidRPr="003506A4">
          <w:rPr>
            <w:rStyle w:val="Hyperlink"/>
            <w:noProof/>
          </w:rPr>
          <w:t>Mission and key design elements</w:t>
        </w:r>
        <w:r w:rsidR="0071398C">
          <w:rPr>
            <w:noProof/>
            <w:webHidden/>
          </w:rPr>
          <w:tab/>
        </w:r>
        <w:r w:rsidR="00497458">
          <w:rPr>
            <w:noProof/>
            <w:webHidden/>
          </w:rPr>
          <w:fldChar w:fldCharType="begin"/>
        </w:r>
        <w:r w:rsidR="0071398C">
          <w:rPr>
            <w:noProof/>
            <w:webHidden/>
          </w:rPr>
          <w:instrText xml:space="preserve"> PAGEREF _Toc398114649 \h </w:instrText>
        </w:r>
        <w:r w:rsidR="00497458">
          <w:rPr>
            <w:noProof/>
            <w:webHidden/>
          </w:rPr>
        </w:r>
        <w:r w:rsidR="00497458">
          <w:rPr>
            <w:noProof/>
            <w:webHidden/>
          </w:rPr>
          <w:fldChar w:fldCharType="separate"/>
        </w:r>
        <w:r w:rsidR="0026580B">
          <w:rPr>
            <w:noProof/>
            <w:webHidden/>
          </w:rPr>
          <w:t>3</w:t>
        </w:r>
        <w:r w:rsidR="00497458">
          <w:rPr>
            <w:noProof/>
            <w:webHidden/>
          </w:rPr>
          <w:fldChar w:fldCharType="end"/>
        </w:r>
      </w:hyperlink>
    </w:p>
    <w:p w14:paraId="692DFDAE" w14:textId="77777777" w:rsidR="0071398C" w:rsidRDefault="00643583">
      <w:pPr>
        <w:pStyle w:val="TOC3"/>
        <w:tabs>
          <w:tab w:val="left" w:pos="960"/>
          <w:tab w:val="right" w:leader="dot" w:pos="9350"/>
        </w:tabs>
        <w:rPr>
          <w:rFonts w:asciiTheme="minorHAnsi" w:eastAsiaTheme="minorEastAsia" w:hAnsiTheme="minorHAnsi" w:cstheme="minorBidi"/>
          <w:noProof/>
          <w:sz w:val="22"/>
          <w:szCs w:val="22"/>
        </w:rPr>
      </w:pPr>
      <w:hyperlink w:anchor="_Toc398114650" w:history="1">
        <w:r w:rsidR="0071398C" w:rsidRPr="003506A4">
          <w:rPr>
            <w:rStyle w:val="Hyperlink"/>
            <w:noProof/>
          </w:rPr>
          <w:t>2.</w:t>
        </w:r>
        <w:r w:rsidR="0071398C">
          <w:rPr>
            <w:rFonts w:asciiTheme="minorHAnsi" w:eastAsiaTheme="minorEastAsia" w:hAnsiTheme="minorHAnsi" w:cstheme="minorBidi"/>
            <w:noProof/>
            <w:sz w:val="22"/>
            <w:szCs w:val="22"/>
          </w:rPr>
          <w:tab/>
        </w:r>
        <w:r w:rsidR="0071398C" w:rsidRPr="003506A4">
          <w:rPr>
            <w:rStyle w:val="Hyperlink"/>
            <w:noProof/>
          </w:rPr>
          <w:t>Access and equity</w:t>
        </w:r>
        <w:r w:rsidR="0071398C">
          <w:rPr>
            <w:noProof/>
            <w:webHidden/>
          </w:rPr>
          <w:tab/>
        </w:r>
        <w:r w:rsidR="00497458">
          <w:rPr>
            <w:noProof/>
            <w:webHidden/>
          </w:rPr>
          <w:fldChar w:fldCharType="begin"/>
        </w:r>
        <w:r w:rsidR="0071398C">
          <w:rPr>
            <w:noProof/>
            <w:webHidden/>
          </w:rPr>
          <w:instrText xml:space="preserve"> PAGEREF _Toc398114650 \h </w:instrText>
        </w:r>
        <w:r w:rsidR="00497458">
          <w:rPr>
            <w:noProof/>
            <w:webHidden/>
          </w:rPr>
        </w:r>
        <w:r w:rsidR="00497458">
          <w:rPr>
            <w:noProof/>
            <w:webHidden/>
          </w:rPr>
          <w:fldChar w:fldCharType="separate"/>
        </w:r>
        <w:r w:rsidR="0026580B">
          <w:rPr>
            <w:noProof/>
            <w:webHidden/>
          </w:rPr>
          <w:t>3</w:t>
        </w:r>
        <w:r w:rsidR="00497458">
          <w:rPr>
            <w:noProof/>
            <w:webHidden/>
          </w:rPr>
          <w:fldChar w:fldCharType="end"/>
        </w:r>
      </w:hyperlink>
    </w:p>
    <w:p w14:paraId="692DFDAF" w14:textId="77777777" w:rsidR="0071398C" w:rsidRDefault="00643583">
      <w:pPr>
        <w:pStyle w:val="TOC3"/>
        <w:tabs>
          <w:tab w:val="left" w:pos="960"/>
          <w:tab w:val="right" w:leader="dot" w:pos="9350"/>
        </w:tabs>
        <w:rPr>
          <w:rFonts w:asciiTheme="minorHAnsi" w:eastAsiaTheme="minorEastAsia" w:hAnsiTheme="minorHAnsi" w:cstheme="minorBidi"/>
          <w:noProof/>
          <w:sz w:val="22"/>
          <w:szCs w:val="22"/>
        </w:rPr>
      </w:pPr>
      <w:hyperlink w:anchor="_Toc398114651" w:history="1">
        <w:r w:rsidR="0071398C" w:rsidRPr="003506A4">
          <w:rPr>
            <w:rStyle w:val="Hyperlink"/>
            <w:noProof/>
          </w:rPr>
          <w:t>3.</w:t>
        </w:r>
        <w:r w:rsidR="0071398C">
          <w:rPr>
            <w:rFonts w:asciiTheme="minorHAnsi" w:eastAsiaTheme="minorEastAsia" w:hAnsiTheme="minorHAnsi" w:cstheme="minorBidi"/>
            <w:noProof/>
            <w:sz w:val="22"/>
            <w:szCs w:val="22"/>
          </w:rPr>
          <w:tab/>
        </w:r>
        <w:r w:rsidR="0071398C" w:rsidRPr="003506A4">
          <w:rPr>
            <w:rStyle w:val="Hyperlink"/>
            <w:noProof/>
          </w:rPr>
          <w:t>Compliance</w:t>
        </w:r>
        <w:r w:rsidR="0071398C">
          <w:rPr>
            <w:noProof/>
            <w:webHidden/>
          </w:rPr>
          <w:tab/>
        </w:r>
        <w:r w:rsidR="00497458">
          <w:rPr>
            <w:noProof/>
            <w:webHidden/>
          </w:rPr>
          <w:fldChar w:fldCharType="begin"/>
        </w:r>
        <w:r w:rsidR="0071398C">
          <w:rPr>
            <w:noProof/>
            <w:webHidden/>
          </w:rPr>
          <w:instrText xml:space="preserve"> PAGEREF _Toc398114651 \h </w:instrText>
        </w:r>
        <w:r w:rsidR="00497458">
          <w:rPr>
            <w:noProof/>
            <w:webHidden/>
          </w:rPr>
        </w:r>
        <w:r w:rsidR="00497458">
          <w:rPr>
            <w:noProof/>
            <w:webHidden/>
          </w:rPr>
          <w:fldChar w:fldCharType="separate"/>
        </w:r>
        <w:r w:rsidR="0026580B">
          <w:rPr>
            <w:noProof/>
            <w:webHidden/>
          </w:rPr>
          <w:t>4</w:t>
        </w:r>
        <w:r w:rsidR="00497458">
          <w:rPr>
            <w:noProof/>
            <w:webHidden/>
          </w:rPr>
          <w:fldChar w:fldCharType="end"/>
        </w:r>
      </w:hyperlink>
    </w:p>
    <w:p w14:paraId="692DFDB0" w14:textId="77777777" w:rsidR="0071398C" w:rsidRDefault="00643583">
      <w:pPr>
        <w:pStyle w:val="TOC1"/>
        <w:rPr>
          <w:rFonts w:asciiTheme="minorHAnsi" w:eastAsiaTheme="minorEastAsia" w:hAnsiTheme="minorHAnsi" w:cstheme="minorBidi"/>
          <w:b w:val="0"/>
          <w:noProof/>
          <w:sz w:val="22"/>
          <w:szCs w:val="22"/>
        </w:rPr>
      </w:pPr>
      <w:hyperlink w:anchor="_Toc398114652" w:history="1">
        <w:r w:rsidR="0071398C" w:rsidRPr="003506A4">
          <w:rPr>
            <w:rStyle w:val="Hyperlink"/>
            <w:noProof/>
          </w:rPr>
          <w:t>Academic and program success</w:t>
        </w:r>
        <w:r w:rsidR="0071398C">
          <w:rPr>
            <w:noProof/>
            <w:webHidden/>
          </w:rPr>
          <w:tab/>
        </w:r>
        <w:r w:rsidR="00497458">
          <w:rPr>
            <w:noProof/>
            <w:webHidden/>
          </w:rPr>
          <w:fldChar w:fldCharType="begin"/>
        </w:r>
        <w:r w:rsidR="0071398C">
          <w:rPr>
            <w:noProof/>
            <w:webHidden/>
          </w:rPr>
          <w:instrText xml:space="preserve"> PAGEREF _Toc398114652 \h </w:instrText>
        </w:r>
        <w:r w:rsidR="00497458">
          <w:rPr>
            <w:noProof/>
            <w:webHidden/>
          </w:rPr>
        </w:r>
        <w:r w:rsidR="00497458">
          <w:rPr>
            <w:noProof/>
            <w:webHidden/>
          </w:rPr>
          <w:fldChar w:fldCharType="separate"/>
        </w:r>
        <w:r w:rsidR="0026580B">
          <w:rPr>
            <w:noProof/>
            <w:webHidden/>
          </w:rPr>
          <w:t>4</w:t>
        </w:r>
        <w:r w:rsidR="00497458">
          <w:rPr>
            <w:noProof/>
            <w:webHidden/>
          </w:rPr>
          <w:fldChar w:fldCharType="end"/>
        </w:r>
      </w:hyperlink>
    </w:p>
    <w:p w14:paraId="692DFDB1" w14:textId="77777777" w:rsidR="0071398C" w:rsidRDefault="00643583">
      <w:pPr>
        <w:pStyle w:val="TOC3"/>
        <w:tabs>
          <w:tab w:val="left" w:pos="960"/>
          <w:tab w:val="right" w:leader="dot" w:pos="9350"/>
        </w:tabs>
        <w:rPr>
          <w:rFonts w:asciiTheme="minorHAnsi" w:eastAsiaTheme="minorEastAsia" w:hAnsiTheme="minorHAnsi" w:cstheme="minorBidi"/>
          <w:noProof/>
          <w:sz w:val="22"/>
          <w:szCs w:val="22"/>
        </w:rPr>
      </w:pPr>
      <w:hyperlink w:anchor="_Toc398114653" w:history="1">
        <w:r w:rsidR="0071398C" w:rsidRPr="003506A4">
          <w:rPr>
            <w:rStyle w:val="Hyperlink"/>
            <w:noProof/>
          </w:rPr>
          <w:t>4.</w:t>
        </w:r>
        <w:r w:rsidR="0071398C">
          <w:rPr>
            <w:rFonts w:asciiTheme="minorHAnsi" w:eastAsiaTheme="minorEastAsia" w:hAnsiTheme="minorHAnsi" w:cstheme="minorBidi"/>
            <w:noProof/>
            <w:sz w:val="22"/>
            <w:szCs w:val="22"/>
          </w:rPr>
          <w:tab/>
        </w:r>
        <w:r w:rsidR="0071398C" w:rsidRPr="003506A4">
          <w:rPr>
            <w:rStyle w:val="Hyperlink"/>
            <w:noProof/>
          </w:rPr>
          <w:t>Student performance</w:t>
        </w:r>
        <w:r w:rsidR="0071398C">
          <w:rPr>
            <w:noProof/>
            <w:webHidden/>
          </w:rPr>
          <w:tab/>
        </w:r>
        <w:r w:rsidR="00497458">
          <w:rPr>
            <w:noProof/>
            <w:webHidden/>
          </w:rPr>
          <w:fldChar w:fldCharType="begin"/>
        </w:r>
        <w:r w:rsidR="0071398C">
          <w:rPr>
            <w:noProof/>
            <w:webHidden/>
          </w:rPr>
          <w:instrText xml:space="preserve"> PAGEREF _Toc398114653 \h </w:instrText>
        </w:r>
        <w:r w:rsidR="00497458">
          <w:rPr>
            <w:noProof/>
            <w:webHidden/>
          </w:rPr>
        </w:r>
        <w:r w:rsidR="00497458">
          <w:rPr>
            <w:noProof/>
            <w:webHidden/>
          </w:rPr>
          <w:fldChar w:fldCharType="separate"/>
        </w:r>
        <w:r w:rsidR="0026580B">
          <w:rPr>
            <w:noProof/>
            <w:webHidden/>
          </w:rPr>
          <w:t>4</w:t>
        </w:r>
        <w:r w:rsidR="00497458">
          <w:rPr>
            <w:noProof/>
            <w:webHidden/>
          </w:rPr>
          <w:fldChar w:fldCharType="end"/>
        </w:r>
      </w:hyperlink>
    </w:p>
    <w:p w14:paraId="692DFDB2" w14:textId="77777777" w:rsidR="0071398C" w:rsidRDefault="00643583">
      <w:pPr>
        <w:pStyle w:val="TOC3"/>
        <w:tabs>
          <w:tab w:val="left" w:pos="960"/>
          <w:tab w:val="right" w:leader="dot" w:pos="9350"/>
        </w:tabs>
        <w:rPr>
          <w:rFonts w:asciiTheme="minorHAnsi" w:eastAsiaTheme="minorEastAsia" w:hAnsiTheme="minorHAnsi" w:cstheme="minorBidi"/>
          <w:noProof/>
          <w:sz w:val="22"/>
          <w:szCs w:val="22"/>
        </w:rPr>
      </w:pPr>
      <w:hyperlink w:anchor="_Toc398114654" w:history="1">
        <w:r w:rsidR="0071398C" w:rsidRPr="003506A4">
          <w:rPr>
            <w:rStyle w:val="Hyperlink"/>
            <w:noProof/>
          </w:rPr>
          <w:t>5.</w:t>
        </w:r>
        <w:r w:rsidR="0071398C">
          <w:rPr>
            <w:rFonts w:asciiTheme="minorHAnsi" w:eastAsiaTheme="minorEastAsia" w:hAnsiTheme="minorHAnsi" w:cstheme="minorBidi"/>
            <w:noProof/>
            <w:sz w:val="22"/>
            <w:szCs w:val="22"/>
          </w:rPr>
          <w:tab/>
        </w:r>
        <w:r w:rsidR="0071398C" w:rsidRPr="003506A4">
          <w:rPr>
            <w:rStyle w:val="Hyperlink"/>
            <w:noProof/>
          </w:rPr>
          <w:t>Program delivery</w:t>
        </w:r>
        <w:r w:rsidR="0071398C">
          <w:rPr>
            <w:noProof/>
            <w:webHidden/>
          </w:rPr>
          <w:tab/>
        </w:r>
        <w:r w:rsidR="00497458">
          <w:rPr>
            <w:noProof/>
            <w:webHidden/>
          </w:rPr>
          <w:fldChar w:fldCharType="begin"/>
        </w:r>
        <w:r w:rsidR="0071398C">
          <w:rPr>
            <w:noProof/>
            <w:webHidden/>
          </w:rPr>
          <w:instrText xml:space="preserve"> PAGEREF _Toc398114654 \h </w:instrText>
        </w:r>
        <w:r w:rsidR="00497458">
          <w:rPr>
            <w:noProof/>
            <w:webHidden/>
          </w:rPr>
        </w:r>
        <w:r w:rsidR="00497458">
          <w:rPr>
            <w:noProof/>
            <w:webHidden/>
          </w:rPr>
          <w:fldChar w:fldCharType="separate"/>
        </w:r>
        <w:r w:rsidR="0026580B">
          <w:rPr>
            <w:noProof/>
            <w:webHidden/>
          </w:rPr>
          <w:t>5</w:t>
        </w:r>
        <w:r w:rsidR="00497458">
          <w:rPr>
            <w:noProof/>
            <w:webHidden/>
          </w:rPr>
          <w:fldChar w:fldCharType="end"/>
        </w:r>
      </w:hyperlink>
    </w:p>
    <w:p w14:paraId="692DFDB3" w14:textId="77777777" w:rsidR="0071398C" w:rsidRDefault="00643583">
      <w:pPr>
        <w:pStyle w:val="TOC3"/>
        <w:tabs>
          <w:tab w:val="left" w:pos="960"/>
          <w:tab w:val="right" w:leader="dot" w:pos="9350"/>
        </w:tabs>
        <w:rPr>
          <w:rFonts w:asciiTheme="minorHAnsi" w:eastAsiaTheme="minorEastAsia" w:hAnsiTheme="minorHAnsi" w:cstheme="minorBidi"/>
          <w:noProof/>
          <w:sz w:val="22"/>
          <w:szCs w:val="22"/>
        </w:rPr>
      </w:pPr>
      <w:hyperlink w:anchor="_Toc398114655" w:history="1">
        <w:r w:rsidR="0071398C" w:rsidRPr="003506A4">
          <w:rPr>
            <w:rStyle w:val="Hyperlink"/>
            <w:noProof/>
          </w:rPr>
          <w:t>6.</w:t>
        </w:r>
        <w:r w:rsidR="0071398C">
          <w:rPr>
            <w:rFonts w:asciiTheme="minorHAnsi" w:eastAsiaTheme="minorEastAsia" w:hAnsiTheme="minorHAnsi" w:cstheme="minorBidi"/>
            <w:noProof/>
            <w:sz w:val="22"/>
            <w:szCs w:val="22"/>
          </w:rPr>
          <w:tab/>
        </w:r>
        <w:r w:rsidR="0071398C" w:rsidRPr="003506A4">
          <w:rPr>
            <w:rStyle w:val="Hyperlink"/>
            <w:noProof/>
          </w:rPr>
          <w:t>School culture and family engagement</w:t>
        </w:r>
        <w:r w:rsidR="0071398C">
          <w:rPr>
            <w:noProof/>
            <w:webHidden/>
          </w:rPr>
          <w:tab/>
        </w:r>
        <w:r w:rsidR="00497458">
          <w:rPr>
            <w:noProof/>
            <w:webHidden/>
          </w:rPr>
          <w:fldChar w:fldCharType="begin"/>
        </w:r>
        <w:r w:rsidR="0071398C">
          <w:rPr>
            <w:noProof/>
            <w:webHidden/>
          </w:rPr>
          <w:instrText xml:space="preserve"> PAGEREF _Toc398114655 \h </w:instrText>
        </w:r>
        <w:r w:rsidR="00497458">
          <w:rPr>
            <w:noProof/>
            <w:webHidden/>
          </w:rPr>
        </w:r>
        <w:r w:rsidR="00497458">
          <w:rPr>
            <w:noProof/>
            <w:webHidden/>
          </w:rPr>
          <w:fldChar w:fldCharType="separate"/>
        </w:r>
        <w:r w:rsidR="0026580B">
          <w:rPr>
            <w:noProof/>
            <w:webHidden/>
          </w:rPr>
          <w:t>6</w:t>
        </w:r>
        <w:r w:rsidR="00497458">
          <w:rPr>
            <w:noProof/>
            <w:webHidden/>
          </w:rPr>
          <w:fldChar w:fldCharType="end"/>
        </w:r>
      </w:hyperlink>
    </w:p>
    <w:p w14:paraId="692DFDB4" w14:textId="77777777" w:rsidR="0071398C" w:rsidRDefault="00643583">
      <w:pPr>
        <w:pStyle w:val="TOC1"/>
        <w:rPr>
          <w:rFonts w:asciiTheme="minorHAnsi" w:eastAsiaTheme="minorEastAsia" w:hAnsiTheme="minorHAnsi" w:cstheme="minorBidi"/>
          <w:b w:val="0"/>
          <w:noProof/>
          <w:sz w:val="22"/>
          <w:szCs w:val="22"/>
        </w:rPr>
      </w:pPr>
      <w:hyperlink w:anchor="_Toc398114656" w:history="1">
        <w:r w:rsidR="0071398C" w:rsidRPr="003506A4">
          <w:rPr>
            <w:rStyle w:val="Hyperlink"/>
            <w:noProof/>
          </w:rPr>
          <w:t>Organizational viability</w:t>
        </w:r>
        <w:r w:rsidR="0071398C">
          <w:rPr>
            <w:noProof/>
            <w:webHidden/>
          </w:rPr>
          <w:tab/>
        </w:r>
        <w:r w:rsidR="00497458">
          <w:rPr>
            <w:noProof/>
            <w:webHidden/>
          </w:rPr>
          <w:fldChar w:fldCharType="begin"/>
        </w:r>
        <w:r w:rsidR="0071398C">
          <w:rPr>
            <w:noProof/>
            <w:webHidden/>
          </w:rPr>
          <w:instrText xml:space="preserve"> PAGEREF _Toc398114656 \h </w:instrText>
        </w:r>
        <w:r w:rsidR="00497458">
          <w:rPr>
            <w:noProof/>
            <w:webHidden/>
          </w:rPr>
        </w:r>
        <w:r w:rsidR="00497458">
          <w:rPr>
            <w:noProof/>
            <w:webHidden/>
          </w:rPr>
          <w:fldChar w:fldCharType="separate"/>
        </w:r>
        <w:r w:rsidR="0026580B">
          <w:rPr>
            <w:noProof/>
            <w:webHidden/>
          </w:rPr>
          <w:t>7</w:t>
        </w:r>
        <w:r w:rsidR="00497458">
          <w:rPr>
            <w:noProof/>
            <w:webHidden/>
          </w:rPr>
          <w:fldChar w:fldCharType="end"/>
        </w:r>
      </w:hyperlink>
    </w:p>
    <w:p w14:paraId="692DFDB5" w14:textId="77777777" w:rsidR="0071398C" w:rsidRDefault="00643583">
      <w:pPr>
        <w:pStyle w:val="TOC3"/>
        <w:tabs>
          <w:tab w:val="left" w:pos="960"/>
          <w:tab w:val="right" w:leader="dot" w:pos="9350"/>
        </w:tabs>
        <w:rPr>
          <w:rFonts w:asciiTheme="minorHAnsi" w:eastAsiaTheme="minorEastAsia" w:hAnsiTheme="minorHAnsi" w:cstheme="minorBidi"/>
          <w:noProof/>
          <w:sz w:val="22"/>
          <w:szCs w:val="22"/>
        </w:rPr>
      </w:pPr>
      <w:hyperlink w:anchor="_Toc398114657" w:history="1">
        <w:r w:rsidR="0071398C" w:rsidRPr="003506A4">
          <w:rPr>
            <w:rStyle w:val="Hyperlink"/>
            <w:noProof/>
          </w:rPr>
          <w:t>7.</w:t>
        </w:r>
        <w:r w:rsidR="0071398C">
          <w:rPr>
            <w:rFonts w:asciiTheme="minorHAnsi" w:eastAsiaTheme="minorEastAsia" w:hAnsiTheme="minorHAnsi" w:cstheme="minorBidi"/>
            <w:noProof/>
            <w:sz w:val="22"/>
            <w:szCs w:val="22"/>
          </w:rPr>
          <w:tab/>
        </w:r>
        <w:r w:rsidR="0071398C" w:rsidRPr="003506A4">
          <w:rPr>
            <w:rStyle w:val="Hyperlink"/>
            <w:noProof/>
          </w:rPr>
          <w:t>Capacity</w:t>
        </w:r>
        <w:r w:rsidR="0071398C">
          <w:rPr>
            <w:noProof/>
            <w:webHidden/>
          </w:rPr>
          <w:tab/>
        </w:r>
        <w:r w:rsidR="00497458">
          <w:rPr>
            <w:noProof/>
            <w:webHidden/>
          </w:rPr>
          <w:fldChar w:fldCharType="begin"/>
        </w:r>
        <w:r w:rsidR="0071398C">
          <w:rPr>
            <w:noProof/>
            <w:webHidden/>
          </w:rPr>
          <w:instrText xml:space="preserve"> PAGEREF _Toc398114657 \h </w:instrText>
        </w:r>
        <w:r w:rsidR="00497458">
          <w:rPr>
            <w:noProof/>
            <w:webHidden/>
          </w:rPr>
        </w:r>
        <w:r w:rsidR="00497458">
          <w:rPr>
            <w:noProof/>
            <w:webHidden/>
          </w:rPr>
          <w:fldChar w:fldCharType="separate"/>
        </w:r>
        <w:r w:rsidR="0026580B">
          <w:rPr>
            <w:noProof/>
            <w:webHidden/>
          </w:rPr>
          <w:t>7</w:t>
        </w:r>
        <w:r w:rsidR="00497458">
          <w:rPr>
            <w:noProof/>
            <w:webHidden/>
          </w:rPr>
          <w:fldChar w:fldCharType="end"/>
        </w:r>
      </w:hyperlink>
    </w:p>
    <w:p w14:paraId="692DFDB6" w14:textId="77777777" w:rsidR="0071398C" w:rsidRDefault="00643583">
      <w:pPr>
        <w:pStyle w:val="TOC3"/>
        <w:tabs>
          <w:tab w:val="left" w:pos="960"/>
          <w:tab w:val="right" w:leader="dot" w:pos="9350"/>
        </w:tabs>
        <w:rPr>
          <w:rFonts w:asciiTheme="minorHAnsi" w:eastAsiaTheme="minorEastAsia" w:hAnsiTheme="minorHAnsi" w:cstheme="minorBidi"/>
          <w:noProof/>
          <w:sz w:val="22"/>
          <w:szCs w:val="22"/>
        </w:rPr>
      </w:pPr>
      <w:hyperlink w:anchor="_Toc398114658" w:history="1">
        <w:r w:rsidR="0071398C" w:rsidRPr="003506A4">
          <w:rPr>
            <w:rStyle w:val="Hyperlink"/>
            <w:noProof/>
          </w:rPr>
          <w:t>8.</w:t>
        </w:r>
        <w:r w:rsidR="0071398C">
          <w:rPr>
            <w:rFonts w:asciiTheme="minorHAnsi" w:eastAsiaTheme="minorEastAsia" w:hAnsiTheme="minorHAnsi" w:cstheme="minorBidi"/>
            <w:noProof/>
            <w:sz w:val="22"/>
            <w:szCs w:val="22"/>
          </w:rPr>
          <w:tab/>
        </w:r>
        <w:r w:rsidR="0071398C" w:rsidRPr="003506A4">
          <w:rPr>
            <w:rStyle w:val="Hyperlink"/>
            <w:noProof/>
          </w:rPr>
          <w:t>Governance</w:t>
        </w:r>
        <w:r w:rsidR="0071398C">
          <w:rPr>
            <w:noProof/>
            <w:webHidden/>
          </w:rPr>
          <w:tab/>
        </w:r>
        <w:r w:rsidR="00497458">
          <w:rPr>
            <w:noProof/>
            <w:webHidden/>
          </w:rPr>
          <w:fldChar w:fldCharType="begin"/>
        </w:r>
        <w:r w:rsidR="0071398C">
          <w:rPr>
            <w:noProof/>
            <w:webHidden/>
          </w:rPr>
          <w:instrText xml:space="preserve"> PAGEREF _Toc398114658 \h </w:instrText>
        </w:r>
        <w:r w:rsidR="00497458">
          <w:rPr>
            <w:noProof/>
            <w:webHidden/>
          </w:rPr>
        </w:r>
        <w:r w:rsidR="00497458">
          <w:rPr>
            <w:noProof/>
            <w:webHidden/>
          </w:rPr>
          <w:fldChar w:fldCharType="separate"/>
        </w:r>
        <w:r w:rsidR="0026580B">
          <w:rPr>
            <w:noProof/>
            <w:webHidden/>
          </w:rPr>
          <w:t>8</w:t>
        </w:r>
        <w:r w:rsidR="00497458">
          <w:rPr>
            <w:noProof/>
            <w:webHidden/>
          </w:rPr>
          <w:fldChar w:fldCharType="end"/>
        </w:r>
      </w:hyperlink>
    </w:p>
    <w:p w14:paraId="692DFDB7" w14:textId="77777777" w:rsidR="0071398C" w:rsidRDefault="00643583">
      <w:pPr>
        <w:pStyle w:val="TOC3"/>
        <w:tabs>
          <w:tab w:val="left" w:pos="960"/>
          <w:tab w:val="right" w:leader="dot" w:pos="9350"/>
        </w:tabs>
        <w:rPr>
          <w:rFonts w:asciiTheme="minorHAnsi" w:eastAsiaTheme="minorEastAsia" w:hAnsiTheme="minorHAnsi" w:cstheme="minorBidi"/>
          <w:noProof/>
          <w:sz w:val="22"/>
          <w:szCs w:val="22"/>
        </w:rPr>
      </w:pPr>
      <w:hyperlink w:anchor="_Toc398114659" w:history="1">
        <w:r w:rsidR="0071398C" w:rsidRPr="003506A4">
          <w:rPr>
            <w:rStyle w:val="Hyperlink"/>
            <w:noProof/>
          </w:rPr>
          <w:t>9.</w:t>
        </w:r>
        <w:r w:rsidR="0071398C">
          <w:rPr>
            <w:rFonts w:asciiTheme="minorHAnsi" w:eastAsiaTheme="minorEastAsia" w:hAnsiTheme="minorHAnsi" w:cstheme="minorBidi"/>
            <w:noProof/>
            <w:sz w:val="22"/>
            <w:szCs w:val="22"/>
          </w:rPr>
          <w:tab/>
        </w:r>
        <w:r w:rsidR="0071398C" w:rsidRPr="003506A4">
          <w:rPr>
            <w:rStyle w:val="Hyperlink"/>
            <w:noProof/>
          </w:rPr>
          <w:t>Finance</w:t>
        </w:r>
        <w:r w:rsidR="0071398C">
          <w:rPr>
            <w:noProof/>
            <w:webHidden/>
          </w:rPr>
          <w:tab/>
        </w:r>
        <w:r w:rsidR="00497458">
          <w:rPr>
            <w:noProof/>
            <w:webHidden/>
          </w:rPr>
          <w:fldChar w:fldCharType="begin"/>
        </w:r>
        <w:r w:rsidR="0071398C">
          <w:rPr>
            <w:noProof/>
            <w:webHidden/>
          </w:rPr>
          <w:instrText xml:space="preserve"> PAGEREF _Toc398114659 \h </w:instrText>
        </w:r>
        <w:r w:rsidR="00497458">
          <w:rPr>
            <w:noProof/>
            <w:webHidden/>
          </w:rPr>
        </w:r>
        <w:r w:rsidR="00497458">
          <w:rPr>
            <w:noProof/>
            <w:webHidden/>
          </w:rPr>
          <w:fldChar w:fldCharType="separate"/>
        </w:r>
        <w:r w:rsidR="0026580B">
          <w:rPr>
            <w:noProof/>
            <w:webHidden/>
          </w:rPr>
          <w:t>9</w:t>
        </w:r>
        <w:r w:rsidR="00497458">
          <w:rPr>
            <w:noProof/>
            <w:webHidden/>
          </w:rPr>
          <w:fldChar w:fldCharType="end"/>
        </w:r>
      </w:hyperlink>
    </w:p>
    <w:p w14:paraId="692DFDB8" w14:textId="77777777" w:rsidR="003F3636" w:rsidRDefault="00497458">
      <w:r>
        <w:rPr>
          <w:rFonts w:asciiTheme="minorHAnsi" w:hAnsiTheme="minorHAnsi" w:cs="Arial"/>
          <w:sz w:val="18"/>
        </w:rPr>
        <w:fldChar w:fldCharType="end"/>
      </w:r>
    </w:p>
    <w:p w14:paraId="692DFDB9" w14:textId="77777777" w:rsidR="003F3636" w:rsidRDefault="003F3636"/>
    <w:p w14:paraId="692DFDBA" w14:textId="77777777" w:rsidR="003F3636" w:rsidRDefault="003F3636"/>
    <w:p w14:paraId="692DFDBB" w14:textId="77777777" w:rsidR="00FD2C86" w:rsidRDefault="00FD2C86">
      <w:pPr>
        <w:sectPr w:rsidR="00FD2C86" w:rsidSect="00B616AF">
          <w:pgSz w:w="12240" w:h="15840"/>
          <w:pgMar w:top="1440" w:right="1440" w:bottom="446" w:left="1440" w:header="720" w:footer="720" w:gutter="0"/>
          <w:cols w:space="720"/>
        </w:sectPr>
      </w:pPr>
    </w:p>
    <w:p w14:paraId="692DFDBC" w14:textId="77777777" w:rsidR="00FD2C86" w:rsidRPr="00522A11" w:rsidRDefault="0054324B" w:rsidP="0054324B">
      <w:pPr>
        <w:pStyle w:val="Heading1"/>
        <w:rPr>
          <w:rFonts w:asciiTheme="minorHAnsi" w:hAnsiTheme="minorHAnsi"/>
        </w:rPr>
      </w:pPr>
      <w:bookmarkStart w:id="1" w:name="_Toc398114642"/>
      <w:r w:rsidRPr="008143F7">
        <w:rPr>
          <w:rFonts w:asciiTheme="minorHAnsi" w:hAnsiTheme="minorHAnsi"/>
          <w:sz w:val="28"/>
        </w:rPr>
        <w:lastRenderedPageBreak/>
        <w:t>Overview</w:t>
      </w:r>
      <w:bookmarkEnd w:id="1"/>
    </w:p>
    <w:p w14:paraId="692DFDBD" w14:textId="77777777" w:rsidR="002E3BD6" w:rsidRDefault="002E3BD6" w:rsidP="00B66DF1">
      <w:pPr>
        <w:pStyle w:val="Heading3"/>
      </w:pPr>
      <w:bookmarkStart w:id="2" w:name="_Toc398114643"/>
      <w:r w:rsidRPr="00B66DF1">
        <w:rPr>
          <w:rFonts w:asciiTheme="minorHAnsi" w:hAnsiTheme="minorHAnsi"/>
          <w:sz w:val="22"/>
        </w:rPr>
        <w:t>Guiding areas of virtual school accountability</w:t>
      </w:r>
      <w:bookmarkEnd w:id="2"/>
    </w:p>
    <w:p w14:paraId="692DFDBE" w14:textId="77777777" w:rsidR="00250032" w:rsidRPr="00797265" w:rsidRDefault="00250032" w:rsidP="00B66DF1">
      <w:pPr>
        <w:spacing w:before="80" w:after="80"/>
        <w:rPr>
          <w:rFonts w:asciiTheme="minorHAnsi" w:hAnsiTheme="minorHAnsi"/>
          <w:sz w:val="19"/>
          <w:szCs w:val="19"/>
        </w:rPr>
      </w:pPr>
      <w:r w:rsidRPr="00797265">
        <w:rPr>
          <w:rFonts w:asciiTheme="minorHAnsi" w:hAnsiTheme="minorHAnsi"/>
          <w:sz w:val="19"/>
          <w:szCs w:val="19"/>
        </w:rPr>
        <w:t xml:space="preserve">As defined in 603 CMR 52.00, the </w:t>
      </w:r>
      <w:r w:rsidR="0061315E" w:rsidRPr="00797265">
        <w:rPr>
          <w:rFonts w:asciiTheme="minorHAnsi" w:hAnsiTheme="minorHAnsi"/>
          <w:sz w:val="19"/>
          <w:szCs w:val="19"/>
        </w:rPr>
        <w:t xml:space="preserve">guiding areas of virtual school accountability </w:t>
      </w:r>
      <w:r w:rsidRPr="00797265">
        <w:rPr>
          <w:rFonts w:asciiTheme="minorHAnsi" w:hAnsiTheme="minorHAnsi"/>
          <w:sz w:val="19"/>
          <w:szCs w:val="19"/>
        </w:rPr>
        <w:t>are academic program success, organizational viability, and faithfulness to certificate</w:t>
      </w:r>
      <w:r w:rsidR="00F97F3F" w:rsidRPr="00797265">
        <w:rPr>
          <w:rFonts w:asciiTheme="minorHAnsi" w:hAnsiTheme="minorHAnsi"/>
          <w:sz w:val="19"/>
          <w:szCs w:val="19"/>
        </w:rPr>
        <w:t>.</w:t>
      </w:r>
      <w:r w:rsidR="0061315E" w:rsidRPr="00797265">
        <w:rPr>
          <w:rFonts w:asciiTheme="minorHAnsi" w:hAnsiTheme="minorHAnsi"/>
          <w:sz w:val="19"/>
          <w:szCs w:val="19"/>
        </w:rPr>
        <w:t xml:space="preserve"> These criteria</w:t>
      </w:r>
      <w:r w:rsidRPr="00797265">
        <w:rPr>
          <w:rFonts w:asciiTheme="minorHAnsi" w:hAnsiTheme="minorHAnsi"/>
          <w:sz w:val="19"/>
          <w:szCs w:val="19"/>
        </w:rPr>
        <w:t xml:space="preserve">: </w:t>
      </w:r>
    </w:p>
    <w:p w14:paraId="692DFDBF" w14:textId="77777777" w:rsidR="00250032" w:rsidRPr="00797265" w:rsidRDefault="00250032" w:rsidP="00B66DF1">
      <w:pPr>
        <w:pStyle w:val="ListParagraph"/>
        <w:numPr>
          <w:ilvl w:val="0"/>
          <w:numId w:val="11"/>
        </w:numPr>
        <w:spacing w:before="80" w:after="80"/>
        <w:contextualSpacing w:val="0"/>
        <w:rPr>
          <w:rFonts w:asciiTheme="minorHAnsi" w:hAnsiTheme="minorHAnsi"/>
          <w:sz w:val="19"/>
          <w:szCs w:val="19"/>
        </w:rPr>
      </w:pPr>
      <w:r w:rsidRPr="00797265">
        <w:rPr>
          <w:rFonts w:asciiTheme="minorHAnsi" w:hAnsiTheme="minorHAnsi"/>
          <w:sz w:val="19"/>
          <w:szCs w:val="19"/>
        </w:rPr>
        <w:t>A</w:t>
      </w:r>
      <w:r w:rsidR="0061315E" w:rsidRPr="00797265">
        <w:rPr>
          <w:rFonts w:asciiTheme="minorHAnsi" w:hAnsiTheme="minorHAnsi"/>
          <w:sz w:val="19"/>
          <w:szCs w:val="19"/>
        </w:rPr>
        <w:t xml:space="preserve">rticulate the expectations for </w:t>
      </w:r>
      <w:r w:rsidR="00487C2C" w:rsidRPr="00797265">
        <w:rPr>
          <w:rFonts w:asciiTheme="minorHAnsi" w:hAnsiTheme="minorHAnsi"/>
          <w:sz w:val="19"/>
          <w:szCs w:val="19"/>
        </w:rPr>
        <w:t>a virtual school</w:t>
      </w:r>
      <w:r w:rsidR="0061315E" w:rsidRPr="00797265">
        <w:rPr>
          <w:rFonts w:asciiTheme="minorHAnsi" w:hAnsiTheme="minorHAnsi"/>
          <w:sz w:val="19"/>
          <w:szCs w:val="19"/>
        </w:rPr>
        <w:t xml:space="preserve"> </w:t>
      </w:r>
      <w:r w:rsidRPr="00797265">
        <w:rPr>
          <w:rFonts w:asciiTheme="minorHAnsi" w:hAnsiTheme="minorHAnsi"/>
          <w:sz w:val="19"/>
          <w:szCs w:val="19"/>
        </w:rPr>
        <w:t xml:space="preserve">from </w:t>
      </w:r>
      <w:r w:rsidR="0061315E" w:rsidRPr="00797265">
        <w:rPr>
          <w:rFonts w:asciiTheme="minorHAnsi" w:hAnsiTheme="minorHAnsi"/>
          <w:sz w:val="19"/>
          <w:szCs w:val="19"/>
        </w:rPr>
        <w:t>initial application throughout the certificate term</w:t>
      </w:r>
      <w:r w:rsidRPr="00797265">
        <w:rPr>
          <w:rFonts w:asciiTheme="minorHAnsi" w:hAnsiTheme="minorHAnsi"/>
          <w:sz w:val="19"/>
          <w:szCs w:val="19"/>
        </w:rPr>
        <w:t>;</w:t>
      </w:r>
    </w:p>
    <w:p w14:paraId="692DFDC0" w14:textId="77777777" w:rsidR="00250032" w:rsidRPr="00797265" w:rsidRDefault="00250032" w:rsidP="00B66DF1">
      <w:pPr>
        <w:pStyle w:val="ListParagraph"/>
        <w:numPr>
          <w:ilvl w:val="0"/>
          <w:numId w:val="11"/>
        </w:numPr>
        <w:spacing w:before="80" w:after="80"/>
        <w:contextualSpacing w:val="0"/>
        <w:rPr>
          <w:rFonts w:asciiTheme="minorHAnsi" w:hAnsiTheme="minorHAnsi"/>
          <w:sz w:val="19"/>
          <w:szCs w:val="19"/>
        </w:rPr>
      </w:pPr>
      <w:r w:rsidRPr="00797265">
        <w:rPr>
          <w:rFonts w:asciiTheme="minorHAnsi" w:hAnsiTheme="minorHAnsi"/>
          <w:sz w:val="19"/>
          <w:szCs w:val="19"/>
        </w:rPr>
        <w:t>Provide clear guidance about how the Massachusetts Board of Elementary and Secondary Education (Board), the Massachusetts Department of Elementary and Secondary Education (</w:t>
      </w:r>
      <w:r w:rsidR="0061315E" w:rsidRPr="00797265">
        <w:rPr>
          <w:rFonts w:asciiTheme="minorHAnsi" w:hAnsiTheme="minorHAnsi"/>
          <w:sz w:val="19"/>
          <w:szCs w:val="19"/>
        </w:rPr>
        <w:t>ESE</w:t>
      </w:r>
      <w:r w:rsidRPr="00797265">
        <w:rPr>
          <w:rFonts w:asciiTheme="minorHAnsi" w:hAnsiTheme="minorHAnsi"/>
          <w:sz w:val="19"/>
          <w:szCs w:val="19"/>
        </w:rPr>
        <w:t xml:space="preserve">), and the Commissioner of Elementary and Secondary Education (Commissioner) define virtual school success and on what basis </w:t>
      </w:r>
      <w:r w:rsidR="00487C2C" w:rsidRPr="00797265">
        <w:rPr>
          <w:rFonts w:asciiTheme="minorHAnsi" w:hAnsiTheme="minorHAnsi"/>
          <w:sz w:val="19"/>
          <w:szCs w:val="19"/>
        </w:rPr>
        <w:t>the school</w:t>
      </w:r>
      <w:r w:rsidRPr="00797265">
        <w:rPr>
          <w:rFonts w:asciiTheme="minorHAnsi" w:hAnsiTheme="minorHAnsi"/>
          <w:sz w:val="19"/>
          <w:szCs w:val="19"/>
        </w:rPr>
        <w:t xml:space="preserve"> will be evaluated; and </w:t>
      </w:r>
    </w:p>
    <w:p w14:paraId="692DFDC1" w14:textId="77777777" w:rsidR="00522A11" w:rsidRDefault="00B66DF1" w:rsidP="00B66DF1">
      <w:pPr>
        <w:pStyle w:val="ListParagraph"/>
        <w:numPr>
          <w:ilvl w:val="0"/>
          <w:numId w:val="11"/>
        </w:numPr>
        <w:spacing w:before="80" w:after="80"/>
        <w:contextualSpacing w:val="0"/>
        <w:rPr>
          <w:rFonts w:asciiTheme="minorHAnsi" w:hAnsiTheme="minorHAnsi"/>
          <w:sz w:val="20"/>
        </w:rPr>
      </w:pPr>
      <w:r>
        <w:rPr>
          <w:rFonts w:asciiTheme="minorHAnsi" w:hAnsiTheme="minorHAnsi"/>
          <w:sz w:val="19"/>
          <w:szCs w:val="19"/>
        </w:rPr>
        <w:t>Clarify the connection</w:t>
      </w:r>
      <w:r w:rsidR="00250032" w:rsidRPr="00797265">
        <w:rPr>
          <w:rFonts w:asciiTheme="minorHAnsi" w:hAnsiTheme="minorHAnsi"/>
          <w:sz w:val="19"/>
          <w:szCs w:val="19"/>
        </w:rPr>
        <w:t xml:space="preserve"> between virtual school accountability and </w:t>
      </w:r>
      <w:r w:rsidR="0061315E" w:rsidRPr="00797265">
        <w:rPr>
          <w:rFonts w:asciiTheme="minorHAnsi" w:hAnsiTheme="minorHAnsi"/>
          <w:sz w:val="19"/>
          <w:szCs w:val="19"/>
        </w:rPr>
        <w:t xml:space="preserve">the Massachusetts </w:t>
      </w:r>
      <w:r w:rsidR="00797265">
        <w:rPr>
          <w:rFonts w:asciiTheme="minorHAnsi" w:hAnsiTheme="minorHAnsi"/>
          <w:sz w:val="19"/>
          <w:szCs w:val="19"/>
        </w:rPr>
        <w:t>s</w:t>
      </w:r>
      <w:r w:rsidR="0061315E" w:rsidRPr="00797265">
        <w:rPr>
          <w:rFonts w:asciiTheme="minorHAnsi" w:hAnsiTheme="minorHAnsi"/>
          <w:sz w:val="19"/>
          <w:szCs w:val="19"/>
        </w:rPr>
        <w:t xml:space="preserve">chool and </w:t>
      </w:r>
      <w:r w:rsidR="00797265">
        <w:rPr>
          <w:rFonts w:asciiTheme="minorHAnsi" w:hAnsiTheme="minorHAnsi"/>
          <w:sz w:val="19"/>
          <w:szCs w:val="19"/>
        </w:rPr>
        <w:t>d</w:t>
      </w:r>
      <w:r w:rsidR="0061315E" w:rsidRPr="00797265">
        <w:rPr>
          <w:rFonts w:asciiTheme="minorHAnsi" w:hAnsiTheme="minorHAnsi"/>
          <w:sz w:val="19"/>
          <w:szCs w:val="19"/>
        </w:rPr>
        <w:t xml:space="preserve">istrict </w:t>
      </w:r>
      <w:r w:rsidR="00797265">
        <w:rPr>
          <w:rFonts w:asciiTheme="minorHAnsi" w:hAnsiTheme="minorHAnsi"/>
          <w:sz w:val="19"/>
          <w:szCs w:val="19"/>
        </w:rPr>
        <w:t>a</w:t>
      </w:r>
      <w:r w:rsidR="0061315E" w:rsidRPr="00797265">
        <w:rPr>
          <w:rFonts w:asciiTheme="minorHAnsi" w:hAnsiTheme="minorHAnsi"/>
          <w:sz w:val="19"/>
          <w:szCs w:val="19"/>
        </w:rPr>
        <w:t xml:space="preserve">ccountability </w:t>
      </w:r>
      <w:r w:rsidR="00797265">
        <w:rPr>
          <w:rFonts w:asciiTheme="minorHAnsi" w:hAnsiTheme="minorHAnsi"/>
          <w:sz w:val="19"/>
          <w:szCs w:val="19"/>
        </w:rPr>
        <w:t>s</w:t>
      </w:r>
      <w:r w:rsidR="0061315E" w:rsidRPr="00797265">
        <w:rPr>
          <w:rFonts w:asciiTheme="minorHAnsi" w:hAnsiTheme="minorHAnsi"/>
          <w:sz w:val="19"/>
          <w:szCs w:val="19"/>
        </w:rPr>
        <w:t>ystem</w:t>
      </w:r>
    </w:p>
    <w:p w14:paraId="692DFDC2" w14:textId="77777777" w:rsidR="002E3BD6" w:rsidRDefault="002E3BD6" w:rsidP="002E3BD6">
      <w:pPr>
        <w:pStyle w:val="Heading3"/>
      </w:pPr>
      <w:bookmarkStart w:id="3" w:name="_Toc398114644"/>
      <w:r w:rsidRPr="00B66DF1">
        <w:rPr>
          <w:rFonts w:asciiTheme="minorHAnsi" w:hAnsiTheme="minorHAnsi"/>
          <w:sz w:val="22"/>
        </w:rPr>
        <w:t>Principles guiding the development of these criteria</w:t>
      </w:r>
      <w:bookmarkEnd w:id="3"/>
    </w:p>
    <w:p w14:paraId="692DFDC3" w14:textId="77777777" w:rsidR="0061315E" w:rsidRPr="00797265" w:rsidRDefault="0061315E" w:rsidP="00B66DF1">
      <w:pPr>
        <w:spacing w:before="80" w:after="80"/>
        <w:rPr>
          <w:rFonts w:asciiTheme="minorHAnsi" w:hAnsiTheme="minorHAnsi"/>
          <w:sz w:val="19"/>
          <w:szCs w:val="19"/>
        </w:rPr>
      </w:pPr>
      <w:r w:rsidRPr="00797265">
        <w:rPr>
          <w:rFonts w:asciiTheme="minorHAnsi" w:hAnsiTheme="minorHAnsi"/>
          <w:sz w:val="19"/>
          <w:szCs w:val="19"/>
        </w:rPr>
        <w:t>The following principles guided the development of these criteria:</w:t>
      </w:r>
    </w:p>
    <w:p w14:paraId="692DFDC4" w14:textId="77777777" w:rsidR="0061315E" w:rsidRPr="00797265" w:rsidRDefault="00797265" w:rsidP="00B66DF1">
      <w:pPr>
        <w:pStyle w:val="ListParagraph"/>
        <w:numPr>
          <w:ilvl w:val="0"/>
          <w:numId w:val="12"/>
        </w:numPr>
        <w:spacing w:before="80" w:after="80"/>
        <w:contextualSpacing w:val="0"/>
        <w:rPr>
          <w:rFonts w:asciiTheme="minorHAnsi" w:hAnsiTheme="minorHAnsi"/>
          <w:sz w:val="19"/>
          <w:szCs w:val="19"/>
        </w:rPr>
      </w:pPr>
      <w:r>
        <w:rPr>
          <w:rFonts w:asciiTheme="minorHAnsi" w:hAnsiTheme="minorHAnsi"/>
          <w:sz w:val="19"/>
          <w:szCs w:val="19"/>
        </w:rPr>
        <w:t>Protecting of</w:t>
      </w:r>
      <w:r w:rsidR="0061315E" w:rsidRPr="00797265">
        <w:rPr>
          <w:rFonts w:asciiTheme="minorHAnsi" w:hAnsiTheme="minorHAnsi"/>
          <w:sz w:val="19"/>
          <w:szCs w:val="19"/>
        </w:rPr>
        <w:t xml:space="preserve"> autonomies that allow </w:t>
      </w:r>
      <w:r w:rsidR="00487C2C" w:rsidRPr="00797265">
        <w:rPr>
          <w:rFonts w:asciiTheme="minorHAnsi" w:hAnsiTheme="minorHAnsi"/>
          <w:sz w:val="19"/>
          <w:szCs w:val="19"/>
        </w:rPr>
        <w:t>the virtual school</w:t>
      </w:r>
      <w:r w:rsidR="0061315E" w:rsidRPr="00797265">
        <w:rPr>
          <w:rFonts w:asciiTheme="minorHAnsi" w:hAnsiTheme="minorHAnsi"/>
          <w:sz w:val="19"/>
          <w:szCs w:val="19"/>
        </w:rPr>
        <w:t xml:space="preserve"> to exercise the </w:t>
      </w:r>
      <w:r w:rsidR="00A10F9C" w:rsidRPr="00797265">
        <w:rPr>
          <w:rFonts w:asciiTheme="minorHAnsi" w:hAnsiTheme="minorHAnsi"/>
          <w:sz w:val="19"/>
          <w:szCs w:val="19"/>
        </w:rPr>
        <w:t>operational autonomy</w:t>
      </w:r>
      <w:r w:rsidR="0061315E" w:rsidRPr="00797265">
        <w:rPr>
          <w:rFonts w:asciiTheme="minorHAnsi" w:hAnsiTheme="minorHAnsi"/>
          <w:sz w:val="19"/>
          <w:szCs w:val="19"/>
        </w:rPr>
        <w:t xml:space="preserve"> to determine the means by whic</w:t>
      </w:r>
      <w:r w:rsidR="00A10F9C" w:rsidRPr="00797265">
        <w:rPr>
          <w:rFonts w:asciiTheme="minorHAnsi" w:hAnsiTheme="minorHAnsi"/>
          <w:sz w:val="19"/>
          <w:szCs w:val="19"/>
        </w:rPr>
        <w:t xml:space="preserve">h </w:t>
      </w:r>
      <w:r w:rsidR="00487C2C" w:rsidRPr="00797265">
        <w:rPr>
          <w:rFonts w:asciiTheme="minorHAnsi" w:hAnsiTheme="minorHAnsi"/>
          <w:sz w:val="19"/>
          <w:szCs w:val="19"/>
        </w:rPr>
        <w:t>it</w:t>
      </w:r>
      <w:r w:rsidR="00A10F9C" w:rsidRPr="00797265">
        <w:rPr>
          <w:rFonts w:asciiTheme="minorHAnsi" w:hAnsiTheme="minorHAnsi"/>
          <w:sz w:val="19"/>
          <w:szCs w:val="19"/>
        </w:rPr>
        <w:t xml:space="preserve"> achieve</w:t>
      </w:r>
      <w:r w:rsidR="00487C2C" w:rsidRPr="00797265">
        <w:rPr>
          <w:rFonts w:asciiTheme="minorHAnsi" w:hAnsiTheme="minorHAnsi"/>
          <w:sz w:val="19"/>
          <w:szCs w:val="19"/>
        </w:rPr>
        <w:t xml:space="preserve">s student outcomes, </w:t>
      </w:r>
      <w:r w:rsidR="00A10F9C" w:rsidRPr="00797265">
        <w:rPr>
          <w:rFonts w:asciiTheme="minorHAnsi" w:hAnsiTheme="minorHAnsi"/>
          <w:sz w:val="19"/>
          <w:szCs w:val="19"/>
        </w:rPr>
        <w:t>incorporating additional performance metrics</w:t>
      </w:r>
      <w:r w:rsidR="00487C2C" w:rsidRPr="00797265">
        <w:rPr>
          <w:rFonts w:asciiTheme="minorHAnsi" w:hAnsiTheme="minorHAnsi"/>
          <w:sz w:val="19"/>
          <w:szCs w:val="19"/>
        </w:rPr>
        <w:t>,</w:t>
      </w:r>
      <w:r w:rsidR="00A10F9C" w:rsidRPr="00797265">
        <w:rPr>
          <w:rFonts w:asciiTheme="minorHAnsi" w:hAnsiTheme="minorHAnsi"/>
          <w:sz w:val="19"/>
          <w:szCs w:val="19"/>
        </w:rPr>
        <w:t xml:space="preserve"> beyond those articulated through Massachusetts School and District Accountability </w:t>
      </w:r>
      <w:r w:rsidR="002E3BD6" w:rsidRPr="00797265">
        <w:rPr>
          <w:rFonts w:asciiTheme="minorHAnsi" w:hAnsiTheme="minorHAnsi"/>
          <w:sz w:val="19"/>
          <w:szCs w:val="19"/>
        </w:rPr>
        <w:t>System, which</w:t>
      </w:r>
      <w:r w:rsidR="00A10F9C" w:rsidRPr="00797265">
        <w:rPr>
          <w:rFonts w:asciiTheme="minorHAnsi" w:hAnsiTheme="minorHAnsi"/>
          <w:sz w:val="19"/>
          <w:szCs w:val="19"/>
        </w:rPr>
        <w:t xml:space="preserve"> capture the unique aspects of virtual school accountability.</w:t>
      </w:r>
    </w:p>
    <w:p w14:paraId="692DFDC5" w14:textId="77777777" w:rsidR="00A10F9C" w:rsidRPr="00797265" w:rsidRDefault="00797265" w:rsidP="00B66DF1">
      <w:pPr>
        <w:pStyle w:val="ListParagraph"/>
        <w:numPr>
          <w:ilvl w:val="0"/>
          <w:numId w:val="12"/>
        </w:numPr>
        <w:spacing w:before="80" w:after="80"/>
        <w:contextualSpacing w:val="0"/>
        <w:rPr>
          <w:rFonts w:asciiTheme="minorHAnsi" w:hAnsiTheme="minorHAnsi"/>
          <w:sz w:val="19"/>
          <w:szCs w:val="19"/>
        </w:rPr>
      </w:pPr>
      <w:r>
        <w:rPr>
          <w:rFonts w:asciiTheme="minorHAnsi" w:hAnsiTheme="minorHAnsi"/>
          <w:sz w:val="19"/>
          <w:szCs w:val="19"/>
        </w:rPr>
        <w:t>Ensuring that</w:t>
      </w:r>
      <w:r w:rsidR="00A10F9C" w:rsidRPr="00797265">
        <w:rPr>
          <w:rFonts w:asciiTheme="minorHAnsi" w:hAnsiTheme="minorHAnsi"/>
          <w:sz w:val="19"/>
          <w:szCs w:val="19"/>
        </w:rPr>
        <w:t xml:space="preserve"> key aspects of virtual school performance are integrated with fidelity.</w:t>
      </w:r>
    </w:p>
    <w:p w14:paraId="692DFDC6" w14:textId="77777777" w:rsidR="00A10F9C" w:rsidRPr="00797265" w:rsidRDefault="00797265" w:rsidP="00B66DF1">
      <w:pPr>
        <w:pStyle w:val="ListParagraph"/>
        <w:numPr>
          <w:ilvl w:val="0"/>
          <w:numId w:val="12"/>
        </w:numPr>
        <w:spacing w:before="80" w:after="80"/>
        <w:contextualSpacing w:val="0"/>
        <w:rPr>
          <w:rFonts w:asciiTheme="minorHAnsi" w:hAnsiTheme="minorHAnsi"/>
          <w:sz w:val="19"/>
          <w:szCs w:val="19"/>
        </w:rPr>
      </w:pPr>
      <w:r>
        <w:rPr>
          <w:rFonts w:asciiTheme="minorHAnsi" w:hAnsiTheme="minorHAnsi"/>
          <w:sz w:val="19"/>
          <w:szCs w:val="19"/>
        </w:rPr>
        <w:t>Facilitating</w:t>
      </w:r>
      <w:r w:rsidR="00A10F9C" w:rsidRPr="00797265">
        <w:rPr>
          <w:rFonts w:asciiTheme="minorHAnsi" w:hAnsiTheme="minorHAnsi"/>
          <w:sz w:val="19"/>
          <w:szCs w:val="19"/>
        </w:rPr>
        <w:t xml:space="preserve"> clear communication about performance expectations between ESE and the virtual school.</w:t>
      </w:r>
    </w:p>
    <w:p w14:paraId="692DFDC7" w14:textId="77777777" w:rsidR="00A10F9C" w:rsidRPr="00797265" w:rsidRDefault="00797265" w:rsidP="00B66DF1">
      <w:pPr>
        <w:pStyle w:val="ListParagraph"/>
        <w:numPr>
          <w:ilvl w:val="0"/>
          <w:numId w:val="12"/>
        </w:numPr>
        <w:spacing w:before="80" w:after="80"/>
        <w:contextualSpacing w:val="0"/>
        <w:rPr>
          <w:rFonts w:asciiTheme="minorHAnsi" w:hAnsiTheme="minorHAnsi"/>
          <w:sz w:val="19"/>
          <w:szCs w:val="19"/>
        </w:rPr>
      </w:pPr>
      <w:r>
        <w:rPr>
          <w:rFonts w:asciiTheme="minorHAnsi" w:hAnsiTheme="minorHAnsi"/>
          <w:sz w:val="19"/>
          <w:szCs w:val="19"/>
        </w:rPr>
        <w:t>Aligning the virtual school’s p</w:t>
      </w:r>
      <w:r w:rsidR="00A10F9C" w:rsidRPr="00797265">
        <w:rPr>
          <w:rFonts w:asciiTheme="minorHAnsi" w:hAnsiTheme="minorHAnsi"/>
          <w:sz w:val="19"/>
          <w:szCs w:val="19"/>
        </w:rPr>
        <w:t xml:space="preserve">erformance expectations to the principal measures articulated through the Massachusetts </w:t>
      </w:r>
      <w:r>
        <w:rPr>
          <w:rFonts w:asciiTheme="minorHAnsi" w:hAnsiTheme="minorHAnsi"/>
          <w:sz w:val="19"/>
          <w:szCs w:val="19"/>
        </w:rPr>
        <w:t>s</w:t>
      </w:r>
      <w:r w:rsidR="00A10F9C" w:rsidRPr="00797265">
        <w:rPr>
          <w:rFonts w:asciiTheme="minorHAnsi" w:hAnsiTheme="minorHAnsi"/>
          <w:sz w:val="19"/>
          <w:szCs w:val="19"/>
        </w:rPr>
        <w:t xml:space="preserve">chool and </w:t>
      </w:r>
      <w:r>
        <w:rPr>
          <w:rFonts w:asciiTheme="minorHAnsi" w:hAnsiTheme="minorHAnsi"/>
          <w:sz w:val="19"/>
          <w:szCs w:val="19"/>
        </w:rPr>
        <w:t>d</w:t>
      </w:r>
      <w:r w:rsidRPr="00797265">
        <w:rPr>
          <w:rFonts w:asciiTheme="minorHAnsi" w:hAnsiTheme="minorHAnsi"/>
          <w:sz w:val="19"/>
          <w:szCs w:val="19"/>
        </w:rPr>
        <w:t>istrict</w:t>
      </w:r>
      <w:r w:rsidR="00A10F9C" w:rsidRPr="00797265">
        <w:rPr>
          <w:rFonts w:asciiTheme="minorHAnsi" w:hAnsiTheme="minorHAnsi"/>
          <w:sz w:val="19"/>
          <w:szCs w:val="19"/>
        </w:rPr>
        <w:t xml:space="preserve"> </w:t>
      </w:r>
      <w:r>
        <w:rPr>
          <w:rFonts w:asciiTheme="minorHAnsi" w:hAnsiTheme="minorHAnsi"/>
          <w:sz w:val="19"/>
          <w:szCs w:val="19"/>
        </w:rPr>
        <w:t>a</w:t>
      </w:r>
      <w:r w:rsidR="00A10F9C" w:rsidRPr="00797265">
        <w:rPr>
          <w:rFonts w:asciiTheme="minorHAnsi" w:hAnsiTheme="minorHAnsi"/>
          <w:sz w:val="19"/>
          <w:szCs w:val="19"/>
        </w:rPr>
        <w:t xml:space="preserve">ccountability </w:t>
      </w:r>
      <w:r>
        <w:rPr>
          <w:rFonts w:asciiTheme="minorHAnsi" w:hAnsiTheme="minorHAnsi"/>
          <w:sz w:val="19"/>
          <w:szCs w:val="19"/>
        </w:rPr>
        <w:t>s</w:t>
      </w:r>
      <w:r w:rsidR="00A10F9C" w:rsidRPr="00797265">
        <w:rPr>
          <w:rFonts w:asciiTheme="minorHAnsi" w:hAnsiTheme="minorHAnsi"/>
          <w:sz w:val="19"/>
          <w:szCs w:val="19"/>
        </w:rPr>
        <w:t>ystem</w:t>
      </w:r>
      <w:r>
        <w:rPr>
          <w:rFonts w:asciiTheme="minorHAnsi" w:hAnsiTheme="minorHAnsi"/>
          <w:sz w:val="19"/>
          <w:szCs w:val="19"/>
        </w:rPr>
        <w:t>.</w:t>
      </w:r>
    </w:p>
    <w:p w14:paraId="692DFDC8" w14:textId="77777777" w:rsidR="00A10F9C" w:rsidRPr="00797265" w:rsidRDefault="00797265" w:rsidP="00B66DF1">
      <w:pPr>
        <w:pStyle w:val="ListParagraph"/>
        <w:numPr>
          <w:ilvl w:val="0"/>
          <w:numId w:val="12"/>
        </w:numPr>
        <w:spacing w:before="80" w:after="80"/>
        <w:contextualSpacing w:val="0"/>
        <w:rPr>
          <w:rFonts w:asciiTheme="minorHAnsi" w:hAnsiTheme="minorHAnsi"/>
          <w:sz w:val="19"/>
          <w:szCs w:val="19"/>
        </w:rPr>
      </w:pPr>
      <w:r>
        <w:rPr>
          <w:rFonts w:asciiTheme="minorHAnsi" w:hAnsiTheme="minorHAnsi"/>
          <w:sz w:val="19"/>
          <w:szCs w:val="19"/>
        </w:rPr>
        <w:t xml:space="preserve">Aligning </w:t>
      </w:r>
      <w:r w:rsidR="00A10F9C" w:rsidRPr="00797265">
        <w:rPr>
          <w:rFonts w:asciiTheme="minorHAnsi" w:hAnsiTheme="minorHAnsi"/>
          <w:sz w:val="19"/>
          <w:szCs w:val="19"/>
        </w:rPr>
        <w:t>the state’s Conditions for School Effectiveness (CSE)</w:t>
      </w:r>
      <w:r w:rsidR="00487C2C" w:rsidRPr="00797265">
        <w:rPr>
          <w:rFonts w:asciiTheme="minorHAnsi" w:hAnsiTheme="minorHAnsi"/>
          <w:sz w:val="19"/>
          <w:szCs w:val="19"/>
        </w:rPr>
        <w:t>, particularly Condition V (</w:t>
      </w:r>
      <w:r>
        <w:rPr>
          <w:rFonts w:asciiTheme="minorHAnsi" w:hAnsiTheme="minorHAnsi"/>
          <w:sz w:val="19"/>
          <w:szCs w:val="19"/>
        </w:rPr>
        <w:t>s</w:t>
      </w:r>
      <w:r w:rsidR="00487C2C" w:rsidRPr="00797265">
        <w:rPr>
          <w:rFonts w:asciiTheme="minorHAnsi" w:hAnsiTheme="minorHAnsi"/>
          <w:sz w:val="19"/>
          <w:szCs w:val="19"/>
        </w:rPr>
        <w:t>tudent assessment), VI (</w:t>
      </w:r>
      <w:r>
        <w:rPr>
          <w:rFonts w:asciiTheme="minorHAnsi" w:hAnsiTheme="minorHAnsi"/>
          <w:sz w:val="19"/>
          <w:szCs w:val="19"/>
        </w:rPr>
        <w:t>p</w:t>
      </w:r>
      <w:r w:rsidR="00487C2C" w:rsidRPr="00797265">
        <w:rPr>
          <w:rFonts w:asciiTheme="minorHAnsi" w:hAnsiTheme="minorHAnsi"/>
          <w:sz w:val="19"/>
          <w:szCs w:val="19"/>
        </w:rPr>
        <w:t>rincipal’s staffing authority), and VII (</w:t>
      </w:r>
      <w:r>
        <w:rPr>
          <w:rFonts w:asciiTheme="minorHAnsi" w:hAnsiTheme="minorHAnsi"/>
          <w:sz w:val="19"/>
          <w:szCs w:val="19"/>
        </w:rPr>
        <w:t>p</w:t>
      </w:r>
      <w:r w:rsidR="00487C2C" w:rsidRPr="00797265">
        <w:rPr>
          <w:rFonts w:asciiTheme="minorHAnsi" w:hAnsiTheme="minorHAnsi"/>
          <w:sz w:val="19"/>
          <w:szCs w:val="19"/>
        </w:rPr>
        <w:t>rofessional development an</w:t>
      </w:r>
      <w:r>
        <w:rPr>
          <w:rFonts w:asciiTheme="minorHAnsi" w:hAnsiTheme="minorHAnsi"/>
          <w:sz w:val="19"/>
          <w:szCs w:val="19"/>
        </w:rPr>
        <w:t>d structures for collaboration) to characteristics of virtual school success.</w:t>
      </w:r>
    </w:p>
    <w:p w14:paraId="692DFDC9" w14:textId="77777777" w:rsidR="00A10F9C" w:rsidRPr="00797265" w:rsidRDefault="00797265" w:rsidP="00B66DF1">
      <w:pPr>
        <w:pStyle w:val="ListParagraph"/>
        <w:numPr>
          <w:ilvl w:val="0"/>
          <w:numId w:val="12"/>
        </w:numPr>
        <w:spacing w:before="80" w:after="80"/>
        <w:contextualSpacing w:val="0"/>
        <w:rPr>
          <w:rFonts w:asciiTheme="minorHAnsi" w:hAnsiTheme="minorHAnsi"/>
          <w:sz w:val="19"/>
          <w:szCs w:val="19"/>
        </w:rPr>
      </w:pPr>
      <w:r>
        <w:rPr>
          <w:rFonts w:asciiTheme="minorHAnsi" w:hAnsiTheme="minorHAnsi"/>
          <w:sz w:val="19"/>
          <w:szCs w:val="19"/>
        </w:rPr>
        <w:t>Leveraging</w:t>
      </w:r>
      <w:r w:rsidR="00A10F9C" w:rsidRPr="00797265">
        <w:rPr>
          <w:rFonts w:asciiTheme="minorHAnsi" w:hAnsiTheme="minorHAnsi"/>
          <w:sz w:val="19"/>
          <w:szCs w:val="19"/>
        </w:rPr>
        <w:t xml:space="preserve"> best practices from organizations that develop online program review criteria, including the International Association for K-12 Online Learning, the Southern Regional Educational Board, the Northeast Comprehensive Center, the Sloan-C Consortium,</w:t>
      </w:r>
      <w:r>
        <w:rPr>
          <w:rFonts w:asciiTheme="minorHAnsi" w:hAnsiTheme="minorHAnsi"/>
          <w:sz w:val="19"/>
          <w:szCs w:val="19"/>
        </w:rPr>
        <w:t xml:space="preserve"> and Quality Matters</w:t>
      </w:r>
      <w:r w:rsidR="002E3BD6" w:rsidRPr="00797265">
        <w:rPr>
          <w:rFonts w:asciiTheme="minorHAnsi" w:hAnsiTheme="minorHAnsi"/>
          <w:sz w:val="19"/>
          <w:szCs w:val="19"/>
        </w:rPr>
        <w:t>.</w:t>
      </w:r>
    </w:p>
    <w:p w14:paraId="692DFDCA" w14:textId="77777777" w:rsidR="00A10F9C" w:rsidRPr="00797265" w:rsidRDefault="00797265" w:rsidP="00B66DF1">
      <w:pPr>
        <w:pStyle w:val="ListParagraph"/>
        <w:numPr>
          <w:ilvl w:val="0"/>
          <w:numId w:val="12"/>
        </w:numPr>
        <w:spacing w:before="80" w:after="80"/>
        <w:contextualSpacing w:val="0"/>
        <w:rPr>
          <w:rFonts w:asciiTheme="minorHAnsi" w:hAnsiTheme="minorHAnsi"/>
          <w:sz w:val="19"/>
          <w:szCs w:val="19"/>
        </w:rPr>
      </w:pPr>
      <w:r>
        <w:rPr>
          <w:rFonts w:asciiTheme="minorHAnsi" w:hAnsiTheme="minorHAnsi"/>
          <w:sz w:val="19"/>
          <w:szCs w:val="19"/>
        </w:rPr>
        <w:t>Incorporating</w:t>
      </w:r>
      <w:r w:rsidR="002E3BD6" w:rsidRPr="00797265">
        <w:rPr>
          <w:rFonts w:asciiTheme="minorHAnsi" w:hAnsiTheme="minorHAnsi"/>
          <w:sz w:val="19"/>
          <w:szCs w:val="19"/>
        </w:rPr>
        <w:t xml:space="preserve"> </w:t>
      </w:r>
      <w:r w:rsidR="00A10F9C" w:rsidRPr="00797265">
        <w:rPr>
          <w:rFonts w:asciiTheme="minorHAnsi" w:hAnsiTheme="minorHAnsi"/>
          <w:sz w:val="19"/>
          <w:szCs w:val="19"/>
        </w:rPr>
        <w:t>knowledge and expertise provided by the state’s Digital Learning Advisory Council (DLAC).</w:t>
      </w:r>
    </w:p>
    <w:p w14:paraId="692DFDCB" w14:textId="77777777" w:rsidR="00487C2C" w:rsidRPr="00797265" w:rsidRDefault="00797265" w:rsidP="00B66DF1">
      <w:pPr>
        <w:pStyle w:val="ListParagraph"/>
        <w:numPr>
          <w:ilvl w:val="0"/>
          <w:numId w:val="12"/>
        </w:numPr>
        <w:spacing w:before="80" w:after="80"/>
        <w:contextualSpacing w:val="0"/>
        <w:rPr>
          <w:rFonts w:asciiTheme="minorHAnsi" w:hAnsiTheme="minorHAnsi"/>
          <w:sz w:val="19"/>
          <w:szCs w:val="19"/>
        </w:rPr>
      </w:pPr>
      <w:r>
        <w:rPr>
          <w:rFonts w:asciiTheme="minorHAnsi" w:hAnsiTheme="minorHAnsi"/>
          <w:sz w:val="19"/>
          <w:szCs w:val="19"/>
        </w:rPr>
        <w:t>Balancing</w:t>
      </w:r>
      <w:r w:rsidR="00A10F9C" w:rsidRPr="00797265">
        <w:rPr>
          <w:rFonts w:asciiTheme="minorHAnsi" w:hAnsiTheme="minorHAnsi"/>
          <w:sz w:val="19"/>
          <w:szCs w:val="19"/>
        </w:rPr>
        <w:t xml:space="preserve"> </w:t>
      </w:r>
      <w:r w:rsidR="002E3BD6" w:rsidRPr="00797265">
        <w:rPr>
          <w:rFonts w:asciiTheme="minorHAnsi" w:hAnsiTheme="minorHAnsi"/>
          <w:sz w:val="19"/>
          <w:szCs w:val="19"/>
        </w:rPr>
        <w:t xml:space="preserve">clear </w:t>
      </w:r>
      <w:r w:rsidR="00A10F9C" w:rsidRPr="00797265">
        <w:rPr>
          <w:rFonts w:asciiTheme="minorHAnsi" w:hAnsiTheme="minorHAnsi"/>
          <w:sz w:val="19"/>
          <w:szCs w:val="19"/>
        </w:rPr>
        <w:t xml:space="preserve">performance expectations for </w:t>
      </w:r>
      <w:r w:rsidR="002E3BD6" w:rsidRPr="00797265">
        <w:rPr>
          <w:rFonts w:asciiTheme="minorHAnsi" w:hAnsiTheme="minorHAnsi"/>
          <w:sz w:val="19"/>
          <w:szCs w:val="19"/>
        </w:rPr>
        <w:t>the virtual school</w:t>
      </w:r>
      <w:r w:rsidR="00487C2C" w:rsidRPr="00797265">
        <w:rPr>
          <w:rFonts w:asciiTheme="minorHAnsi" w:hAnsiTheme="minorHAnsi"/>
          <w:sz w:val="19"/>
          <w:szCs w:val="19"/>
        </w:rPr>
        <w:t xml:space="preserve"> with Commissioner and Board discretion</w:t>
      </w:r>
      <w:r>
        <w:rPr>
          <w:rFonts w:asciiTheme="minorHAnsi" w:hAnsiTheme="minorHAnsi"/>
          <w:sz w:val="19"/>
          <w:szCs w:val="19"/>
        </w:rPr>
        <w:t>; for example, by not dictating</w:t>
      </w:r>
      <w:r w:rsidR="00487C2C" w:rsidRPr="00797265">
        <w:rPr>
          <w:rFonts w:asciiTheme="minorHAnsi" w:hAnsiTheme="minorHAnsi"/>
          <w:sz w:val="19"/>
          <w:szCs w:val="19"/>
        </w:rPr>
        <w:t xml:space="preserve"> </w:t>
      </w:r>
      <w:r w:rsidR="00A10F9C" w:rsidRPr="00797265">
        <w:rPr>
          <w:rFonts w:asciiTheme="minorHAnsi" w:hAnsiTheme="minorHAnsi"/>
          <w:sz w:val="19"/>
          <w:szCs w:val="19"/>
        </w:rPr>
        <w:t xml:space="preserve">high </w:t>
      </w:r>
      <w:r w:rsidR="00487C2C" w:rsidRPr="00797265">
        <w:rPr>
          <w:rFonts w:asciiTheme="minorHAnsi" w:hAnsiTheme="minorHAnsi"/>
          <w:sz w:val="19"/>
          <w:szCs w:val="19"/>
        </w:rPr>
        <w:t>stakes accountability decisions</w:t>
      </w:r>
      <w:r w:rsidR="00A10F9C" w:rsidRPr="00797265">
        <w:rPr>
          <w:rFonts w:asciiTheme="minorHAnsi" w:hAnsiTheme="minorHAnsi"/>
          <w:sz w:val="19"/>
          <w:szCs w:val="19"/>
        </w:rPr>
        <w:t xml:space="preserve"> </w:t>
      </w:r>
      <w:r w:rsidR="00487C2C" w:rsidRPr="00797265">
        <w:rPr>
          <w:rFonts w:asciiTheme="minorHAnsi" w:hAnsiTheme="minorHAnsi"/>
          <w:sz w:val="19"/>
          <w:szCs w:val="19"/>
        </w:rPr>
        <w:t>such as</w:t>
      </w:r>
      <w:r w:rsidR="00A10F9C" w:rsidRPr="00797265">
        <w:rPr>
          <w:rFonts w:asciiTheme="minorHAnsi" w:hAnsiTheme="minorHAnsi"/>
          <w:sz w:val="19"/>
          <w:szCs w:val="19"/>
        </w:rPr>
        <w:t xml:space="preserve"> conditions, probation, revoca</w:t>
      </w:r>
      <w:r w:rsidR="00487C2C" w:rsidRPr="00797265">
        <w:rPr>
          <w:rFonts w:asciiTheme="minorHAnsi" w:hAnsiTheme="minorHAnsi"/>
          <w:sz w:val="19"/>
          <w:szCs w:val="19"/>
        </w:rPr>
        <w:t xml:space="preserve">tion, or renewal decisions in a formulaic manner. The Commissioner and/or the Board have the discretion to consider all qualitative and quantitative factors when making these decisions, </w:t>
      </w:r>
      <w:r>
        <w:rPr>
          <w:rFonts w:asciiTheme="minorHAnsi" w:hAnsiTheme="minorHAnsi"/>
          <w:sz w:val="19"/>
          <w:szCs w:val="19"/>
        </w:rPr>
        <w:t xml:space="preserve">with priority placed on </w:t>
      </w:r>
      <w:r w:rsidR="00487C2C" w:rsidRPr="00797265">
        <w:rPr>
          <w:rFonts w:asciiTheme="minorHAnsi" w:hAnsiTheme="minorHAnsi"/>
          <w:sz w:val="19"/>
          <w:szCs w:val="19"/>
        </w:rPr>
        <w:t xml:space="preserve">student </w:t>
      </w:r>
      <w:r>
        <w:rPr>
          <w:rFonts w:asciiTheme="minorHAnsi" w:hAnsiTheme="minorHAnsi"/>
          <w:sz w:val="19"/>
          <w:szCs w:val="19"/>
        </w:rPr>
        <w:t>performance and growth.</w:t>
      </w:r>
    </w:p>
    <w:p w14:paraId="692DFDCC" w14:textId="77777777" w:rsidR="00487C2C" w:rsidRDefault="00487C2C" w:rsidP="002E3BD6">
      <w:pPr>
        <w:pStyle w:val="Heading3"/>
        <w:rPr>
          <w:sz w:val="20"/>
        </w:rPr>
      </w:pPr>
      <w:bookmarkStart w:id="4" w:name="_Toc398114645"/>
      <w:r w:rsidRPr="00B66DF1">
        <w:rPr>
          <w:rFonts w:asciiTheme="minorHAnsi" w:hAnsiTheme="minorHAnsi"/>
          <w:sz w:val="22"/>
        </w:rPr>
        <w:t>Using the criteria during the certificate term</w:t>
      </w:r>
      <w:bookmarkEnd w:id="4"/>
    </w:p>
    <w:p w14:paraId="692DFDCD" w14:textId="77777777" w:rsidR="00487C2C" w:rsidRPr="00797265" w:rsidRDefault="002E3BD6" w:rsidP="00487C2C">
      <w:pPr>
        <w:spacing w:before="80" w:after="80"/>
        <w:rPr>
          <w:rFonts w:asciiTheme="minorHAnsi" w:hAnsiTheme="minorHAnsi"/>
          <w:sz w:val="19"/>
          <w:szCs w:val="19"/>
        </w:rPr>
      </w:pPr>
      <w:r w:rsidRPr="00797265">
        <w:rPr>
          <w:rFonts w:asciiTheme="minorHAnsi" w:hAnsiTheme="minorHAnsi"/>
          <w:sz w:val="19"/>
          <w:szCs w:val="19"/>
        </w:rPr>
        <w:t>A virtual school</w:t>
      </w:r>
      <w:r w:rsidR="00487C2C" w:rsidRPr="00797265">
        <w:rPr>
          <w:rFonts w:asciiTheme="minorHAnsi" w:hAnsiTheme="minorHAnsi"/>
          <w:sz w:val="19"/>
          <w:szCs w:val="19"/>
        </w:rPr>
        <w:t xml:space="preserve"> should use these criteria as a self-assessment to monitor the overall health and viability of the school throughout the </w:t>
      </w:r>
      <w:r w:rsidR="00797265">
        <w:rPr>
          <w:rFonts w:asciiTheme="minorHAnsi" w:hAnsiTheme="minorHAnsi"/>
          <w:sz w:val="19"/>
          <w:szCs w:val="19"/>
        </w:rPr>
        <w:t>school’s</w:t>
      </w:r>
      <w:r w:rsidR="00797265" w:rsidRPr="00797265">
        <w:rPr>
          <w:rFonts w:asciiTheme="minorHAnsi" w:hAnsiTheme="minorHAnsi"/>
          <w:sz w:val="19"/>
          <w:szCs w:val="19"/>
        </w:rPr>
        <w:t xml:space="preserve"> </w:t>
      </w:r>
      <w:r w:rsidR="00487C2C" w:rsidRPr="00797265">
        <w:rPr>
          <w:rFonts w:asciiTheme="minorHAnsi" w:hAnsiTheme="minorHAnsi"/>
          <w:sz w:val="19"/>
          <w:szCs w:val="19"/>
        </w:rPr>
        <w:t xml:space="preserve">certificate term. In addition, </w:t>
      </w:r>
      <w:r w:rsidRPr="00797265">
        <w:rPr>
          <w:rFonts w:asciiTheme="minorHAnsi" w:hAnsiTheme="minorHAnsi"/>
          <w:sz w:val="19"/>
          <w:szCs w:val="19"/>
        </w:rPr>
        <w:t>the school</w:t>
      </w:r>
      <w:r w:rsidR="00487C2C" w:rsidRPr="00797265">
        <w:rPr>
          <w:rFonts w:asciiTheme="minorHAnsi" w:hAnsiTheme="minorHAnsi"/>
          <w:sz w:val="19"/>
          <w:szCs w:val="19"/>
        </w:rPr>
        <w:t xml:space="preserve"> should examine evidence collected and reported by ESE through analysis of data submitted by the school and </w:t>
      </w:r>
      <w:r w:rsidRPr="00797265">
        <w:rPr>
          <w:rFonts w:asciiTheme="minorHAnsi" w:hAnsiTheme="minorHAnsi"/>
          <w:sz w:val="19"/>
          <w:szCs w:val="19"/>
        </w:rPr>
        <w:t xml:space="preserve">through </w:t>
      </w:r>
      <w:r w:rsidR="00487C2C" w:rsidRPr="00797265">
        <w:rPr>
          <w:rFonts w:asciiTheme="minorHAnsi" w:hAnsiTheme="minorHAnsi"/>
          <w:sz w:val="19"/>
          <w:szCs w:val="19"/>
        </w:rPr>
        <w:t>accountability reviews.</w:t>
      </w:r>
    </w:p>
    <w:p w14:paraId="692DFDCE" w14:textId="77777777" w:rsidR="00487C2C" w:rsidRPr="00B66DF1" w:rsidRDefault="00487C2C" w:rsidP="002E3BD6">
      <w:pPr>
        <w:pStyle w:val="Heading3"/>
        <w:rPr>
          <w:rFonts w:asciiTheme="minorHAnsi" w:hAnsiTheme="minorHAnsi"/>
          <w:sz w:val="20"/>
        </w:rPr>
      </w:pPr>
      <w:bookmarkStart w:id="5" w:name="_Toc398114646"/>
      <w:r w:rsidRPr="00B66DF1">
        <w:rPr>
          <w:rFonts w:asciiTheme="minorHAnsi" w:hAnsiTheme="minorHAnsi"/>
          <w:sz w:val="22"/>
        </w:rPr>
        <w:t>Using the c</w:t>
      </w:r>
      <w:r w:rsidR="002E3BD6" w:rsidRPr="00B66DF1">
        <w:rPr>
          <w:rFonts w:asciiTheme="minorHAnsi" w:hAnsiTheme="minorHAnsi"/>
          <w:sz w:val="22"/>
        </w:rPr>
        <w:t>riteria to inform renewal recommendations</w:t>
      </w:r>
      <w:bookmarkEnd w:id="5"/>
    </w:p>
    <w:p w14:paraId="692DFDCF" w14:textId="77777777" w:rsidR="009861C9" w:rsidRPr="00B66DF1" w:rsidRDefault="008143F7" w:rsidP="00B66DF1">
      <w:pPr>
        <w:spacing w:before="80" w:after="80"/>
        <w:rPr>
          <w:rFonts w:asciiTheme="minorHAnsi" w:hAnsiTheme="minorHAnsi"/>
          <w:sz w:val="19"/>
          <w:szCs w:val="19"/>
        </w:rPr>
      </w:pPr>
      <w:r w:rsidRPr="00797265">
        <w:rPr>
          <w:rFonts w:asciiTheme="minorHAnsi" w:hAnsiTheme="minorHAnsi"/>
          <w:sz w:val="19"/>
          <w:szCs w:val="19"/>
        </w:rPr>
        <w:t xml:space="preserve">ESE will evaluate the performance of the </w:t>
      </w:r>
      <w:r>
        <w:rPr>
          <w:rFonts w:asciiTheme="minorHAnsi" w:hAnsiTheme="minorHAnsi"/>
          <w:sz w:val="19"/>
          <w:szCs w:val="19"/>
        </w:rPr>
        <w:t xml:space="preserve">virtual </w:t>
      </w:r>
      <w:r w:rsidRPr="00797265">
        <w:rPr>
          <w:rFonts w:asciiTheme="minorHAnsi" w:hAnsiTheme="minorHAnsi"/>
          <w:sz w:val="19"/>
          <w:szCs w:val="19"/>
        </w:rPr>
        <w:t xml:space="preserve">school using quantitative and/or qualitative evidence reported by the school and collected by ESE throughout the </w:t>
      </w:r>
      <w:r>
        <w:rPr>
          <w:rFonts w:asciiTheme="minorHAnsi" w:hAnsiTheme="minorHAnsi"/>
          <w:sz w:val="19"/>
          <w:szCs w:val="19"/>
        </w:rPr>
        <w:t xml:space="preserve">school’s </w:t>
      </w:r>
      <w:r w:rsidRPr="00797265">
        <w:rPr>
          <w:rFonts w:asciiTheme="minorHAnsi" w:hAnsiTheme="minorHAnsi"/>
          <w:sz w:val="19"/>
          <w:szCs w:val="19"/>
        </w:rPr>
        <w:t xml:space="preserve">certificate term. </w:t>
      </w:r>
      <w:r>
        <w:rPr>
          <w:rFonts w:asciiTheme="minorHAnsi" w:hAnsiTheme="minorHAnsi"/>
          <w:sz w:val="19"/>
          <w:szCs w:val="19"/>
        </w:rPr>
        <w:t xml:space="preserve">The school </w:t>
      </w:r>
      <w:r w:rsidRPr="00797265">
        <w:rPr>
          <w:rFonts w:asciiTheme="minorHAnsi" w:hAnsiTheme="minorHAnsi"/>
          <w:sz w:val="19"/>
          <w:szCs w:val="19"/>
        </w:rPr>
        <w:t>must demonstrate affirmative evidence of success in all three guiding areas of virtual school accountability for recertification.</w:t>
      </w:r>
      <w:r>
        <w:rPr>
          <w:rFonts w:asciiTheme="minorHAnsi" w:hAnsiTheme="minorHAnsi"/>
          <w:sz w:val="19"/>
          <w:szCs w:val="19"/>
        </w:rPr>
        <w:t xml:space="preserve"> The </w:t>
      </w:r>
      <w:r w:rsidR="00487C2C" w:rsidRPr="00B66DF1">
        <w:rPr>
          <w:rFonts w:asciiTheme="minorHAnsi" w:hAnsiTheme="minorHAnsi"/>
          <w:sz w:val="19"/>
          <w:szCs w:val="19"/>
        </w:rPr>
        <w:t>school will undergo a rigorous renewal process during the final year of its certificate term</w:t>
      </w:r>
      <w:r>
        <w:rPr>
          <w:rFonts w:asciiTheme="minorHAnsi" w:hAnsiTheme="minorHAnsi"/>
          <w:sz w:val="19"/>
          <w:szCs w:val="19"/>
        </w:rPr>
        <w:t>, the purpose of which</w:t>
      </w:r>
      <w:r w:rsidR="002E3BD6" w:rsidRPr="00B66DF1">
        <w:rPr>
          <w:rFonts w:asciiTheme="minorHAnsi" w:hAnsiTheme="minorHAnsi"/>
          <w:sz w:val="19"/>
          <w:szCs w:val="19"/>
        </w:rPr>
        <w:t xml:space="preserve"> is to recommend to the Commissioner and the Board</w:t>
      </w:r>
      <w:r w:rsidR="00487C2C" w:rsidRPr="00B66DF1">
        <w:rPr>
          <w:rFonts w:asciiTheme="minorHAnsi" w:hAnsiTheme="minorHAnsi"/>
          <w:sz w:val="19"/>
          <w:szCs w:val="19"/>
        </w:rPr>
        <w:t xml:space="preserve"> whether or not the school </w:t>
      </w:r>
      <w:r w:rsidR="002E3BD6" w:rsidRPr="00B66DF1">
        <w:rPr>
          <w:rFonts w:asciiTheme="minorHAnsi" w:hAnsiTheme="minorHAnsi"/>
          <w:sz w:val="19"/>
          <w:szCs w:val="19"/>
        </w:rPr>
        <w:t>may</w:t>
      </w:r>
      <w:r w:rsidR="00487C2C" w:rsidRPr="00B66DF1">
        <w:rPr>
          <w:rFonts w:asciiTheme="minorHAnsi" w:hAnsiTheme="minorHAnsi"/>
          <w:sz w:val="19"/>
          <w:szCs w:val="19"/>
        </w:rPr>
        <w:t xml:space="preserve"> continue to operate. The renewal process includes the submission of a renewal application, a</w:t>
      </w:r>
      <w:r w:rsidR="00797265" w:rsidRPr="00B66DF1">
        <w:rPr>
          <w:rFonts w:asciiTheme="minorHAnsi" w:hAnsiTheme="minorHAnsi"/>
          <w:sz w:val="19"/>
          <w:szCs w:val="19"/>
        </w:rPr>
        <w:t xml:space="preserve"> renewal inspection visit</w:t>
      </w:r>
      <w:r w:rsidR="00487C2C" w:rsidRPr="00B66DF1">
        <w:rPr>
          <w:rFonts w:asciiTheme="minorHAnsi" w:hAnsiTheme="minorHAnsi"/>
          <w:sz w:val="19"/>
          <w:szCs w:val="19"/>
        </w:rPr>
        <w:t>, and an analysis of all evidence related to the performance</w:t>
      </w:r>
      <w:r w:rsidR="002E3BD6" w:rsidRPr="00B66DF1">
        <w:rPr>
          <w:rFonts w:asciiTheme="minorHAnsi" w:hAnsiTheme="minorHAnsi"/>
          <w:sz w:val="19"/>
          <w:szCs w:val="19"/>
        </w:rPr>
        <w:t xml:space="preserve"> of the school</w:t>
      </w:r>
      <w:r w:rsidR="00487C2C" w:rsidRPr="00B66DF1">
        <w:rPr>
          <w:rFonts w:asciiTheme="minorHAnsi" w:hAnsiTheme="minorHAnsi"/>
          <w:sz w:val="19"/>
          <w:szCs w:val="19"/>
        </w:rPr>
        <w:t>.</w:t>
      </w:r>
    </w:p>
    <w:tbl>
      <w:tblPr>
        <w:tblStyle w:val="TableGrid"/>
        <w:tblW w:w="0" w:type="auto"/>
        <w:tblLook w:val="04A0" w:firstRow="1" w:lastRow="0" w:firstColumn="1" w:lastColumn="0" w:noHBand="0" w:noVBand="1"/>
      </w:tblPr>
      <w:tblGrid>
        <w:gridCol w:w="1368"/>
        <w:gridCol w:w="4154"/>
        <w:gridCol w:w="3226"/>
        <w:gridCol w:w="828"/>
      </w:tblGrid>
      <w:tr w:rsidR="0071398C" w:rsidRPr="00577057" w14:paraId="692DFDE5" w14:textId="77777777" w:rsidTr="003419FD">
        <w:tc>
          <w:tcPr>
            <w:tcW w:w="9576" w:type="dxa"/>
            <w:gridSpan w:val="4"/>
          </w:tcPr>
          <w:p w14:paraId="692DFDD0" w14:textId="77777777" w:rsidR="0071398C" w:rsidRPr="00B66DF1" w:rsidRDefault="0071398C" w:rsidP="003419FD">
            <w:pPr>
              <w:pStyle w:val="Heading1"/>
              <w:jc w:val="center"/>
              <w:outlineLvl w:val="0"/>
              <w:rPr>
                <w:rFonts w:asciiTheme="minorHAnsi" w:hAnsiTheme="minorHAnsi"/>
                <w:sz w:val="28"/>
              </w:rPr>
            </w:pPr>
            <w:bookmarkStart w:id="6" w:name="_Toc398114647"/>
            <w:r w:rsidRPr="0071398C">
              <w:rPr>
                <w:rFonts w:asciiTheme="minorHAnsi" w:hAnsiTheme="minorHAnsi"/>
                <w:sz w:val="28"/>
              </w:rPr>
              <w:lastRenderedPageBreak/>
              <w:t>Criteria</w:t>
            </w:r>
            <w:r>
              <w:rPr>
                <w:rFonts w:asciiTheme="minorHAnsi" w:hAnsiTheme="minorHAnsi"/>
                <w:sz w:val="28"/>
              </w:rPr>
              <w:t xml:space="preserve"> Summary</w:t>
            </w:r>
            <w:bookmarkEnd w:id="6"/>
          </w:p>
          <w:tbl>
            <w:tblPr>
              <w:tblStyle w:val="TableGrid"/>
              <w:tblW w:w="0" w:type="auto"/>
              <w:tblLook w:val="04A0" w:firstRow="1" w:lastRow="0" w:firstColumn="1" w:lastColumn="0" w:noHBand="0" w:noVBand="1"/>
            </w:tblPr>
            <w:tblGrid>
              <w:gridCol w:w="395"/>
              <w:gridCol w:w="860"/>
              <w:gridCol w:w="450"/>
              <w:gridCol w:w="7640"/>
            </w:tblGrid>
            <w:tr w:rsidR="0071398C" w14:paraId="692DFDD2" w14:textId="77777777" w:rsidTr="003419FD">
              <w:tc>
                <w:tcPr>
                  <w:tcW w:w="9345" w:type="dxa"/>
                  <w:gridSpan w:val="4"/>
                  <w:tcBorders>
                    <w:bottom w:val="nil"/>
                  </w:tcBorders>
                </w:tcPr>
                <w:p w14:paraId="692DFDD1" w14:textId="77777777" w:rsidR="0071398C" w:rsidRPr="00B66DF1" w:rsidRDefault="0071398C" w:rsidP="003419FD">
                  <w:pPr>
                    <w:spacing w:before="80" w:after="80" w:line="240" w:lineRule="auto"/>
                    <w:rPr>
                      <w:b/>
                      <w:sz w:val="19"/>
                      <w:szCs w:val="19"/>
                    </w:rPr>
                  </w:pPr>
                  <w:r w:rsidRPr="00B66DF1">
                    <w:rPr>
                      <w:b/>
                      <w:sz w:val="19"/>
                      <w:szCs w:val="19"/>
                    </w:rPr>
                    <w:t>Rating Scale:</w:t>
                  </w:r>
                </w:p>
              </w:tc>
            </w:tr>
            <w:tr w:rsidR="0071398C" w14:paraId="692DFDD5" w14:textId="77777777" w:rsidTr="003419FD">
              <w:trPr>
                <w:trHeight w:val="87"/>
              </w:trPr>
              <w:tc>
                <w:tcPr>
                  <w:tcW w:w="1705" w:type="dxa"/>
                  <w:gridSpan w:val="3"/>
                  <w:tcBorders>
                    <w:top w:val="nil"/>
                    <w:bottom w:val="nil"/>
                    <w:right w:val="nil"/>
                  </w:tcBorders>
                </w:tcPr>
                <w:p w14:paraId="692DFDD3" w14:textId="77777777" w:rsidR="0071398C" w:rsidRPr="0091037A" w:rsidRDefault="0071398C" w:rsidP="003419FD">
                  <w:pPr>
                    <w:spacing w:before="80" w:after="80" w:line="240" w:lineRule="auto"/>
                    <w:rPr>
                      <w:b/>
                      <w:sz w:val="19"/>
                      <w:szCs w:val="19"/>
                    </w:rPr>
                  </w:pPr>
                  <w:r w:rsidRPr="0091037A">
                    <w:rPr>
                      <w:b/>
                      <w:sz w:val="19"/>
                      <w:szCs w:val="19"/>
                    </w:rPr>
                    <w:t>Exceeds</w:t>
                  </w:r>
                </w:p>
              </w:tc>
              <w:tc>
                <w:tcPr>
                  <w:tcW w:w="7640" w:type="dxa"/>
                  <w:tcBorders>
                    <w:top w:val="nil"/>
                    <w:left w:val="nil"/>
                    <w:bottom w:val="nil"/>
                  </w:tcBorders>
                </w:tcPr>
                <w:p w14:paraId="692DFDD4" w14:textId="77777777" w:rsidR="0071398C" w:rsidRPr="0091037A" w:rsidRDefault="0071398C" w:rsidP="003419FD">
                  <w:pPr>
                    <w:spacing w:before="80" w:after="80" w:line="240" w:lineRule="auto"/>
                    <w:rPr>
                      <w:sz w:val="19"/>
                      <w:szCs w:val="19"/>
                    </w:rPr>
                  </w:pPr>
                  <w:r w:rsidRPr="0091037A">
                    <w:rPr>
                      <w:sz w:val="19"/>
                      <w:szCs w:val="19"/>
                    </w:rPr>
                    <w:t>The school fully and consistently meets the criterion and is a potential exemplar in this area</w:t>
                  </w:r>
                </w:p>
              </w:tc>
            </w:tr>
            <w:tr w:rsidR="0071398C" w14:paraId="692DFDD8" w14:textId="77777777" w:rsidTr="003419FD">
              <w:trPr>
                <w:trHeight w:val="270"/>
              </w:trPr>
              <w:tc>
                <w:tcPr>
                  <w:tcW w:w="1705" w:type="dxa"/>
                  <w:gridSpan w:val="3"/>
                  <w:tcBorders>
                    <w:top w:val="nil"/>
                    <w:bottom w:val="nil"/>
                    <w:right w:val="nil"/>
                  </w:tcBorders>
                </w:tcPr>
                <w:p w14:paraId="692DFDD6" w14:textId="77777777" w:rsidR="0071398C" w:rsidRPr="0091037A" w:rsidRDefault="0071398C" w:rsidP="003419FD">
                  <w:pPr>
                    <w:spacing w:before="80" w:after="80" w:line="240" w:lineRule="auto"/>
                    <w:rPr>
                      <w:b/>
                      <w:sz w:val="19"/>
                      <w:szCs w:val="19"/>
                    </w:rPr>
                  </w:pPr>
                  <w:r w:rsidRPr="0091037A">
                    <w:rPr>
                      <w:b/>
                      <w:sz w:val="19"/>
                      <w:szCs w:val="19"/>
                    </w:rPr>
                    <w:t>Meets</w:t>
                  </w:r>
                </w:p>
              </w:tc>
              <w:tc>
                <w:tcPr>
                  <w:tcW w:w="7640" w:type="dxa"/>
                  <w:tcBorders>
                    <w:top w:val="nil"/>
                    <w:left w:val="nil"/>
                    <w:bottom w:val="nil"/>
                  </w:tcBorders>
                </w:tcPr>
                <w:p w14:paraId="692DFDD7" w14:textId="77777777" w:rsidR="0071398C" w:rsidRPr="0091037A" w:rsidRDefault="0071398C" w:rsidP="003419FD">
                  <w:pPr>
                    <w:spacing w:before="80" w:after="80" w:line="240" w:lineRule="auto"/>
                    <w:rPr>
                      <w:sz w:val="19"/>
                      <w:szCs w:val="19"/>
                    </w:rPr>
                  </w:pPr>
                  <w:r w:rsidRPr="0091037A">
                    <w:rPr>
                      <w:sz w:val="19"/>
                      <w:szCs w:val="19"/>
                    </w:rPr>
                    <w:t>The school generally meets the criterion; minor concerns are noted</w:t>
                  </w:r>
                </w:p>
              </w:tc>
            </w:tr>
            <w:tr w:rsidR="0071398C" w14:paraId="692DFDDB" w14:textId="77777777" w:rsidTr="003419FD">
              <w:trPr>
                <w:trHeight w:val="87"/>
              </w:trPr>
              <w:tc>
                <w:tcPr>
                  <w:tcW w:w="1705" w:type="dxa"/>
                  <w:gridSpan w:val="3"/>
                  <w:tcBorders>
                    <w:top w:val="nil"/>
                    <w:bottom w:val="nil"/>
                    <w:right w:val="nil"/>
                  </w:tcBorders>
                </w:tcPr>
                <w:p w14:paraId="692DFDD9" w14:textId="77777777" w:rsidR="0071398C" w:rsidRPr="0091037A" w:rsidRDefault="0071398C" w:rsidP="003419FD">
                  <w:pPr>
                    <w:spacing w:before="80" w:after="80" w:line="240" w:lineRule="auto"/>
                    <w:rPr>
                      <w:b/>
                      <w:sz w:val="19"/>
                      <w:szCs w:val="19"/>
                    </w:rPr>
                  </w:pPr>
                  <w:r w:rsidRPr="0091037A">
                    <w:rPr>
                      <w:b/>
                      <w:sz w:val="19"/>
                      <w:szCs w:val="19"/>
                    </w:rPr>
                    <w:t>Partially meets</w:t>
                  </w:r>
                </w:p>
              </w:tc>
              <w:tc>
                <w:tcPr>
                  <w:tcW w:w="7640" w:type="dxa"/>
                  <w:tcBorders>
                    <w:top w:val="nil"/>
                    <w:left w:val="nil"/>
                    <w:bottom w:val="nil"/>
                  </w:tcBorders>
                </w:tcPr>
                <w:p w14:paraId="692DFDDA" w14:textId="77777777" w:rsidR="0071398C" w:rsidRPr="0091037A" w:rsidRDefault="0071398C" w:rsidP="003419FD">
                  <w:pPr>
                    <w:spacing w:before="80" w:after="80" w:line="240" w:lineRule="auto"/>
                    <w:rPr>
                      <w:sz w:val="19"/>
                      <w:szCs w:val="19"/>
                    </w:rPr>
                  </w:pPr>
                  <w:r w:rsidRPr="0091037A">
                    <w:rPr>
                      <w:sz w:val="19"/>
                      <w:szCs w:val="19"/>
                    </w:rPr>
                    <w:t>The school meets some aspects of the criterion but not others and/or moderate concerns are noted</w:t>
                  </w:r>
                </w:p>
              </w:tc>
            </w:tr>
            <w:tr w:rsidR="0071398C" w14:paraId="692DFDDE" w14:textId="77777777" w:rsidTr="003419FD">
              <w:trPr>
                <w:trHeight w:val="87"/>
              </w:trPr>
              <w:tc>
                <w:tcPr>
                  <w:tcW w:w="1705" w:type="dxa"/>
                  <w:gridSpan w:val="3"/>
                  <w:tcBorders>
                    <w:top w:val="nil"/>
                    <w:bottom w:val="single" w:sz="4" w:space="0" w:color="auto"/>
                    <w:right w:val="nil"/>
                  </w:tcBorders>
                </w:tcPr>
                <w:p w14:paraId="692DFDDC" w14:textId="77777777" w:rsidR="0071398C" w:rsidRPr="0091037A" w:rsidRDefault="0071398C" w:rsidP="003419FD">
                  <w:pPr>
                    <w:spacing w:before="80" w:after="80" w:line="240" w:lineRule="auto"/>
                    <w:rPr>
                      <w:b/>
                      <w:sz w:val="19"/>
                      <w:szCs w:val="19"/>
                    </w:rPr>
                  </w:pPr>
                  <w:r w:rsidRPr="0091037A">
                    <w:rPr>
                      <w:b/>
                      <w:sz w:val="19"/>
                      <w:szCs w:val="19"/>
                    </w:rPr>
                    <w:t>Falls far below</w:t>
                  </w:r>
                </w:p>
              </w:tc>
              <w:tc>
                <w:tcPr>
                  <w:tcW w:w="7640" w:type="dxa"/>
                  <w:tcBorders>
                    <w:top w:val="nil"/>
                    <w:left w:val="nil"/>
                    <w:bottom w:val="single" w:sz="4" w:space="0" w:color="auto"/>
                  </w:tcBorders>
                </w:tcPr>
                <w:p w14:paraId="692DFDDD" w14:textId="77777777" w:rsidR="0071398C" w:rsidRPr="0091037A" w:rsidRDefault="0071398C" w:rsidP="003419FD">
                  <w:pPr>
                    <w:spacing w:before="80" w:after="80" w:line="240" w:lineRule="auto"/>
                    <w:rPr>
                      <w:sz w:val="19"/>
                      <w:szCs w:val="19"/>
                    </w:rPr>
                  </w:pPr>
                  <w:r w:rsidRPr="0019684E">
                    <w:rPr>
                      <w:sz w:val="19"/>
                      <w:szCs w:val="19"/>
                    </w:rPr>
                    <w:t>The school falls far below the criterion; significant concern(s) are noted</w:t>
                  </w:r>
                </w:p>
              </w:tc>
            </w:tr>
            <w:tr w:rsidR="0071398C" w14:paraId="692DFDE3" w14:textId="77777777" w:rsidTr="003419FD">
              <w:tc>
                <w:tcPr>
                  <w:tcW w:w="395" w:type="dxa"/>
                  <w:tcBorders>
                    <w:left w:val="nil"/>
                    <w:bottom w:val="nil"/>
                    <w:right w:val="nil"/>
                  </w:tcBorders>
                </w:tcPr>
                <w:p w14:paraId="692DFDDF" w14:textId="77777777" w:rsidR="0071398C" w:rsidRPr="00B66DF1" w:rsidRDefault="0071398C" w:rsidP="003419FD">
                  <w:pPr>
                    <w:spacing w:after="0" w:line="240" w:lineRule="auto"/>
                    <w:rPr>
                      <w:color w:val="FF0000"/>
                      <w:sz w:val="19"/>
                      <w:szCs w:val="19"/>
                    </w:rPr>
                  </w:pPr>
                </w:p>
              </w:tc>
              <w:tc>
                <w:tcPr>
                  <w:tcW w:w="860" w:type="dxa"/>
                  <w:tcBorders>
                    <w:left w:val="nil"/>
                    <w:bottom w:val="nil"/>
                    <w:right w:val="nil"/>
                  </w:tcBorders>
                </w:tcPr>
                <w:p w14:paraId="692DFDE0" w14:textId="77777777" w:rsidR="0071398C" w:rsidRPr="00B66DF1" w:rsidRDefault="0071398C" w:rsidP="003419FD">
                  <w:pPr>
                    <w:spacing w:after="0" w:line="240" w:lineRule="auto"/>
                    <w:rPr>
                      <w:sz w:val="19"/>
                      <w:szCs w:val="19"/>
                    </w:rPr>
                  </w:pPr>
                </w:p>
              </w:tc>
              <w:tc>
                <w:tcPr>
                  <w:tcW w:w="450" w:type="dxa"/>
                  <w:tcBorders>
                    <w:left w:val="nil"/>
                    <w:bottom w:val="nil"/>
                    <w:right w:val="nil"/>
                  </w:tcBorders>
                </w:tcPr>
                <w:p w14:paraId="692DFDE1" w14:textId="77777777" w:rsidR="0071398C" w:rsidRPr="00B66DF1" w:rsidRDefault="0071398C" w:rsidP="003419FD">
                  <w:pPr>
                    <w:spacing w:after="0" w:line="240" w:lineRule="auto"/>
                    <w:rPr>
                      <w:b/>
                      <w:sz w:val="19"/>
                      <w:szCs w:val="19"/>
                    </w:rPr>
                  </w:pPr>
                </w:p>
              </w:tc>
              <w:tc>
                <w:tcPr>
                  <w:tcW w:w="7640" w:type="dxa"/>
                  <w:tcBorders>
                    <w:left w:val="nil"/>
                    <w:bottom w:val="nil"/>
                    <w:right w:val="nil"/>
                  </w:tcBorders>
                </w:tcPr>
                <w:p w14:paraId="692DFDE2" w14:textId="77777777" w:rsidR="0071398C" w:rsidRPr="00B66DF1" w:rsidRDefault="0071398C" w:rsidP="003419FD">
                  <w:pPr>
                    <w:spacing w:after="0" w:line="240" w:lineRule="auto"/>
                    <w:rPr>
                      <w:sz w:val="19"/>
                      <w:szCs w:val="19"/>
                    </w:rPr>
                  </w:pPr>
                </w:p>
              </w:tc>
            </w:tr>
          </w:tbl>
          <w:p w14:paraId="692DFDE4" w14:textId="77777777" w:rsidR="0071398C" w:rsidRPr="00B66DF1" w:rsidRDefault="0071398C" w:rsidP="003419FD">
            <w:pPr>
              <w:spacing w:after="0"/>
              <w:rPr>
                <w:sz w:val="19"/>
                <w:szCs w:val="19"/>
              </w:rPr>
            </w:pPr>
          </w:p>
        </w:tc>
      </w:tr>
      <w:tr w:rsidR="0071398C" w:rsidRPr="00577057" w14:paraId="692DFDE9" w14:textId="77777777" w:rsidTr="0071398C">
        <w:tc>
          <w:tcPr>
            <w:tcW w:w="1368" w:type="dxa"/>
          </w:tcPr>
          <w:p w14:paraId="692DFDE6" w14:textId="77777777" w:rsidR="0071398C" w:rsidRPr="004D437A" w:rsidRDefault="0071398C" w:rsidP="003419FD">
            <w:pPr>
              <w:spacing w:before="40" w:after="40"/>
              <w:rPr>
                <w:b/>
                <w:sz w:val="19"/>
                <w:szCs w:val="19"/>
              </w:rPr>
            </w:pPr>
            <w:r w:rsidRPr="004D437A">
              <w:rPr>
                <w:b/>
                <w:sz w:val="19"/>
                <w:szCs w:val="19"/>
              </w:rPr>
              <w:t>Guiding area</w:t>
            </w:r>
          </w:p>
        </w:tc>
        <w:tc>
          <w:tcPr>
            <w:tcW w:w="7380" w:type="dxa"/>
            <w:gridSpan w:val="2"/>
          </w:tcPr>
          <w:p w14:paraId="692DFDE7" w14:textId="77777777" w:rsidR="0071398C" w:rsidRPr="004D437A" w:rsidRDefault="0071398C" w:rsidP="003419FD">
            <w:pPr>
              <w:spacing w:before="40" w:after="40" w:line="240" w:lineRule="auto"/>
              <w:rPr>
                <w:b/>
                <w:sz w:val="19"/>
                <w:szCs w:val="19"/>
              </w:rPr>
            </w:pPr>
            <w:r w:rsidRPr="004D437A">
              <w:rPr>
                <w:b/>
                <w:sz w:val="19"/>
                <w:szCs w:val="19"/>
              </w:rPr>
              <w:t>Criteria</w:t>
            </w:r>
          </w:p>
        </w:tc>
        <w:tc>
          <w:tcPr>
            <w:tcW w:w="828" w:type="dxa"/>
          </w:tcPr>
          <w:p w14:paraId="692DFDE8" w14:textId="77777777" w:rsidR="0071398C" w:rsidRPr="004D437A" w:rsidRDefault="0071398C" w:rsidP="003419FD">
            <w:pPr>
              <w:spacing w:before="40" w:after="40" w:line="240" w:lineRule="auto"/>
              <w:jc w:val="right"/>
              <w:rPr>
                <w:b/>
                <w:sz w:val="19"/>
                <w:szCs w:val="19"/>
              </w:rPr>
            </w:pPr>
            <w:r w:rsidRPr="004D437A">
              <w:rPr>
                <w:b/>
                <w:sz w:val="19"/>
                <w:szCs w:val="19"/>
              </w:rPr>
              <w:t>Rating</w:t>
            </w:r>
          </w:p>
        </w:tc>
      </w:tr>
      <w:tr w:rsidR="0071398C" w:rsidRPr="00577057" w14:paraId="692DFDED" w14:textId="77777777" w:rsidTr="0071398C">
        <w:tc>
          <w:tcPr>
            <w:tcW w:w="1368" w:type="dxa"/>
            <w:vMerge w:val="restart"/>
            <w:textDirection w:val="btLr"/>
            <w:vAlign w:val="center"/>
          </w:tcPr>
          <w:p w14:paraId="692DFDEA" w14:textId="77777777" w:rsidR="0071398C" w:rsidRPr="004D437A" w:rsidRDefault="0071398C" w:rsidP="003419FD">
            <w:pPr>
              <w:spacing w:before="40" w:after="40" w:line="240" w:lineRule="auto"/>
              <w:ind w:left="113" w:right="113"/>
              <w:jc w:val="center"/>
              <w:rPr>
                <w:b/>
                <w:sz w:val="19"/>
                <w:szCs w:val="19"/>
              </w:rPr>
            </w:pPr>
            <w:r w:rsidRPr="004D437A">
              <w:rPr>
                <w:b/>
                <w:sz w:val="19"/>
                <w:szCs w:val="19"/>
              </w:rPr>
              <w:t>Faithfulness to  certificate</w:t>
            </w:r>
          </w:p>
        </w:tc>
        <w:tc>
          <w:tcPr>
            <w:tcW w:w="7380" w:type="dxa"/>
            <w:gridSpan w:val="2"/>
          </w:tcPr>
          <w:p w14:paraId="692DFDEB" w14:textId="77777777" w:rsidR="0071398C" w:rsidRPr="004D437A" w:rsidRDefault="0071398C" w:rsidP="0071398C">
            <w:pPr>
              <w:pStyle w:val="ListParagraph"/>
              <w:numPr>
                <w:ilvl w:val="0"/>
                <w:numId w:val="14"/>
              </w:numPr>
              <w:spacing w:before="40" w:after="40" w:line="240" w:lineRule="auto"/>
              <w:contextualSpacing w:val="0"/>
              <w:rPr>
                <w:sz w:val="19"/>
                <w:szCs w:val="19"/>
              </w:rPr>
            </w:pPr>
            <w:r w:rsidRPr="004D437A">
              <w:rPr>
                <w:b/>
                <w:sz w:val="19"/>
                <w:szCs w:val="19"/>
              </w:rPr>
              <w:t>Mission and key design elements:</w:t>
            </w:r>
            <w:r w:rsidRPr="004D437A">
              <w:rPr>
                <w:sz w:val="19"/>
                <w:szCs w:val="19"/>
              </w:rPr>
              <w:t xml:space="preserve"> The school is faithful to its mission, implements the key design elements outlined in its certificate, and substantially meets its accountability plan goals</w:t>
            </w:r>
          </w:p>
        </w:tc>
        <w:tc>
          <w:tcPr>
            <w:tcW w:w="828" w:type="dxa"/>
          </w:tcPr>
          <w:p w14:paraId="692DFDEC" w14:textId="77777777" w:rsidR="0071398C" w:rsidRPr="00CC107E" w:rsidRDefault="0071398C" w:rsidP="003419FD">
            <w:pPr>
              <w:spacing w:before="40" w:after="40" w:line="240" w:lineRule="auto"/>
              <w:jc w:val="right"/>
              <w:rPr>
                <w:b/>
                <w:i/>
                <w:sz w:val="19"/>
                <w:szCs w:val="19"/>
              </w:rPr>
            </w:pPr>
          </w:p>
        </w:tc>
      </w:tr>
      <w:tr w:rsidR="0071398C" w:rsidRPr="00577057" w14:paraId="692DFDF1" w14:textId="77777777" w:rsidTr="0071398C">
        <w:tc>
          <w:tcPr>
            <w:tcW w:w="1368" w:type="dxa"/>
            <w:vMerge/>
          </w:tcPr>
          <w:p w14:paraId="692DFDEE" w14:textId="77777777" w:rsidR="0071398C" w:rsidRPr="004D437A" w:rsidRDefault="0071398C" w:rsidP="003419FD">
            <w:pPr>
              <w:spacing w:before="40" w:after="40" w:line="240" w:lineRule="auto"/>
              <w:rPr>
                <w:sz w:val="19"/>
                <w:szCs w:val="19"/>
              </w:rPr>
            </w:pPr>
          </w:p>
        </w:tc>
        <w:tc>
          <w:tcPr>
            <w:tcW w:w="7380" w:type="dxa"/>
            <w:gridSpan w:val="2"/>
          </w:tcPr>
          <w:p w14:paraId="692DFDEF" w14:textId="77777777" w:rsidR="0071398C" w:rsidRPr="004D437A" w:rsidRDefault="0071398C" w:rsidP="0071398C">
            <w:pPr>
              <w:pStyle w:val="ListParagraph"/>
              <w:numPr>
                <w:ilvl w:val="0"/>
                <w:numId w:val="14"/>
              </w:numPr>
              <w:spacing w:before="40" w:after="40" w:line="240" w:lineRule="auto"/>
              <w:contextualSpacing w:val="0"/>
              <w:rPr>
                <w:sz w:val="19"/>
                <w:szCs w:val="19"/>
              </w:rPr>
            </w:pPr>
            <w:r w:rsidRPr="004D437A">
              <w:rPr>
                <w:b/>
                <w:sz w:val="19"/>
                <w:szCs w:val="19"/>
              </w:rPr>
              <w:t>Access and equity</w:t>
            </w:r>
            <w:r w:rsidRPr="004D437A">
              <w:rPr>
                <w:sz w:val="19"/>
                <w:szCs w:val="19"/>
              </w:rPr>
              <w:t>: The school ensures program access and equity for all students eligible to attend the school</w:t>
            </w:r>
          </w:p>
        </w:tc>
        <w:tc>
          <w:tcPr>
            <w:tcW w:w="828" w:type="dxa"/>
          </w:tcPr>
          <w:p w14:paraId="692DFDF0" w14:textId="77777777" w:rsidR="0071398C" w:rsidRPr="00CC107E" w:rsidRDefault="0071398C" w:rsidP="003419FD">
            <w:pPr>
              <w:spacing w:before="40" w:after="40" w:line="240" w:lineRule="auto"/>
              <w:jc w:val="right"/>
              <w:rPr>
                <w:b/>
                <w:i/>
                <w:sz w:val="19"/>
                <w:szCs w:val="19"/>
              </w:rPr>
            </w:pPr>
          </w:p>
        </w:tc>
      </w:tr>
      <w:tr w:rsidR="0071398C" w:rsidRPr="00577057" w14:paraId="692DFDF5" w14:textId="77777777" w:rsidTr="0071398C">
        <w:tc>
          <w:tcPr>
            <w:tcW w:w="1368" w:type="dxa"/>
            <w:vMerge/>
          </w:tcPr>
          <w:p w14:paraId="692DFDF2" w14:textId="77777777" w:rsidR="0071398C" w:rsidRPr="004D437A" w:rsidRDefault="0071398C" w:rsidP="003419FD">
            <w:pPr>
              <w:spacing w:before="40" w:after="40" w:line="240" w:lineRule="auto"/>
              <w:rPr>
                <w:sz w:val="19"/>
                <w:szCs w:val="19"/>
              </w:rPr>
            </w:pPr>
          </w:p>
        </w:tc>
        <w:tc>
          <w:tcPr>
            <w:tcW w:w="7380" w:type="dxa"/>
            <w:gridSpan w:val="2"/>
          </w:tcPr>
          <w:p w14:paraId="692DFDF3" w14:textId="77777777" w:rsidR="0071398C" w:rsidRPr="004D437A" w:rsidRDefault="0071398C" w:rsidP="0071398C">
            <w:pPr>
              <w:pStyle w:val="ListParagraph"/>
              <w:numPr>
                <w:ilvl w:val="0"/>
                <w:numId w:val="14"/>
              </w:numPr>
              <w:spacing w:before="40" w:after="40" w:line="240" w:lineRule="auto"/>
              <w:contextualSpacing w:val="0"/>
              <w:rPr>
                <w:sz w:val="19"/>
                <w:szCs w:val="19"/>
              </w:rPr>
            </w:pPr>
            <w:r w:rsidRPr="004D437A">
              <w:rPr>
                <w:b/>
                <w:sz w:val="19"/>
                <w:szCs w:val="19"/>
              </w:rPr>
              <w:t>Compliance</w:t>
            </w:r>
            <w:r w:rsidRPr="004D437A">
              <w:rPr>
                <w:sz w:val="19"/>
                <w:szCs w:val="19"/>
              </w:rPr>
              <w:t>: The school compiles a record of compliance with the terms of its certificate and applicable state and federal laws and regulations</w:t>
            </w:r>
          </w:p>
        </w:tc>
        <w:tc>
          <w:tcPr>
            <w:tcW w:w="828" w:type="dxa"/>
          </w:tcPr>
          <w:p w14:paraId="692DFDF4" w14:textId="77777777" w:rsidR="0071398C" w:rsidRPr="00CC107E" w:rsidRDefault="0071398C" w:rsidP="003419FD">
            <w:pPr>
              <w:spacing w:before="40" w:after="40" w:line="240" w:lineRule="auto"/>
              <w:jc w:val="right"/>
              <w:rPr>
                <w:b/>
                <w:i/>
                <w:sz w:val="19"/>
                <w:szCs w:val="19"/>
              </w:rPr>
            </w:pPr>
          </w:p>
        </w:tc>
      </w:tr>
      <w:tr w:rsidR="0071398C" w:rsidRPr="00577057" w14:paraId="692DFDF9" w14:textId="77777777" w:rsidTr="0071398C">
        <w:tc>
          <w:tcPr>
            <w:tcW w:w="1368" w:type="dxa"/>
            <w:vMerge w:val="restart"/>
            <w:textDirection w:val="btLr"/>
            <w:vAlign w:val="center"/>
          </w:tcPr>
          <w:p w14:paraId="692DFDF6" w14:textId="77777777" w:rsidR="0071398C" w:rsidRPr="004D437A" w:rsidRDefault="0071398C" w:rsidP="003419FD">
            <w:pPr>
              <w:spacing w:before="40" w:after="40" w:line="240" w:lineRule="auto"/>
              <w:ind w:left="113" w:right="113"/>
              <w:jc w:val="center"/>
              <w:rPr>
                <w:b/>
                <w:sz w:val="19"/>
                <w:szCs w:val="19"/>
              </w:rPr>
            </w:pPr>
            <w:r w:rsidRPr="004D437A">
              <w:rPr>
                <w:b/>
                <w:sz w:val="19"/>
                <w:szCs w:val="19"/>
              </w:rPr>
              <w:t>Academic and program success</w:t>
            </w:r>
          </w:p>
        </w:tc>
        <w:tc>
          <w:tcPr>
            <w:tcW w:w="7380" w:type="dxa"/>
            <w:gridSpan w:val="2"/>
          </w:tcPr>
          <w:p w14:paraId="692DFDF7" w14:textId="77777777" w:rsidR="0071398C" w:rsidRPr="004D437A" w:rsidRDefault="0071398C" w:rsidP="0071398C">
            <w:pPr>
              <w:pStyle w:val="ListParagraph"/>
              <w:numPr>
                <w:ilvl w:val="0"/>
                <w:numId w:val="14"/>
              </w:numPr>
              <w:spacing w:before="40" w:after="40" w:line="240" w:lineRule="auto"/>
              <w:contextualSpacing w:val="0"/>
              <w:rPr>
                <w:sz w:val="19"/>
                <w:szCs w:val="19"/>
              </w:rPr>
            </w:pPr>
            <w:r w:rsidRPr="004D437A">
              <w:rPr>
                <w:b/>
                <w:sz w:val="19"/>
                <w:szCs w:val="19"/>
              </w:rPr>
              <w:t>Student performance</w:t>
            </w:r>
            <w:r w:rsidRPr="004D437A">
              <w:rPr>
                <w:sz w:val="19"/>
                <w:szCs w:val="19"/>
              </w:rPr>
              <w:t>: The school consistently meets state student performance standards for academic growth, proficiency, and college and career readiness</w:t>
            </w:r>
          </w:p>
        </w:tc>
        <w:tc>
          <w:tcPr>
            <w:tcW w:w="828" w:type="dxa"/>
          </w:tcPr>
          <w:p w14:paraId="692DFDF8" w14:textId="77777777" w:rsidR="0071398C" w:rsidRPr="00CC107E" w:rsidRDefault="0071398C" w:rsidP="003419FD">
            <w:pPr>
              <w:spacing w:before="40" w:after="40" w:line="240" w:lineRule="auto"/>
              <w:jc w:val="right"/>
              <w:rPr>
                <w:b/>
                <w:i/>
                <w:sz w:val="19"/>
                <w:szCs w:val="19"/>
              </w:rPr>
            </w:pPr>
          </w:p>
        </w:tc>
      </w:tr>
      <w:tr w:rsidR="0071398C" w:rsidRPr="00577057" w14:paraId="692DFDFE" w14:textId="77777777" w:rsidTr="0071398C">
        <w:trPr>
          <w:trHeight w:val="98"/>
        </w:trPr>
        <w:tc>
          <w:tcPr>
            <w:tcW w:w="1368" w:type="dxa"/>
            <w:vMerge/>
          </w:tcPr>
          <w:p w14:paraId="692DFDFA" w14:textId="77777777" w:rsidR="0071398C" w:rsidRPr="004D437A" w:rsidRDefault="0071398C" w:rsidP="003419FD">
            <w:pPr>
              <w:spacing w:before="40" w:after="40" w:line="240" w:lineRule="auto"/>
              <w:ind w:left="113" w:right="113"/>
              <w:jc w:val="center"/>
              <w:rPr>
                <w:b/>
                <w:sz w:val="19"/>
                <w:szCs w:val="19"/>
              </w:rPr>
            </w:pPr>
          </w:p>
        </w:tc>
        <w:tc>
          <w:tcPr>
            <w:tcW w:w="4154" w:type="dxa"/>
            <w:vMerge w:val="restart"/>
          </w:tcPr>
          <w:p w14:paraId="692DFDFB" w14:textId="77777777" w:rsidR="0071398C" w:rsidRPr="004D437A" w:rsidRDefault="0071398C" w:rsidP="0071398C">
            <w:pPr>
              <w:pStyle w:val="ListParagraph"/>
              <w:numPr>
                <w:ilvl w:val="0"/>
                <w:numId w:val="14"/>
              </w:numPr>
              <w:spacing w:before="40" w:after="40" w:line="240" w:lineRule="auto"/>
              <w:contextualSpacing w:val="0"/>
              <w:rPr>
                <w:sz w:val="19"/>
                <w:szCs w:val="19"/>
              </w:rPr>
            </w:pPr>
            <w:r w:rsidRPr="004D437A">
              <w:rPr>
                <w:b/>
                <w:sz w:val="19"/>
                <w:szCs w:val="19"/>
              </w:rPr>
              <w:t>Program delivery</w:t>
            </w:r>
            <w:r w:rsidRPr="004D437A">
              <w:rPr>
                <w:sz w:val="19"/>
                <w:szCs w:val="19"/>
              </w:rPr>
              <w:t>: The school delivers an academic program that delivers improved academic outcomes and educational success for all students</w:t>
            </w:r>
          </w:p>
        </w:tc>
        <w:tc>
          <w:tcPr>
            <w:tcW w:w="3226" w:type="dxa"/>
            <w:vAlign w:val="center"/>
          </w:tcPr>
          <w:p w14:paraId="692DFDFC" w14:textId="77777777" w:rsidR="0071398C" w:rsidRPr="004D437A" w:rsidRDefault="0071398C" w:rsidP="003419FD">
            <w:pPr>
              <w:spacing w:before="40" w:after="40" w:line="240" w:lineRule="auto"/>
              <w:rPr>
                <w:b/>
                <w:sz w:val="19"/>
                <w:szCs w:val="19"/>
              </w:rPr>
            </w:pPr>
            <w:r w:rsidRPr="004D437A">
              <w:rPr>
                <w:b/>
                <w:sz w:val="19"/>
                <w:szCs w:val="19"/>
              </w:rPr>
              <w:t>Curriculum</w:t>
            </w:r>
          </w:p>
        </w:tc>
        <w:tc>
          <w:tcPr>
            <w:tcW w:w="828" w:type="dxa"/>
          </w:tcPr>
          <w:p w14:paraId="692DFDFD" w14:textId="77777777" w:rsidR="0071398C" w:rsidRPr="00CC107E" w:rsidRDefault="0071398C" w:rsidP="003419FD">
            <w:pPr>
              <w:spacing w:before="40" w:after="40" w:line="240" w:lineRule="auto"/>
              <w:jc w:val="right"/>
              <w:rPr>
                <w:b/>
                <w:i/>
                <w:sz w:val="19"/>
                <w:szCs w:val="19"/>
              </w:rPr>
            </w:pPr>
          </w:p>
        </w:tc>
      </w:tr>
      <w:tr w:rsidR="0071398C" w:rsidRPr="00577057" w14:paraId="692DFE03" w14:textId="77777777" w:rsidTr="0071398C">
        <w:trPr>
          <w:trHeight w:val="50"/>
        </w:trPr>
        <w:tc>
          <w:tcPr>
            <w:tcW w:w="1368" w:type="dxa"/>
            <w:vMerge/>
          </w:tcPr>
          <w:p w14:paraId="692DFDFF" w14:textId="77777777" w:rsidR="0071398C" w:rsidRPr="004D437A" w:rsidRDefault="0071398C" w:rsidP="003419FD">
            <w:pPr>
              <w:spacing w:before="40" w:after="40" w:line="240" w:lineRule="auto"/>
              <w:ind w:left="113" w:right="113"/>
              <w:jc w:val="center"/>
              <w:rPr>
                <w:b/>
                <w:sz w:val="19"/>
                <w:szCs w:val="19"/>
              </w:rPr>
            </w:pPr>
          </w:p>
        </w:tc>
        <w:tc>
          <w:tcPr>
            <w:tcW w:w="4154" w:type="dxa"/>
            <w:vMerge/>
          </w:tcPr>
          <w:p w14:paraId="692DFE00" w14:textId="77777777" w:rsidR="0071398C" w:rsidRPr="004D437A" w:rsidRDefault="0071398C" w:rsidP="0071398C">
            <w:pPr>
              <w:pStyle w:val="ListParagraph"/>
              <w:numPr>
                <w:ilvl w:val="0"/>
                <w:numId w:val="14"/>
              </w:numPr>
              <w:spacing w:before="40" w:after="40" w:line="240" w:lineRule="auto"/>
              <w:contextualSpacing w:val="0"/>
              <w:rPr>
                <w:b/>
                <w:sz w:val="19"/>
                <w:szCs w:val="19"/>
              </w:rPr>
            </w:pPr>
          </w:p>
        </w:tc>
        <w:tc>
          <w:tcPr>
            <w:tcW w:w="3226" w:type="dxa"/>
            <w:vAlign w:val="center"/>
          </w:tcPr>
          <w:p w14:paraId="692DFE01" w14:textId="77777777" w:rsidR="0071398C" w:rsidRPr="004D437A" w:rsidRDefault="0071398C" w:rsidP="003419FD">
            <w:pPr>
              <w:spacing w:before="40" w:after="40" w:line="240" w:lineRule="auto"/>
              <w:rPr>
                <w:b/>
                <w:sz w:val="19"/>
                <w:szCs w:val="19"/>
              </w:rPr>
            </w:pPr>
            <w:r w:rsidRPr="004D437A">
              <w:rPr>
                <w:b/>
                <w:sz w:val="19"/>
                <w:szCs w:val="19"/>
              </w:rPr>
              <w:t>Instruction</w:t>
            </w:r>
          </w:p>
        </w:tc>
        <w:tc>
          <w:tcPr>
            <w:tcW w:w="828" w:type="dxa"/>
          </w:tcPr>
          <w:p w14:paraId="692DFE02" w14:textId="77777777" w:rsidR="0071398C" w:rsidRPr="00CC107E" w:rsidRDefault="0071398C" w:rsidP="003419FD">
            <w:pPr>
              <w:spacing w:before="40" w:after="40" w:line="240" w:lineRule="auto"/>
              <w:jc w:val="right"/>
              <w:rPr>
                <w:b/>
                <w:i/>
                <w:sz w:val="19"/>
                <w:szCs w:val="19"/>
              </w:rPr>
            </w:pPr>
          </w:p>
        </w:tc>
      </w:tr>
      <w:tr w:rsidR="0071398C" w:rsidRPr="00577057" w14:paraId="692DFE08" w14:textId="77777777" w:rsidTr="0071398C">
        <w:trPr>
          <w:trHeight w:val="50"/>
        </w:trPr>
        <w:tc>
          <w:tcPr>
            <w:tcW w:w="1368" w:type="dxa"/>
            <w:vMerge/>
          </w:tcPr>
          <w:p w14:paraId="692DFE04" w14:textId="77777777" w:rsidR="0071398C" w:rsidRPr="004D437A" w:rsidRDefault="0071398C" w:rsidP="003419FD">
            <w:pPr>
              <w:spacing w:before="40" w:after="40" w:line="240" w:lineRule="auto"/>
              <w:ind w:left="113" w:right="113"/>
              <w:jc w:val="center"/>
              <w:rPr>
                <w:b/>
                <w:sz w:val="19"/>
                <w:szCs w:val="19"/>
              </w:rPr>
            </w:pPr>
          </w:p>
        </w:tc>
        <w:tc>
          <w:tcPr>
            <w:tcW w:w="4154" w:type="dxa"/>
            <w:vMerge/>
          </w:tcPr>
          <w:p w14:paraId="692DFE05" w14:textId="77777777" w:rsidR="0071398C" w:rsidRPr="004D437A" w:rsidRDefault="0071398C" w:rsidP="0071398C">
            <w:pPr>
              <w:pStyle w:val="ListParagraph"/>
              <w:numPr>
                <w:ilvl w:val="0"/>
                <w:numId w:val="14"/>
              </w:numPr>
              <w:spacing w:before="40" w:after="40" w:line="240" w:lineRule="auto"/>
              <w:contextualSpacing w:val="0"/>
              <w:rPr>
                <w:b/>
                <w:sz w:val="19"/>
                <w:szCs w:val="19"/>
              </w:rPr>
            </w:pPr>
          </w:p>
        </w:tc>
        <w:tc>
          <w:tcPr>
            <w:tcW w:w="3226" w:type="dxa"/>
            <w:vAlign w:val="center"/>
          </w:tcPr>
          <w:p w14:paraId="692DFE06" w14:textId="77777777" w:rsidR="0071398C" w:rsidRPr="004D437A" w:rsidRDefault="0071398C" w:rsidP="003419FD">
            <w:pPr>
              <w:spacing w:before="40" w:after="40" w:line="240" w:lineRule="auto"/>
              <w:rPr>
                <w:b/>
                <w:sz w:val="19"/>
                <w:szCs w:val="19"/>
              </w:rPr>
            </w:pPr>
            <w:r w:rsidRPr="004D437A">
              <w:rPr>
                <w:b/>
                <w:sz w:val="19"/>
                <w:szCs w:val="19"/>
              </w:rPr>
              <w:t>Assessment and program evaluation</w:t>
            </w:r>
          </w:p>
        </w:tc>
        <w:tc>
          <w:tcPr>
            <w:tcW w:w="828" w:type="dxa"/>
          </w:tcPr>
          <w:p w14:paraId="692DFE07" w14:textId="77777777" w:rsidR="0071398C" w:rsidRPr="00CC107E" w:rsidRDefault="0071398C" w:rsidP="003419FD">
            <w:pPr>
              <w:spacing w:before="40" w:after="40" w:line="240" w:lineRule="auto"/>
              <w:jc w:val="right"/>
              <w:rPr>
                <w:b/>
                <w:i/>
                <w:sz w:val="19"/>
                <w:szCs w:val="19"/>
              </w:rPr>
            </w:pPr>
          </w:p>
        </w:tc>
      </w:tr>
      <w:tr w:rsidR="0071398C" w:rsidRPr="00577057" w14:paraId="692DFE0D" w14:textId="77777777" w:rsidTr="0071398C">
        <w:trPr>
          <w:trHeight w:val="50"/>
        </w:trPr>
        <w:tc>
          <w:tcPr>
            <w:tcW w:w="1368" w:type="dxa"/>
            <w:vMerge/>
          </w:tcPr>
          <w:p w14:paraId="692DFE09" w14:textId="77777777" w:rsidR="0071398C" w:rsidRPr="004D437A" w:rsidRDefault="0071398C" w:rsidP="003419FD">
            <w:pPr>
              <w:spacing w:before="40" w:after="40" w:line="240" w:lineRule="auto"/>
              <w:ind w:left="113" w:right="113"/>
              <w:jc w:val="center"/>
              <w:rPr>
                <w:b/>
                <w:sz w:val="19"/>
                <w:szCs w:val="19"/>
              </w:rPr>
            </w:pPr>
          </w:p>
        </w:tc>
        <w:tc>
          <w:tcPr>
            <w:tcW w:w="4154" w:type="dxa"/>
            <w:vMerge/>
          </w:tcPr>
          <w:p w14:paraId="692DFE0A" w14:textId="77777777" w:rsidR="0071398C" w:rsidRPr="004D437A" w:rsidRDefault="0071398C" w:rsidP="0071398C">
            <w:pPr>
              <w:pStyle w:val="ListParagraph"/>
              <w:numPr>
                <w:ilvl w:val="0"/>
                <w:numId w:val="14"/>
              </w:numPr>
              <w:spacing w:before="40" w:after="40" w:line="240" w:lineRule="auto"/>
              <w:contextualSpacing w:val="0"/>
              <w:rPr>
                <w:b/>
                <w:sz w:val="19"/>
                <w:szCs w:val="19"/>
              </w:rPr>
            </w:pPr>
          </w:p>
        </w:tc>
        <w:tc>
          <w:tcPr>
            <w:tcW w:w="3226" w:type="dxa"/>
            <w:vAlign w:val="center"/>
          </w:tcPr>
          <w:p w14:paraId="692DFE0B" w14:textId="77777777" w:rsidR="0071398C" w:rsidRPr="004D437A" w:rsidRDefault="0071398C" w:rsidP="003419FD">
            <w:pPr>
              <w:spacing w:before="40" w:after="40" w:line="240" w:lineRule="auto"/>
              <w:rPr>
                <w:b/>
                <w:sz w:val="19"/>
                <w:szCs w:val="19"/>
              </w:rPr>
            </w:pPr>
            <w:r w:rsidRPr="004D437A">
              <w:rPr>
                <w:b/>
                <w:sz w:val="19"/>
                <w:szCs w:val="19"/>
              </w:rPr>
              <w:t>Diverse learners</w:t>
            </w:r>
          </w:p>
        </w:tc>
        <w:tc>
          <w:tcPr>
            <w:tcW w:w="828" w:type="dxa"/>
          </w:tcPr>
          <w:p w14:paraId="692DFE0C" w14:textId="77777777" w:rsidR="0071398C" w:rsidRPr="00CC107E" w:rsidRDefault="0071398C" w:rsidP="003419FD">
            <w:pPr>
              <w:spacing w:before="40" w:after="40" w:line="240" w:lineRule="auto"/>
              <w:jc w:val="right"/>
              <w:rPr>
                <w:b/>
                <w:i/>
                <w:sz w:val="19"/>
                <w:szCs w:val="19"/>
              </w:rPr>
            </w:pPr>
          </w:p>
        </w:tc>
      </w:tr>
      <w:tr w:rsidR="0071398C" w:rsidRPr="00577057" w14:paraId="692DFE12" w14:textId="77777777" w:rsidTr="0071398C">
        <w:trPr>
          <w:trHeight w:val="566"/>
        </w:trPr>
        <w:tc>
          <w:tcPr>
            <w:tcW w:w="1368" w:type="dxa"/>
            <w:vMerge/>
          </w:tcPr>
          <w:p w14:paraId="692DFE0E" w14:textId="77777777" w:rsidR="0071398C" w:rsidRPr="004D437A" w:rsidRDefault="0071398C" w:rsidP="003419FD">
            <w:pPr>
              <w:spacing w:before="40" w:after="40" w:line="240" w:lineRule="auto"/>
              <w:ind w:left="113" w:right="113"/>
              <w:jc w:val="center"/>
              <w:rPr>
                <w:b/>
                <w:sz w:val="19"/>
                <w:szCs w:val="19"/>
              </w:rPr>
            </w:pPr>
          </w:p>
        </w:tc>
        <w:tc>
          <w:tcPr>
            <w:tcW w:w="4154" w:type="dxa"/>
            <w:vMerge w:val="restart"/>
          </w:tcPr>
          <w:p w14:paraId="692DFE0F" w14:textId="77777777" w:rsidR="0071398C" w:rsidRPr="004D437A" w:rsidRDefault="0071398C" w:rsidP="0071398C">
            <w:pPr>
              <w:pStyle w:val="ListParagraph"/>
              <w:numPr>
                <w:ilvl w:val="0"/>
                <w:numId w:val="14"/>
              </w:numPr>
              <w:spacing w:before="40" w:after="40" w:line="240" w:lineRule="auto"/>
              <w:contextualSpacing w:val="0"/>
              <w:rPr>
                <w:sz w:val="19"/>
                <w:szCs w:val="19"/>
              </w:rPr>
            </w:pPr>
            <w:r w:rsidRPr="004D437A">
              <w:rPr>
                <w:b/>
                <w:sz w:val="19"/>
                <w:szCs w:val="19"/>
              </w:rPr>
              <w:t xml:space="preserve">Culture and family engagement: </w:t>
            </w:r>
            <w:r w:rsidRPr="004D437A">
              <w:rPr>
                <w:sz w:val="19"/>
                <w:szCs w:val="19"/>
              </w:rPr>
              <w:t>The school supports students’ social and emotional health in a safe and respectful learning environment that engages families</w:t>
            </w:r>
          </w:p>
        </w:tc>
        <w:tc>
          <w:tcPr>
            <w:tcW w:w="3226" w:type="dxa"/>
            <w:vAlign w:val="center"/>
          </w:tcPr>
          <w:p w14:paraId="692DFE10" w14:textId="77777777" w:rsidR="0071398C" w:rsidRPr="004D437A" w:rsidRDefault="0071398C" w:rsidP="003419FD">
            <w:pPr>
              <w:spacing w:before="40" w:after="40" w:line="240" w:lineRule="auto"/>
              <w:rPr>
                <w:b/>
                <w:sz w:val="19"/>
                <w:szCs w:val="19"/>
              </w:rPr>
            </w:pPr>
            <w:r w:rsidRPr="004D437A">
              <w:rPr>
                <w:b/>
                <w:sz w:val="19"/>
                <w:szCs w:val="19"/>
              </w:rPr>
              <w:t>Social, emotional, and health needs</w:t>
            </w:r>
          </w:p>
        </w:tc>
        <w:tc>
          <w:tcPr>
            <w:tcW w:w="828" w:type="dxa"/>
          </w:tcPr>
          <w:p w14:paraId="692DFE11" w14:textId="77777777" w:rsidR="0071398C" w:rsidRPr="00CC107E" w:rsidRDefault="0071398C" w:rsidP="003419FD">
            <w:pPr>
              <w:spacing w:before="40" w:after="40" w:line="240" w:lineRule="auto"/>
              <w:jc w:val="right"/>
              <w:rPr>
                <w:b/>
                <w:i/>
                <w:sz w:val="19"/>
                <w:szCs w:val="19"/>
              </w:rPr>
            </w:pPr>
          </w:p>
        </w:tc>
      </w:tr>
      <w:tr w:rsidR="0071398C" w:rsidRPr="00577057" w14:paraId="692DFE17" w14:textId="77777777" w:rsidTr="0071398C">
        <w:trPr>
          <w:trHeight w:val="380"/>
        </w:trPr>
        <w:tc>
          <w:tcPr>
            <w:tcW w:w="1368" w:type="dxa"/>
            <w:vMerge/>
          </w:tcPr>
          <w:p w14:paraId="692DFE13" w14:textId="77777777" w:rsidR="0071398C" w:rsidRPr="004D437A" w:rsidRDefault="0071398C" w:rsidP="003419FD">
            <w:pPr>
              <w:spacing w:before="40" w:after="40"/>
              <w:ind w:left="113" w:right="113"/>
              <w:jc w:val="center"/>
              <w:rPr>
                <w:b/>
                <w:sz w:val="19"/>
                <w:szCs w:val="19"/>
              </w:rPr>
            </w:pPr>
          </w:p>
        </w:tc>
        <w:tc>
          <w:tcPr>
            <w:tcW w:w="4154" w:type="dxa"/>
            <w:vMerge/>
          </w:tcPr>
          <w:p w14:paraId="692DFE14" w14:textId="77777777" w:rsidR="0071398C" w:rsidRPr="004D437A" w:rsidRDefault="0071398C" w:rsidP="0071398C">
            <w:pPr>
              <w:pStyle w:val="ListParagraph"/>
              <w:numPr>
                <w:ilvl w:val="0"/>
                <w:numId w:val="14"/>
              </w:numPr>
              <w:spacing w:before="40" w:after="40" w:line="240" w:lineRule="auto"/>
              <w:contextualSpacing w:val="0"/>
              <w:rPr>
                <w:sz w:val="19"/>
                <w:szCs w:val="19"/>
              </w:rPr>
            </w:pPr>
          </w:p>
        </w:tc>
        <w:tc>
          <w:tcPr>
            <w:tcW w:w="3226" w:type="dxa"/>
            <w:vAlign w:val="center"/>
          </w:tcPr>
          <w:p w14:paraId="692DFE15" w14:textId="77777777" w:rsidR="0071398C" w:rsidRPr="004D437A" w:rsidRDefault="0071398C" w:rsidP="003419FD">
            <w:pPr>
              <w:spacing w:before="40" w:after="40" w:line="240" w:lineRule="auto"/>
              <w:rPr>
                <w:b/>
                <w:sz w:val="19"/>
                <w:szCs w:val="19"/>
              </w:rPr>
            </w:pPr>
            <w:r w:rsidRPr="004D437A">
              <w:rPr>
                <w:b/>
                <w:sz w:val="19"/>
                <w:szCs w:val="19"/>
              </w:rPr>
              <w:t xml:space="preserve">Family </w:t>
            </w:r>
            <w:r>
              <w:rPr>
                <w:b/>
                <w:sz w:val="19"/>
                <w:szCs w:val="19"/>
              </w:rPr>
              <w:t xml:space="preserve">and community </w:t>
            </w:r>
            <w:r w:rsidRPr="004D437A">
              <w:rPr>
                <w:b/>
                <w:sz w:val="19"/>
                <w:szCs w:val="19"/>
              </w:rPr>
              <w:t>engagement</w:t>
            </w:r>
          </w:p>
        </w:tc>
        <w:tc>
          <w:tcPr>
            <w:tcW w:w="828" w:type="dxa"/>
          </w:tcPr>
          <w:p w14:paraId="692DFE16" w14:textId="77777777" w:rsidR="0071398C" w:rsidRPr="00CC107E" w:rsidRDefault="0071398C" w:rsidP="003419FD">
            <w:pPr>
              <w:spacing w:before="40" w:after="40" w:line="240" w:lineRule="auto"/>
              <w:jc w:val="right"/>
              <w:rPr>
                <w:b/>
                <w:i/>
                <w:sz w:val="19"/>
                <w:szCs w:val="19"/>
              </w:rPr>
            </w:pPr>
          </w:p>
        </w:tc>
      </w:tr>
      <w:tr w:rsidR="0071398C" w:rsidRPr="00577057" w14:paraId="692DFE1C" w14:textId="77777777" w:rsidTr="0071398C">
        <w:trPr>
          <w:trHeight w:val="42"/>
        </w:trPr>
        <w:tc>
          <w:tcPr>
            <w:tcW w:w="1368" w:type="dxa"/>
            <w:vMerge w:val="restart"/>
            <w:textDirection w:val="btLr"/>
            <w:vAlign w:val="center"/>
          </w:tcPr>
          <w:p w14:paraId="692DFE18" w14:textId="77777777" w:rsidR="0071398C" w:rsidRPr="004D437A" w:rsidRDefault="0071398C" w:rsidP="003419FD">
            <w:pPr>
              <w:spacing w:before="40" w:after="40" w:line="240" w:lineRule="auto"/>
              <w:ind w:left="113" w:right="113"/>
              <w:jc w:val="center"/>
              <w:rPr>
                <w:b/>
                <w:sz w:val="19"/>
                <w:szCs w:val="19"/>
              </w:rPr>
            </w:pPr>
            <w:r w:rsidRPr="004D437A">
              <w:rPr>
                <w:b/>
                <w:sz w:val="19"/>
                <w:szCs w:val="19"/>
              </w:rPr>
              <w:t>Organizational viability</w:t>
            </w:r>
          </w:p>
        </w:tc>
        <w:tc>
          <w:tcPr>
            <w:tcW w:w="4154" w:type="dxa"/>
            <w:vMerge w:val="restart"/>
          </w:tcPr>
          <w:p w14:paraId="692DFE19" w14:textId="77777777" w:rsidR="0071398C" w:rsidRPr="004D437A" w:rsidRDefault="0071398C" w:rsidP="0071398C">
            <w:pPr>
              <w:pStyle w:val="ListParagraph"/>
              <w:numPr>
                <w:ilvl w:val="0"/>
                <w:numId w:val="14"/>
              </w:numPr>
              <w:spacing w:before="40" w:after="40" w:line="240" w:lineRule="auto"/>
              <w:contextualSpacing w:val="0"/>
              <w:rPr>
                <w:sz w:val="19"/>
                <w:szCs w:val="19"/>
              </w:rPr>
            </w:pPr>
            <w:r w:rsidRPr="004D437A">
              <w:rPr>
                <w:b/>
                <w:sz w:val="19"/>
                <w:szCs w:val="19"/>
              </w:rPr>
              <w:t xml:space="preserve">Capacity: </w:t>
            </w:r>
            <w:r w:rsidRPr="004D437A">
              <w:rPr>
                <w:sz w:val="19"/>
                <w:szCs w:val="19"/>
              </w:rPr>
              <w:t>The school sustains a well-functioning organizational structure and creates a professional working climate for all staff</w:t>
            </w:r>
          </w:p>
        </w:tc>
        <w:tc>
          <w:tcPr>
            <w:tcW w:w="3226" w:type="dxa"/>
            <w:vAlign w:val="center"/>
          </w:tcPr>
          <w:p w14:paraId="692DFE1A" w14:textId="77777777" w:rsidR="0071398C" w:rsidRPr="004D437A" w:rsidRDefault="0071398C" w:rsidP="003419FD">
            <w:pPr>
              <w:spacing w:before="40" w:after="40" w:line="240" w:lineRule="auto"/>
              <w:rPr>
                <w:b/>
                <w:sz w:val="19"/>
                <w:szCs w:val="19"/>
              </w:rPr>
            </w:pPr>
            <w:r w:rsidRPr="004D437A">
              <w:rPr>
                <w:b/>
                <w:sz w:val="19"/>
                <w:szCs w:val="19"/>
              </w:rPr>
              <w:t>School leadership</w:t>
            </w:r>
          </w:p>
        </w:tc>
        <w:tc>
          <w:tcPr>
            <w:tcW w:w="828" w:type="dxa"/>
          </w:tcPr>
          <w:p w14:paraId="692DFE1B" w14:textId="77777777" w:rsidR="0071398C" w:rsidRPr="00CC107E" w:rsidRDefault="0071398C" w:rsidP="003419FD">
            <w:pPr>
              <w:spacing w:before="40" w:after="40" w:line="240" w:lineRule="auto"/>
              <w:jc w:val="right"/>
              <w:rPr>
                <w:b/>
                <w:i/>
                <w:sz w:val="19"/>
                <w:szCs w:val="19"/>
              </w:rPr>
            </w:pPr>
          </w:p>
        </w:tc>
      </w:tr>
      <w:tr w:rsidR="0071398C" w:rsidRPr="00577057" w14:paraId="692DFE21" w14:textId="77777777" w:rsidTr="0071398C">
        <w:trPr>
          <w:trHeight w:val="42"/>
        </w:trPr>
        <w:tc>
          <w:tcPr>
            <w:tcW w:w="1368" w:type="dxa"/>
            <w:vMerge/>
            <w:textDirection w:val="btLr"/>
            <w:vAlign w:val="center"/>
          </w:tcPr>
          <w:p w14:paraId="692DFE1D" w14:textId="77777777" w:rsidR="0071398C" w:rsidRPr="004D437A" w:rsidRDefault="0071398C" w:rsidP="003419FD">
            <w:pPr>
              <w:spacing w:before="40" w:after="40"/>
              <w:ind w:left="113" w:right="113"/>
              <w:jc w:val="center"/>
              <w:rPr>
                <w:b/>
                <w:sz w:val="19"/>
                <w:szCs w:val="19"/>
              </w:rPr>
            </w:pPr>
          </w:p>
        </w:tc>
        <w:tc>
          <w:tcPr>
            <w:tcW w:w="4154" w:type="dxa"/>
            <w:vMerge/>
          </w:tcPr>
          <w:p w14:paraId="692DFE1E" w14:textId="77777777" w:rsidR="0071398C" w:rsidRPr="004D437A" w:rsidRDefault="0071398C" w:rsidP="0071398C">
            <w:pPr>
              <w:pStyle w:val="ListParagraph"/>
              <w:numPr>
                <w:ilvl w:val="0"/>
                <w:numId w:val="14"/>
              </w:numPr>
              <w:spacing w:before="40" w:after="40" w:line="240" w:lineRule="auto"/>
              <w:contextualSpacing w:val="0"/>
              <w:rPr>
                <w:sz w:val="19"/>
                <w:szCs w:val="19"/>
              </w:rPr>
            </w:pPr>
          </w:p>
        </w:tc>
        <w:tc>
          <w:tcPr>
            <w:tcW w:w="3226" w:type="dxa"/>
            <w:vAlign w:val="center"/>
          </w:tcPr>
          <w:p w14:paraId="692DFE1F" w14:textId="77777777" w:rsidR="0071398C" w:rsidRPr="004D437A" w:rsidRDefault="0071398C" w:rsidP="003419FD">
            <w:pPr>
              <w:spacing w:before="40" w:after="40" w:line="240" w:lineRule="auto"/>
              <w:rPr>
                <w:b/>
                <w:sz w:val="19"/>
                <w:szCs w:val="19"/>
              </w:rPr>
            </w:pPr>
            <w:r w:rsidRPr="004D437A">
              <w:rPr>
                <w:b/>
                <w:sz w:val="19"/>
                <w:szCs w:val="19"/>
              </w:rPr>
              <w:t>Professional climate</w:t>
            </w:r>
          </w:p>
        </w:tc>
        <w:tc>
          <w:tcPr>
            <w:tcW w:w="828" w:type="dxa"/>
          </w:tcPr>
          <w:p w14:paraId="692DFE20" w14:textId="77777777" w:rsidR="0071398C" w:rsidRPr="00CC107E" w:rsidRDefault="0071398C" w:rsidP="003419FD">
            <w:pPr>
              <w:spacing w:before="40" w:after="40" w:line="240" w:lineRule="auto"/>
              <w:jc w:val="right"/>
              <w:rPr>
                <w:b/>
                <w:i/>
                <w:sz w:val="19"/>
                <w:szCs w:val="19"/>
              </w:rPr>
            </w:pPr>
          </w:p>
        </w:tc>
      </w:tr>
      <w:tr w:rsidR="0071398C" w:rsidRPr="00577057" w14:paraId="692DFE26" w14:textId="77777777" w:rsidTr="0071398C">
        <w:trPr>
          <w:trHeight w:val="42"/>
        </w:trPr>
        <w:tc>
          <w:tcPr>
            <w:tcW w:w="1368" w:type="dxa"/>
            <w:vMerge/>
            <w:textDirection w:val="btLr"/>
            <w:vAlign w:val="center"/>
          </w:tcPr>
          <w:p w14:paraId="692DFE22" w14:textId="77777777" w:rsidR="0071398C" w:rsidRPr="004D437A" w:rsidRDefault="0071398C" w:rsidP="003419FD">
            <w:pPr>
              <w:spacing w:before="40" w:after="40"/>
              <w:ind w:left="113" w:right="113"/>
              <w:jc w:val="center"/>
              <w:rPr>
                <w:b/>
                <w:sz w:val="19"/>
                <w:szCs w:val="19"/>
              </w:rPr>
            </w:pPr>
          </w:p>
        </w:tc>
        <w:tc>
          <w:tcPr>
            <w:tcW w:w="4154" w:type="dxa"/>
            <w:vMerge/>
          </w:tcPr>
          <w:p w14:paraId="692DFE23" w14:textId="77777777" w:rsidR="0071398C" w:rsidRPr="004D437A" w:rsidRDefault="0071398C" w:rsidP="0071398C">
            <w:pPr>
              <w:pStyle w:val="ListParagraph"/>
              <w:numPr>
                <w:ilvl w:val="0"/>
                <w:numId w:val="14"/>
              </w:numPr>
              <w:spacing w:before="40" w:after="40" w:line="240" w:lineRule="auto"/>
              <w:contextualSpacing w:val="0"/>
              <w:rPr>
                <w:sz w:val="19"/>
                <w:szCs w:val="19"/>
              </w:rPr>
            </w:pPr>
          </w:p>
        </w:tc>
        <w:tc>
          <w:tcPr>
            <w:tcW w:w="3226" w:type="dxa"/>
            <w:vAlign w:val="center"/>
          </w:tcPr>
          <w:p w14:paraId="692DFE24" w14:textId="77777777" w:rsidR="0071398C" w:rsidRPr="004D437A" w:rsidRDefault="0071398C" w:rsidP="003419FD">
            <w:pPr>
              <w:spacing w:before="40" w:after="40" w:line="240" w:lineRule="auto"/>
              <w:rPr>
                <w:b/>
                <w:sz w:val="19"/>
                <w:szCs w:val="19"/>
              </w:rPr>
            </w:pPr>
            <w:r w:rsidRPr="004D437A">
              <w:rPr>
                <w:b/>
                <w:sz w:val="19"/>
                <w:szCs w:val="19"/>
              </w:rPr>
              <w:t>Contractual relationships</w:t>
            </w:r>
          </w:p>
        </w:tc>
        <w:tc>
          <w:tcPr>
            <w:tcW w:w="828" w:type="dxa"/>
          </w:tcPr>
          <w:p w14:paraId="692DFE25" w14:textId="77777777" w:rsidR="0071398C" w:rsidRPr="00CC107E" w:rsidRDefault="0071398C" w:rsidP="003419FD">
            <w:pPr>
              <w:spacing w:before="40" w:after="40" w:line="240" w:lineRule="auto"/>
              <w:jc w:val="right"/>
              <w:rPr>
                <w:b/>
                <w:i/>
                <w:sz w:val="19"/>
                <w:szCs w:val="19"/>
              </w:rPr>
            </w:pPr>
          </w:p>
        </w:tc>
      </w:tr>
      <w:tr w:rsidR="0071398C" w:rsidRPr="00577057" w14:paraId="692DFE2A" w14:textId="77777777" w:rsidTr="0071398C">
        <w:tc>
          <w:tcPr>
            <w:tcW w:w="1368" w:type="dxa"/>
            <w:vMerge/>
          </w:tcPr>
          <w:p w14:paraId="692DFE27" w14:textId="77777777" w:rsidR="0071398C" w:rsidRPr="004D437A" w:rsidRDefault="0071398C" w:rsidP="003419FD">
            <w:pPr>
              <w:spacing w:before="40" w:after="40" w:line="240" w:lineRule="auto"/>
              <w:rPr>
                <w:sz w:val="19"/>
                <w:szCs w:val="19"/>
              </w:rPr>
            </w:pPr>
          </w:p>
        </w:tc>
        <w:tc>
          <w:tcPr>
            <w:tcW w:w="7380" w:type="dxa"/>
            <w:gridSpan w:val="2"/>
          </w:tcPr>
          <w:p w14:paraId="692DFE28" w14:textId="77777777" w:rsidR="0071398C" w:rsidRPr="004D437A" w:rsidRDefault="0071398C" w:rsidP="0071398C">
            <w:pPr>
              <w:pStyle w:val="ListParagraph"/>
              <w:numPr>
                <w:ilvl w:val="0"/>
                <w:numId w:val="14"/>
              </w:numPr>
              <w:spacing w:before="40" w:after="40" w:line="240" w:lineRule="auto"/>
              <w:contextualSpacing w:val="0"/>
              <w:rPr>
                <w:sz w:val="19"/>
                <w:szCs w:val="19"/>
              </w:rPr>
            </w:pPr>
            <w:r w:rsidRPr="004D437A">
              <w:rPr>
                <w:b/>
                <w:sz w:val="19"/>
                <w:szCs w:val="19"/>
              </w:rPr>
              <w:t xml:space="preserve">Governance: </w:t>
            </w:r>
            <w:r w:rsidRPr="004D437A">
              <w:rPr>
                <w:sz w:val="19"/>
                <w:szCs w:val="19"/>
              </w:rPr>
              <w:t>The Board of Trustees act as public agents authorized by the state and provide competent governance to ensure the success and sustainability of the school</w:t>
            </w:r>
          </w:p>
        </w:tc>
        <w:tc>
          <w:tcPr>
            <w:tcW w:w="828" w:type="dxa"/>
          </w:tcPr>
          <w:p w14:paraId="692DFE29" w14:textId="77777777" w:rsidR="0071398C" w:rsidRPr="00CC107E" w:rsidRDefault="0071398C" w:rsidP="003419FD">
            <w:pPr>
              <w:spacing w:before="40" w:after="40" w:line="240" w:lineRule="auto"/>
              <w:jc w:val="right"/>
              <w:rPr>
                <w:b/>
                <w:i/>
                <w:sz w:val="19"/>
                <w:szCs w:val="19"/>
              </w:rPr>
            </w:pPr>
          </w:p>
        </w:tc>
      </w:tr>
      <w:tr w:rsidR="0071398C" w:rsidRPr="00577057" w14:paraId="692DFE2E" w14:textId="77777777" w:rsidTr="0071398C">
        <w:tc>
          <w:tcPr>
            <w:tcW w:w="1368" w:type="dxa"/>
            <w:vMerge/>
          </w:tcPr>
          <w:p w14:paraId="692DFE2B" w14:textId="77777777" w:rsidR="0071398C" w:rsidRPr="004D437A" w:rsidRDefault="0071398C" w:rsidP="003419FD">
            <w:pPr>
              <w:spacing w:before="40" w:after="40" w:line="240" w:lineRule="auto"/>
              <w:rPr>
                <w:sz w:val="19"/>
                <w:szCs w:val="19"/>
              </w:rPr>
            </w:pPr>
          </w:p>
        </w:tc>
        <w:tc>
          <w:tcPr>
            <w:tcW w:w="7380" w:type="dxa"/>
            <w:gridSpan w:val="2"/>
          </w:tcPr>
          <w:p w14:paraId="692DFE2C" w14:textId="77777777" w:rsidR="0071398C" w:rsidRPr="004D437A" w:rsidRDefault="0071398C" w:rsidP="0071398C">
            <w:pPr>
              <w:pStyle w:val="ListParagraph"/>
              <w:numPr>
                <w:ilvl w:val="0"/>
                <w:numId w:val="14"/>
              </w:numPr>
              <w:spacing w:before="40" w:after="40" w:line="240" w:lineRule="auto"/>
              <w:contextualSpacing w:val="0"/>
              <w:rPr>
                <w:sz w:val="19"/>
                <w:szCs w:val="19"/>
              </w:rPr>
            </w:pPr>
            <w:r w:rsidRPr="004D437A">
              <w:rPr>
                <w:b/>
                <w:sz w:val="19"/>
                <w:szCs w:val="19"/>
              </w:rPr>
              <w:t xml:space="preserve">Finance: </w:t>
            </w:r>
            <w:r w:rsidRPr="004D437A">
              <w:rPr>
                <w:sz w:val="19"/>
                <w:szCs w:val="19"/>
              </w:rPr>
              <w:t xml:space="preserve">The </w:t>
            </w:r>
            <w:r w:rsidRPr="00A13B2A">
              <w:rPr>
                <w:sz w:val="19"/>
                <w:szCs w:val="19"/>
              </w:rPr>
              <w:t>school</w:t>
            </w:r>
            <w:r w:rsidRPr="004D437A">
              <w:rPr>
                <w:sz w:val="19"/>
                <w:szCs w:val="19"/>
              </w:rPr>
              <w:t xml:space="preserve"> maintains a sound and stable financial condition that operates in a fiscally responsible and publicly accountable manner</w:t>
            </w:r>
          </w:p>
        </w:tc>
        <w:tc>
          <w:tcPr>
            <w:tcW w:w="828" w:type="dxa"/>
          </w:tcPr>
          <w:p w14:paraId="692DFE2D" w14:textId="77777777" w:rsidR="0071398C" w:rsidRPr="00CC107E" w:rsidRDefault="0071398C" w:rsidP="003419FD">
            <w:pPr>
              <w:spacing w:before="40" w:after="40" w:line="240" w:lineRule="auto"/>
              <w:jc w:val="right"/>
              <w:rPr>
                <w:b/>
                <w:i/>
                <w:sz w:val="19"/>
                <w:szCs w:val="19"/>
              </w:rPr>
            </w:pPr>
          </w:p>
        </w:tc>
      </w:tr>
    </w:tbl>
    <w:p w14:paraId="692DFE2F" w14:textId="77777777" w:rsidR="002E3BD6" w:rsidRDefault="002E3BD6" w:rsidP="00487C2C">
      <w:pPr>
        <w:spacing w:before="80" w:after="80"/>
        <w:rPr>
          <w:rFonts w:asciiTheme="minorHAnsi" w:hAnsiTheme="minorHAnsi"/>
          <w:sz w:val="20"/>
        </w:rPr>
      </w:pPr>
    </w:p>
    <w:p w14:paraId="692DFE30" w14:textId="77777777" w:rsidR="0071398C" w:rsidRDefault="0071398C">
      <w:pPr>
        <w:rPr>
          <w:rFonts w:asciiTheme="minorHAnsi" w:hAnsiTheme="minorHAnsi" w:cs="Arial"/>
          <w:b/>
          <w:bCs/>
          <w:kern w:val="32"/>
          <w:sz w:val="28"/>
          <w:szCs w:val="32"/>
        </w:rPr>
      </w:pPr>
      <w:r>
        <w:rPr>
          <w:rFonts w:asciiTheme="minorHAnsi" w:hAnsiTheme="minorHAnsi"/>
          <w:sz w:val="28"/>
        </w:rPr>
        <w:br w:type="page"/>
      </w:r>
    </w:p>
    <w:p w14:paraId="692DFE31" w14:textId="77777777" w:rsidR="00522A11" w:rsidRDefault="00577057" w:rsidP="00577057">
      <w:pPr>
        <w:pStyle w:val="Heading1"/>
        <w:rPr>
          <w:rFonts w:asciiTheme="minorHAnsi" w:hAnsiTheme="minorHAnsi"/>
          <w:sz w:val="28"/>
        </w:rPr>
      </w:pPr>
      <w:bookmarkStart w:id="7" w:name="_Toc398114648"/>
      <w:r w:rsidRPr="000B6354">
        <w:rPr>
          <w:rFonts w:asciiTheme="minorHAnsi" w:hAnsiTheme="minorHAnsi"/>
          <w:sz w:val="28"/>
        </w:rPr>
        <w:lastRenderedPageBreak/>
        <w:t>Faithfulness to certificate</w:t>
      </w:r>
      <w:bookmarkEnd w:id="7"/>
    </w:p>
    <w:p w14:paraId="692DFE32" w14:textId="77777777" w:rsidR="00357A58" w:rsidRPr="00357A58" w:rsidRDefault="0045193F" w:rsidP="008143F7">
      <w:pPr>
        <w:spacing w:before="80" w:after="80"/>
      </w:pPr>
      <w:r>
        <w:rPr>
          <w:rFonts w:asciiTheme="minorHAnsi" w:hAnsiTheme="minorHAnsi"/>
          <w:sz w:val="19"/>
          <w:szCs w:val="19"/>
        </w:rPr>
        <w:t>ESE</w:t>
      </w:r>
      <w:r w:rsidR="00BF62F1" w:rsidRPr="00BF62F1">
        <w:rPr>
          <w:rFonts w:asciiTheme="minorHAnsi" w:hAnsiTheme="minorHAnsi"/>
          <w:sz w:val="19"/>
          <w:szCs w:val="19"/>
        </w:rPr>
        <w:t xml:space="preserve"> will consider a wide body of evidence, which includes, but i</w:t>
      </w:r>
      <w:r>
        <w:rPr>
          <w:rFonts w:asciiTheme="minorHAnsi" w:hAnsiTheme="minorHAnsi"/>
          <w:sz w:val="19"/>
          <w:szCs w:val="19"/>
        </w:rPr>
        <w:t>s not limited to, the following</w:t>
      </w:r>
      <w:r w:rsidR="004D437A" w:rsidRPr="00BF62F1">
        <w:rPr>
          <w:rFonts w:asciiTheme="minorHAnsi" w:hAnsiTheme="minorHAnsi"/>
          <w:sz w:val="19"/>
          <w:szCs w:val="19"/>
        </w:rPr>
        <w:t>:</w:t>
      </w:r>
      <w:r w:rsidR="004D437A">
        <w:rPr>
          <w:rFonts w:asciiTheme="minorHAnsi" w:hAnsiTheme="minorHAnsi"/>
          <w:sz w:val="19"/>
          <w:szCs w:val="19"/>
        </w:rPr>
        <w:t xml:space="preserve"> the school’s original application for a certificate and subsequent amendments (if applicable); annual reports; site visits and accountability reviews; renewal inspection reports; data derived from the Student Information Management System (SIMS) and the Educator Personnel Information Management System (EPIMS); </w:t>
      </w:r>
      <w:r w:rsidR="00BF62F1">
        <w:rPr>
          <w:rFonts w:asciiTheme="minorHAnsi" w:hAnsiTheme="minorHAnsi"/>
          <w:sz w:val="19"/>
          <w:szCs w:val="19"/>
        </w:rPr>
        <w:t xml:space="preserve">accountability plans; recruitment and retention plans; enrollment data; opening procedures activities; Coordinated Program Review Reports and Mid-Cycle Review Reports; complaints received and resolution status; documentation of current Certificate of Occupancy, Health, Safety, and Fire Inspections; the school’s website and promotional materials; and information from interviews, focus groups, and observations of instruction. </w:t>
      </w:r>
    </w:p>
    <w:p w14:paraId="692DFE33" w14:textId="77777777" w:rsidR="00577057" w:rsidRPr="00C8168C" w:rsidRDefault="00577057" w:rsidP="00577057">
      <w:pPr>
        <w:pStyle w:val="Heading3"/>
        <w:numPr>
          <w:ilvl w:val="0"/>
          <w:numId w:val="16"/>
        </w:numPr>
        <w:rPr>
          <w:rFonts w:asciiTheme="minorHAnsi" w:hAnsiTheme="minorHAnsi"/>
        </w:rPr>
      </w:pPr>
      <w:bookmarkStart w:id="8" w:name="_Toc398114649"/>
      <w:r w:rsidRPr="000B6354">
        <w:rPr>
          <w:rFonts w:asciiTheme="minorHAnsi" w:hAnsiTheme="minorHAnsi"/>
          <w:sz w:val="22"/>
        </w:rPr>
        <w:t>Mission and key design elements</w:t>
      </w:r>
      <w:bookmarkEnd w:id="8"/>
    </w:p>
    <w:p w14:paraId="692DFE34" w14:textId="77777777" w:rsidR="00BD2320" w:rsidRPr="00C8168C" w:rsidRDefault="00577057" w:rsidP="00BD2320">
      <w:pPr>
        <w:spacing w:before="80" w:after="80"/>
        <w:ind w:left="360"/>
        <w:rPr>
          <w:rFonts w:asciiTheme="minorHAnsi" w:hAnsiTheme="minorHAnsi" w:cs="Arial"/>
          <w:b/>
          <w:sz w:val="19"/>
          <w:szCs w:val="19"/>
        </w:rPr>
      </w:pPr>
      <w:r w:rsidRPr="00C8168C">
        <w:rPr>
          <w:rFonts w:asciiTheme="minorHAnsi" w:hAnsiTheme="minorHAnsi" w:cs="Arial"/>
          <w:b/>
          <w:sz w:val="19"/>
          <w:szCs w:val="19"/>
        </w:rPr>
        <w:t>The school is faithful to its mission, implements the key design elements outlined in its certificate, and substantially meets its accountability plan goals</w:t>
      </w:r>
    </w:p>
    <w:p w14:paraId="692DFE35" w14:textId="77777777" w:rsidR="00BD2320" w:rsidRPr="00357A58" w:rsidRDefault="00577057" w:rsidP="008143F7">
      <w:pPr>
        <w:spacing w:before="80" w:after="80"/>
        <w:ind w:left="360"/>
        <w:rPr>
          <w:rFonts w:asciiTheme="minorHAnsi" w:hAnsiTheme="minorHAnsi"/>
          <w:b/>
          <w:sz w:val="19"/>
          <w:szCs w:val="19"/>
        </w:rPr>
      </w:pPr>
      <w:r w:rsidRPr="00357A58">
        <w:rPr>
          <w:rFonts w:asciiTheme="minorHAnsi" w:hAnsiTheme="minorHAnsi"/>
          <w:sz w:val="19"/>
          <w:szCs w:val="19"/>
        </w:rPr>
        <w:t>Key indicators include but are not limited to:</w:t>
      </w:r>
    </w:p>
    <w:p w14:paraId="692DFE36" w14:textId="77777777" w:rsidR="00BD2320" w:rsidRPr="00357A58" w:rsidRDefault="00577057" w:rsidP="00DD1BB7">
      <w:pPr>
        <w:pStyle w:val="ListParagraph"/>
        <w:numPr>
          <w:ilvl w:val="1"/>
          <w:numId w:val="18"/>
        </w:numPr>
        <w:spacing w:before="80" w:after="80"/>
        <w:ind w:left="720" w:hanging="360"/>
        <w:contextualSpacing w:val="0"/>
        <w:rPr>
          <w:rFonts w:asciiTheme="minorHAnsi" w:hAnsiTheme="minorHAnsi"/>
          <w:sz w:val="19"/>
          <w:szCs w:val="19"/>
        </w:rPr>
      </w:pPr>
      <w:r w:rsidRPr="00357A58">
        <w:rPr>
          <w:rFonts w:asciiTheme="minorHAnsi" w:hAnsiTheme="minorHAnsi"/>
          <w:sz w:val="19"/>
          <w:szCs w:val="19"/>
        </w:rPr>
        <w:t>School stakeholders share a common and consistent understanding of the school’s mission and key design elements outlined in the certificate. The mission maintains and abides to the faithfulness and to the purpose and values of the school.</w:t>
      </w:r>
    </w:p>
    <w:p w14:paraId="692DFE37" w14:textId="77777777" w:rsidR="00BD2320" w:rsidRPr="00357A58" w:rsidRDefault="00577057" w:rsidP="00DD1BB7">
      <w:pPr>
        <w:pStyle w:val="ListParagraph"/>
        <w:numPr>
          <w:ilvl w:val="1"/>
          <w:numId w:val="18"/>
        </w:numPr>
        <w:spacing w:before="80" w:after="80"/>
        <w:ind w:left="720" w:hanging="360"/>
        <w:contextualSpacing w:val="0"/>
        <w:rPr>
          <w:rFonts w:asciiTheme="minorHAnsi" w:hAnsiTheme="minorHAnsi"/>
          <w:sz w:val="19"/>
          <w:szCs w:val="19"/>
        </w:rPr>
      </w:pPr>
      <w:r w:rsidRPr="00357A58">
        <w:rPr>
          <w:rFonts w:asciiTheme="minorHAnsi" w:hAnsiTheme="minorHAnsi"/>
          <w:sz w:val="19"/>
          <w:szCs w:val="19"/>
        </w:rPr>
        <w:t xml:space="preserve">The school has fully implemented the key design elements in the approved certificate and any subsequently approved amendments. </w:t>
      </w:r>
    </w:p>
    <w:p w14:paraId="692DFE38" w14:textId="77777777" w:rsidR="00BD2320" w:rsidRPr="00357A58" w:rsidRDefault="00577057" w:rsidP="00DD1BB7">
      <w:pPr>
        <w:pStyle w:val="ListParagraph"/>
        <w:numPr>
          <w:ilvl w:val="1"/>
          <w:numId w:val="18"/>
        </w:numPr>
        <w:spacing w:before="80" w:after="80"/>
        <w:ind w:left="720" w:hanging="360"/>
        <w:contextualSpacing w:val="0"/>
        <w:rPr>
          <w:rFonts w:asciiTheme="minorHAnsi" w:hAnsiTheme="minorHAnsi"/>
          <w:sz w:val="19"/>
          <w:szCs w:val="19"/>
        </w:rPr>
      </w:pPr>
      <w:r w:rsidRPr="00357A58">
        <w:rPr>
          <w:rFonts w:asciiTheme="minorHAnsi" w:hAnsiTheme="minorHAnsi"/>
          <w:sz w:val="19"/>
          <w:szCs w:val="19"/>
        </w:rPr>
        <w:t>School stakeholders continually deepen and develop a common and consistent understanding of the school</w:t>
      </w:r>
      <w:r w:rsidR="007F3EEE" w:rsidRPr="00357A58">
        <w:rPr>
          <w:rFonts w:asciiTheme="minorHAnsi" w:hAnsiTheme="minorHAnsi"/>
          <w:sz w:val="19"/>
          <w:szCs w:val="19"/>
        </w:rPr>
        <w:t>’</w:t>
      </w:r>
      <w:r w:rsidRPr="00357A58">
        <w:rPr>
          <w:rFonts w:asciiTheme="minorHAnsi" w:hAnsiTheme="minorHAnsi"/>
          <w:sz w:val="19"/>
          <w:szCs w:val="19"/>
        </w:rPr>
        <w:t>s mission, educational goals</w:t>
      </w:r>
      <w:r w:rsidR="007F3EEE" w:rsidRPr="00357A58">
        <w:rPr>
          <w:rFonts w:asciiTheme="minorHAnsi" w:hAnsiTheme="minorHAnsi"/>
          <w:sz w:val="19"/>
          <w:szCs w:val="19"/>
        </w:rPr>
        <w:t>,</w:t>
      </w:r>
      <w:r w:rsidRPr="00357A58">
        <w:rPr>
          <w:rFonts w:asciiTheme="minorHAnsi" w:hAnsiTheme="minorHAnsi"/>
          <w:sz w:val="19"/>
          <w:szCs w:val="19"/>
        </w:rPr>
        <w:t xml:space="preserve"> and key design elements in the certificate.</w:t>
      </w:r>
    </w:p>
    <w:p w14:paraId="692DFE39" w14:textId="77777777" w:rsidR="00577057" w:rsidRPr="00BD2320" w:rsidRDefault="00577057" w:rsidP="00DD1BB7">
      <w:pPr>
        <w:pStyle w:val="ListParagraph"/>
        <w:numPr>
          <w:ilvl w:val="1"/>
          <w:numId w:val="18"/>
        </w:numPr>
        <w:spacing w:before="80" w:after="80"/>
        <w:ind w:left="720" w:hanging="360"/>
        <w:contextualSpacing w:val="0"/>
        <w:rPr>
          <w:rFonts w:asciiTheme="minorHAnsi" w:hAnsiTheme="minorHAnsi"/>
          <w:b/>
          <w:sz w:val="20"/>
        </w:rPr>
      </w:pPr>
      <w:r w:rsidRPr="00357A58">
        <w:rPr>
          <w:rFonts w:asciiTheme="minorHAnsi" w:hAnsiTheme="minorHAnsi"/>
          <w:sz w:val="19"/>
          <w:szCs w:val="19"/>
        </w:rPr>
        <w:t>The school makes available to the public its accountability goals and specific strategies for reaching these goals through various means, including, but not limited to, posting on the school’s website.</w:t>
      </w:r>
    </w:p>
    <w:p w14:paraId="692DFE3A" w14:textId="77777777" w:rsidR="00BD2320" w:rsidRDefault="00BD2320" w:rsidP="00BD2320">
      <w:pPr>
        <w:pStyle w:val="Heading3"/>
        <w:numPr>
          <w:ilvl w:val="0"/>
          <w:numId w:val="16"/>
        </w:numPr>
      </w:pPr>
      <w:bookmarkStart w:id="9" w:name="_Toc398114650"/>
      <w:r w:rsidRPr="000B6354">
        <w:rPr>
          <w:rFonts w:asciiTheme="minorHAnsi" w:hAnsiTheme="minorHAnsi"/>
          <w:sz w:val="22"/>
        </w:rPr>
        <w:t>Access and equity</w:t>
      </w:r>
      <w:bookmarkEnd w:id="9"/>
    </w:p>
    <w:p w14:paraId="692DFE3B" w14:textId="77777777" w:rsidR="00BD2320" w:rsidRDefault="00BD2320" w:rsidP="00BD2320">
      <w:pPr>
        <w:spacing w:before="80" w:after="80"/>
        <w:ind w:left="360"/>
        <w:rPr>
          <w:rFonts w:asciiTheme="minorHAnsi" w:hAnsiTheme="minorHAnsi"/>
          <w:b/>
          <w:sz w:val="20"/>
        </w:rPr>
      </w:pPr>
      <w:r w:rsidRPr="000B6354">
        <w:rPr>
          <w:rFonts w:asciiTheme="minorHAnsi" w:hAnsiTheme="minorHAnsi" w:cs="Arial"/>
          <w:b/>
          <w:sz w:val="19"/>
          <w:szCs w:val="19"/>
        </w:rPr>
        <w:t>The school ensures program access and equity for all students eligible to attend the school.</w:t>
      </w:r>
    </w:p>
    <w:p w14:paraId="692DFE3C" w14:textId="77777777" w:rsidR="00BD2320" w:rsidRPr="00BF62F1" w:rsidRDefault="00BD2320" w:rsidP="007F3EEE">
      <w:pPr>
        <w:spacing w:before="80" w:after="80"/>
        <w:ind w:left="360"/>
        <w:rPr>
          <w:rFonts w:asciiTheme="minorHAnsi" w:hAnsiTheme="minorHAnsi"/>
          <w:b/>
          <w:sz w:val="19"/>
          <w:szCs w:val="19"/>
        </w:rPr>
      </w:pPr>
      <w:r w:rsidRPr="00BF62F1">
        <w:rPr>
          <w:rFonts w:asciiTheme="minorHAnsi" w:hAnsiTheme="minorHAnsi"/>
          <w:sz w:val="19"/>
          <w:szCs w:val="19"/>
        </w:rPr>
        <w:t>Key indicators include but are not limited to:</w:t>
      </w:r>
    </w:p>
    <w:p w14:paraId="692DFE3D" w14:textId="77777777" w:rsidR="008143F7" w:rsidRDefault="00BD2320" w:rsidP="00DD1BB7">
      <w:pPr>
        <w:pStyle w:val="ListParagraph"/>
        <w:numPr>
          <w:ilvl w:val="1"/>
          <w:numId w:val="18"/>
        </w:numPr>
        <w:spacing w:before="80" w:after="80"/>
        <w:ind w:left="720" w:hanging="360"/>
        <w:contextualSpacing w:val="0"/>
        <w:rPr>
          <w:rFonts w:asciiTheme="minorHAnsi" w:hAnsiTheme="minorHAnsi"/>
          <w:sz w:val="19"/>
          <w:szCs w:val="19"/>
        </w:rPr>
      </w:pPr>
      <w:r w:rsidRPr="00BF62F1">
        <w:rPr>
          <w:rFonts w:asciiTheme="minorHAnsi" w:hAnsiTheme="minorHAnsi"/>
          <w:sz w:val="19"/>
          <w:szCs w:val="19"/>
        </w:rPr>
        <w:t xml:space="preserve">The school </w:t>
      </w:r>
      <w:r w:rsidR="008143F7">
        <w:rPr>
          <w:rFonts w:asciiTheme="minorHAnsi" w:hAnsiTheme="minorHAnsi"/>
          <w:sz w:val="19"/>
          <w:szCs w:val="19"/>
        </w:rPr>
        <w:t>ensures</w:t>
      </w:r>
      <w:r w:rsidRPr="00BF62F1">
        <w:rPr>
          <w:rFonts w:asciiTheme="minorHAnsi" w:hAnsiTheme="minorHAnsi"/>
          <w:sz w:val="19"/>
          <w:szCs w:val="19"/>
        </w:rPr>
        <w:t xml:space="preserve"> that information is readily available to parents, students, and the general public regarding non-discriminatory enrollment practices</w:t>
      </w:r>
    </w:p>
    <w:p w14:paraId="692DFE3E" w14:textId="77777777" w:rsidR="008143F7" w:rsidRDefault="008143F7" w:rsidP="00DD1BB7">
      <w:pPr>
        <w:pStyle w:val="ListParagraph"/>
        <w:numPr>
          <w:ilvl w:val="1"/>
          <w:numId w:val="18"/>
        </w:numPr>
        <w:spacing w:before="80" w:after="80"/>
        <w:ind w:left="720" w:hanging="360"/>
        <w:contextualSpacing w:val="0"/>
        <w:rPr>
          <w:rFonts w:asciiTheme="minorHAnsi" w:hAnsiTheme="minorHAnsi"/>
          <w:sz w:val="19"/>
          <w:szCs w:val="19"/>
        </w:rPr>
      </w:pPr>
      <w:r w:rsidRPr="00BF62F1">
        <w:rPr>
          <w:rFonts w:asciiTheme="minorHAnsi" w:hAnsiTheme="minorHAnsi"/>
          <w:sz w:val="19"/>
          <w:szCs w:val="19"/>
        </w:rPr>
        <w:t xml:space="preserve">The school </w:t>
      </w:r>
      <w:r>
        <w:rPr>
          <w:rFonts w:asciiTheme="minorHAnsi" w:hAnsiTheme="minorHAnsi"/>
          <w:sz w:val="19"/>
          <w:szCs w:val="19"/>
        </w:rPr>
        <w:t>ensures</w:t>
      </w:r>
      <w:r w:rsidRPr="00BF62F1">
        <w:rPr>
          <w:rFonts w:asciiTheme="minorHAnsi" w:hAnsiTheme="minorHAnsi"/>
          <w:sz w:val="19"/>
          <w:szCs w:val="19"/>
        </w:rPr>
        <w:t xml:space="preserve"> that information is readily available to parents, students, and the general public</w:t>
      </w:r>
      <w:r>
        <w:rPr>
          <w:rFonts w:asciiTheme="minorHAnsi" w:hAnsiTheme="minorHAnsi"/>
          <w:sz w:val="19"/>
          <w:szCs w:val="19"/>
        </w:rPr>
        <w:t xml:space="preserve"> regarding </w:t>
      </w:r>
      <w:r w:rsidR="00BD2320" w:rsidRPr="00BF62F1">
        <w:rPr>
          <w:rFonts w:asciiTheme="minorHAnsi" w:hAnsiTheme="minorHAnsi"/>
          <w:sz w:val="19"/>
          <w:szCs w:val="19"/>
        </w:rPr>
        <w:t>the availability of specialized programs and services at the school to meet the needs of all students, particularly those enrolled in special education, English language learners and those wi</w:t>
      </w:r>
      <w:r>
        <w:rPr>
          <w:rFonts w:asciiTheme="minorHAnsi" w:hAnsiTheme="minorHAnsi"/>
          <w:sz w:val="19"/>
          <w:szCs w:val="19"/>
        </w:rPr>
        <w:t>th other diverse learning needs</w:t>
      </w:r>
    </w:p>
    <w:p w14:paraId="692DFE3F" w14:textId="77777777" w:rsidR="008143F7" w:rsidRDefault="008143F7" w:rsidP="00DD1BB7">
      <w:pPr>
        <w:pStyle w:val="ListParagraph"/>
        <w:numPr>
          <w:ilvl w:val="1"/>
          <w:numId w:val="18"/>
        </w:numPr>
        <w:spacing w:before="80" w:after="80"/>
        <w:ind w:left="720" w:hanging="360"/>
        <w:contextualSpacing w:val="0"/>
        <w:rPr>
          <w:rFonts w:asciiTheme="minorHAnsi" w:hAnsiTheme="minorHAnsi"/>
          <w:sz w:val="19"/>
          <w:szCs w:val="19"/>
        </w:rPr>
      </w:pPr>
      <w:r w:rsidRPr="00BF62F1">
        <w:rPr>
          <w:rFonts w:asciiTheme="minorHAnsi" w:hAnsiTheme="minorHAnsi"/>
          <w:sz w:val="19"/>
          <w:szCs w:val="19"/>
        </w:rPr>
        <w:t xml:space="preserve">The school </w:t>
      </w:r>
      <w:r>
        <w:rPr>
          <w:rFonts w:asciiTheme="minorHAnsi" w:hAnsiTheme="minorHAnsi"/>
          <w:sz w:val="19"/>
          <w:szCs w:val="19"/>
        </w:rPr>
        <w:t>ensures</w:t>
      </w:r>
      <w:r w:rsidRPr="00BF62F1">
        <w:rPr>
          <w:rFonts w:asciiTheme="minorHAnsi" w:hAnsiTheme="minorHAnsi"/>
          <w:sz w:val="19"/>
          <w:szCs w:val="19"/>
        </w:rPr>
        <w:t xml:space="preserve"> that information is readily available to parents, students, and the general public</w:t>
      </w:r>
      <w:r>
        <w:rPr>
          <w:rFonts w:asciiTheme="minorHAnsi" w:hAnsiTheme="minorHAnsi"/>
          <w:sz w:val="19"/>
          <w:szCs w:val="19"/>
        </w:rPr>
        <w:t xml:space="preserve"> regarding </w:t>
      </w:r>
      <w:r w:rsidR="007F3EEE" w:rsidRPr="00BF62F1">
        <w:rPr>
          <w:rFonts w:asciiTheme="minorHAnsi" w:hAnsiTheme="minorHAnsi"/>
          <w:sz w:val="19"/>
          <w:szCs w:val="19"/>
        </w:rPr>
        <w:t>s</w:t>
      </w:r>
      <w:r w:rsidR="00BD2320" w:rsidRPr="00BF62F1">
        <w:rPr>
          <w:rFonts w:asciiTheme="minorHAnsi" w:hAnsiTheme="minorHAnsi"/>
          <w:sz w:val="19"/>
          <w:szCs w:val="19"/>
        </w:rPr>
        <w:t>chool policies, including</w:t>
      </w:r>
      <w:r w:rsidR="007F3EEE" w:rsidRPr="00BF62F1">
        <w:rPr>
          <w:rFonts w:asciiTheme="minorHAnsi" w:hAnsiTheme="minorHAnsi"/>
          <w:sz w:val="19"/>
          <w:szCs w:val="19"/>
        </w:rPr>
        <w:t>, but not limited to</w:t>
      </w:r>
      <w:r>
        <w:rPr>
          <w:rFonts w:asciiTheme="minorHAnsi" w:hAnsiTheme="minorHAnsi"/>
          <w:sz w:val="19"/>
          <w:szCs w:val="19"/>
        </w:rPr>
        <w:t xml:space="preserve"> discipline policies</w:t>
      </w:r>
    </w:p>
    <w:p w14:paraId="692DFE40" w14:textId="77777777" w:rsidR="008143F7" w:rsidRDefault="008143F7" w:rsidP="00DD1BB7">
      <w:pPr>
        <w:pStyle w:val="ListParagraph"/>
        <w:numPr>
          <w:ilvl w:val="1"/>
          <w:numId w:val="18"/>
        </w:numPr>
        <w:spacing w:before="80" w:after="80"/>
        <w:ind w:left="720" w:hanging="360"/>
        <w:contextualSpacing w:val="0"/>
        <w:rPr>
          <w:rFonts w:asciiTheme="minorHAnsi" w:hAnsiTheme="minorHAnsi"/>
          <w:sz w:val="19"/>
          <w:szCs w:val="19"/>
        </w:rPr>
      </w:pPr>
      <w:r>
        <w:rPr>
          <w:rFonts w:asciiTheme="minorHAnsi" w:hAnsiTheme="minorHAnsi"/>
          <w:sz w:val="19"/>
          <w:szCs w:val="19"/>
        </w:rPr>
        <w:t xml:space="preserve">The school allows </w:t>
      </w:r>
      <w:r w:rsidR="00BD2320" w:rsidRPr="00BF62F1">
        <w:rPr>
          <w:rFonts w:asciiTheme="minorHAnsi" w:hAnsiTheme="minorHAnsi"/>
          <w:sz w:val="19"/>
          <w:szCs w:val="19"/>
        </w:rPr>
        <w:t xml:space="preserve">all students to access the educational program. </w:t>
      </w:r>
    </w:p>
    <w:p w14:paraId="692DFE41" w14:textId="77777777" w:rsidR="008143F7" w:rsidRDefault="00BD2320" w:rsidP="00DD1BB7">
      <w:pPr>
        <w:pStyle w:val="ListParagraph"/>
        <w:numPr>
          <w:ilvl w:val="2"/>
          <w:numId w:val="20"/>
        </w:numPr>
        <w:spacing w:before="80" w:after="80"/>
        <w:ind w:left="1080" w:hanging="360"/>
        <w:contextualSpacing w:val="0"/>
        <w:rPr>
          <w:rFonts w:asciiTheme="minorHAnsi" w:hAnsiTheme="minorHAnsi"/>
          <w:sz w:val="19"/>
          <w:szCs w:val="19"/>
        </w:rPr>
      </w:pPr>
      <w:r w:rsidRPr="00BF62F1">
        <w:rPr>
          <w:rFonts w:asciiTheme="minorHAnsi" w:hAnsiTheme="minorHAnsi"/>
          <w:sz w:val="19"/>
          <w:szCs w:val="19"/>
        </w:rPr>
        <w:t xml:space="preserve">Students with disabilities are provided with the appropriate assistive technologies, accommodations, supports, adaptations and related services as required by the Americans with Disabilities Act (ADA), Individuals with Disabilities Act (IDEA) and Section 504 of the U.S Rehabilitation Act. </w:t>
      </w:r>
    </w:p>
    <w:p w14:paraId="692DFE42" w14:textId="77777777" w:rsidR="00DD1BB7" w:rsidRDefault="00BD2320" w:rsidP="00DD1BB7">
      <w:pPr>
        <w:pStyle w:val="ListParagraph"/>
        <w:numPr>
          <w:ilvl w:val="2"/>
          <w:numId w:val="20"/>
        </w:numPr>
        <w:spacing w:before="80" w:after="80"/>
        <w:ind w:left="1080" w:hanging="360"/>
        <w:contextualSpacing w:val="0"/>
        <w:rPr>
          <w:rFonts w:asciiTheme="minorHAnsi" w:hAnsiTheme="minorHAnsi"/>
          <w:sz w:val="19"/>
          <w:szCs w:val="19"/>
        </w:rPr>
      </w:pPr>
      <w:r w:rsidRPr="00BF62F1">
        <w:rPr>
          <w:rFonts w:asciiTheme="minorHAnsi" w:hAnsiTheme="minorHAnsi"/>
          <w:sz w:val="19"/>
          <w:szCs w:val="19"/>
        </w:rPr>
        <w:t xml:space="preserve">Digital content is accessible in accordance with Section 508 of the U.S Rehabilitation Act. </w:t>
      </w:r>
    </w:p>
    <w:p w14:paraId="692DFE43" w14:textId="77777777" w:rsidR="00DD1BB7" w:rsidRDefault="00BD2320" w:rsidP="00DD1BB7">
      <w:pPr>
        <w:pStyle w:val="ListParagraph"/>
        <w:numPr>
          <w:ilvl w:val="2"/>
          <w:numId w:val="20"/>
        </w:numPr>
        <w:spacing w:before="80" w:after="80"/>
        <w:ind w:left="1080" w:hanging="360"/>
        <w:contextualSpacing w:val="0"/>
        <w:rPr>
          <w:rFonts w:asciiTheme="minorHAnsi" w:hAnsiTheme="minorHAnsi"/>
          <w:sz w:val="19"/>
          <w:szCs w:val="19"/>
        </w:rPr>
      </w:pPr>
      <w:r w:rsidRPr="00DD1BB7">
        <w:rPr>
          <w:rFonts w:asciiTheme="minorHAnsi" w:hAnsiTheme="minorHAnsi"/>
          <w:sz w:val="19"/>
          <w:szCs w:val="19"/>
        </w:rPr>
        <w:t>The school provides an initial assessment of each student, and/or is in possession of any specialized plan for the student to ensure that all students receive the appropriate types of aca</w:t>
      </w:r>
      <w:r w:rsidR="007F3EEE" w:rsidRPr="00DD1BB7">
        <w:rPr>
          <w:rFonts w:asciiTheme="minorHAnsi" w:hAnsiTheme="minorHAnsi"/>
          <w:sz w:val="19"/>
          <w:szCs w:val="19"/>
        </w:rPr>
        <w:t>demic and non-academic support.</w:t>
      </w:r>
    </w:p>
    <w:p w14:paraId="692DFE44" w14:textId="77777777" w:rsidR="00DD1BB7" w:rsidRDefault="008143F7" w:rsidP="00DD1BB7">
      <w:pPr>
        <w:pStyle w:val="ListParagraph"/>
        <w:numPr>
          <w:ilvl w:val="2"/>
          <w:numId w:val="20"/>
        </w:numPr>
        <w:spacing w:before="80" w:after="80"/>
        <w:ind w:left="1080" w:hanging="360"/>
        <w:contextualSpacing w:val="0"/>
        <w:rPr>
          <w:rFonts w:asciiTheme="minorHAnsi" w:hAnsiTheme="minorHAnsi"/>
          <w:sz w:val="19"/>
          <w:szCs w:val="19"/>
        </w:rPr>
      </w:pPr>
      <w:r w:rsidRPr="00DD1BB7">
        <w:rPr>
          <w:rFonts w:asciiTheme="minorHAnsi" w:hAnsiTheme="minorHAnsi"/>
          <w:sz w:val="19"/>
          <w:szCs w:val="19"/>
        </w:rPr>
        <w:t>The school</w:t>
      </w:r>
      <w:r w:rsidR="00BD2320" w:rsidRPr="00DD1BB7">
        <w:rPr>
          <w:rFonts w:asciiTheme="minorHAnsi" w:hAnsiTheme="minorHAnsi"/>
          <w:sz w:val="19"/>
          <w:szCs w:val="19"/>
        </w:rPr>
        <w:t xml:space="preserve"> discloses accurate information relating to its </w:t>
      </w:r>
      <w:r w:rsidRPr="00DD1BB7">
        <w:rPr>
          <w:rFonts w:asciiTheme="minorHAnsi" w:hAnsiTheme="minorHAnsi"/>
          <w:sz w:val="19"/>
          <w:szCs w:val="19"/>
        </w:rPr>
        <w:t xml:space="preserve">online program, including: its </w:t>
      </w:r>
      <w:r w:rsidR="00BD2320" w:rsidRPr="00DD1BB7">
        <w:rPr>
          <w:rFonts w:asciiTheme="minorHAnsi" w:hAnsiTheme="minorHAnsi"/>
          <w:sz w:val="19"/>
          <w:szCs w:val="19"/>
        </w:rPr>
        <w:t>mission</w:t>
      </w:r>
      <w:r w:rsidR="00217D3C" w:rsidRPr="00DD1BB7">
        <w:rPr>
          <w:rFonts w:asciiTheme="minorHAnsi" w:hAnsiTheme="minorHAnsi"/>
          <w:sz w:val="19"/>
          <w:szCs w:val="19"/>
        </w:rPr>
        <w:t>;</w:t>
      </w:r>
      <w:r w:rsidR="00BD2320" w:rsidRPr="00DD1BB7">
        <w:rPr>
          <w:rFonts w:asciiTheme="minorHAnsi" w:hAnsiTheme="minorHAnsi"/>
          <w:sz w:val="19"/>
          <w:szCs w:val="19"/>
        </w:rPr>
        <w:t xml:space="preserve"> accreditation, if applicable</w:t>
      </w:r>
      <w:r w:rsidR="00217D3C" w:rsidRPr="00DD1BB7">
        <w:rPr>
          <w:rFonts w:asciiTheme="minorHAnsi" w:hAnsiTheme="minorHAnsi"/>
          <w:sz w:val="19"/>
          <w:szCs w:val="19"/>
        </w:rPr>
        <w:t>;</w:t>
      </w:r>
      <w:r w:rsidR="00BD2320" w:rsidRPr="00DD1BB7">
        <w:rPr>
          <w:rFonts w:asciiTheme="minorHAnsi" w:hAnsiTheme="minorHAnsi"/>
          <w:sz w:val="19"/>
          <w:szCs w:val="19"/>
        </w:rPr>
        <w:t xml:space="preserve"> courses and programs</w:t>
      </w:r>
      <w:r w:rsidR="00217D3C" w:rsidRPr="00DD1BB7">
        <w:rPr>
          <w:rFonts w:asciiTheme="minorHAnsi" w:hAnsiTheme="minorHAnsi"/>
          <w:sz w:val="19"/>
          <w:szCs w:val="19"/>
        </w:rPr>
        <w:t>;</w:t>
      </w:r>
      <w:r w:rsidR="00BD2320" w:rsidRPr="00DD1BB7">
        <w:rPr>
          <w:rFonts w:asciiTheme="minorHAnsi" w:hAnsiTheme="minorHAnsi"/>
          <w:sz w:val="19"/>
          <w:szCs w:val="19"/>
        </w:rPr>
        <w:t xml:space="preserve"> services</w:t>
      </w:r>
      <w:r w:rsidR="00217D3C" w:rsidRPr="00DD1BB7">
        <w:rPr>
          <w:rFonts w:asciiTheme="minorHAnsi" w:hAnsiTheme="minorHAnsi"/>
          <w:sz w:val="19"/>
          <w:szCs w:val="19"/>
        </w:rPr>
        <w:t>;</w:t>
      </w:r>
      <w:r w:rsidR="00BD2320" w:rsidRPr="00DD1BB7">
        <w:rPr>
          <w:rFonts w:asciiTheme="minorHAnsi" w:hAnsiTheme="minorHAnsi"/>
          <w:sz w:val="19"/>
          <w:szCs w:val="19"/>
        </w:rPr>
        <w:t xml:space="preserve"> policies</w:t>
      </w:r>
      <w:r w:rsidR="00217D3C" w:rsidRPr="00DD1BB7">
        <w:rPr>
          <w:rFonts w:asciiTheme="minorHAnsi" w:hAnsiTheme="minorHAnsi"/>
          <w:sz w:val="19"/>
          <w:szCs w:val="19"/>
        </w:rPr>
        <w:t>;</w:t>
      </w:r>
      <w:r w:rsidR="00BD2320" w:rsidRPr="00DD1BB7">
        <w:rPr>
          <w:rFonts w:asciiTheme="minorHAnsi" w:hAnsiTheme="minorHAnsi"/>
          <w:sz w:val="19"/>
          <w:szCs w:val="19"/>
        </w:rPr>
        <w:t xml:space="preserve"> recruitment processes and incentives</w:t>
      </w:r>
      <w:r w:rsidR="00217D3C" w:rsidRPr="00DD1BB7">
        <w:rPr>
          <w:rFonts w:asciiTheme="minorHAnsi" w:hAnsiTheme="minorHAnsi"/>
          <w:sz w:val="19"/>
          <w:szCs w:val="19"/>
        </w:rPr>
        <w:t>;</w:t>
      </w:r>
      <w:r w:rsidR="00BD2320" w:rsidRPr="00DD1BB7">
        <w:rPr>
          <w:rFonts w:asciiTheme="minorHAnsi" w:hAnsiTheme="minorHAnsi"/>
          <w:sz w:val="19"/>
          <w:szCs w:val="19"/>
        </w:rPr>
        <w:t xml:space="preserve"> and other factors considered important to prospective and current students and stakeholders. </w:t>
      </w:r>
    </w:p>
    <w:p w14:paraId="692DFE45" w14:textId="77777777" w:rsidR="00BD2320" w:rsidRPr="00DD1BB7" w:rsidRDefault="00217D3C" w:rsidP="00DD1BB7">
      <w:pPr>
        <w:pStyle w:val="ListParagraph"/>
        <w:numPr>
          <w:ilvl w:val="2"/>
          <w:numId w:val="20"/>
        </w:numPr>
        <w:spacing w:before="80" w:after="80"/>
        <w:ind w:left="1080" w:hanging="360"/>
        <w:contextualSpacing w:val="0"/>
        <w:rPr>
          <w:rFonts w:asciiTheme="minorHAnsi" w:hAnsiTheme="minorHAnsi"/>
          <w:sz w:val="19"/>
          <w:szCs w:val="19"/>
        </w:rPr>
      </w:pPr>
      <w:r w:rsidRPr="00DD1BB7">
        <w:rPr>
          <w:rFonts w:asciiTheme="minorHAnsi" w:hAnsiTheme="minorHAnsi"/>
          <w:sz w:val="19"/>
          <w:szCs w:val="19"/>
        </w:rPr>
        <w:t>The school</w:t>
      </w:r>
      <w:r w:rsidR="00BD2320" w:rsidRPr="00DD1BB7">
        <w:rPr>
          <w:rFonts w:asciiTheme="minorHAnsi" w:hAnsiTheme="minorHAnsi"/>
          <w:sz w:val="19"/>
          <w:szCs w:val="19"/>
        </w:rPr>
        <w:t xml:space="preserve"> analyze</w:t>
      </w:r>
      <w:r w:rsidRPr="00DD1BB7">
        <w:rPr>
          <w:rFonts w:asciiTheme="minorHAnsi" w:hAnsiTheme="minorHAnsi"/>
          <w:sz w:val="19"/>
          <w:szCs w:val="19"/>
        </w:rPr>
        <w:t>s</w:t>
      </w:r>
      <w:r w:rsidR="00BD2320" w:rsidRPr="00DD1BB7">
        <w:rPr>
          <w:rFonts w:asciiTheme="minorHAnsi" w:hAnsiTheme="minorHAnsi"/>
          <w:sz w:val="19"/>
          <w:szCs w:val="19"/>
        </w:rPr>
        <w:t xml:space="preserve"> attrition data.</w:t>
      </w:r>
    </w:p>
    <w:p w14:paraId="692DFE46" w14:textId="77777777" w:rsidR="00BD2320" w:rsidRDefault="00BD2320" w:rsidP="00BD2320">
      <w:pPr>
        <w:pStyle w:val="Heading3"/>
        <w:numPr>
          <w:ilvl w:val="0"/>
          <w:numId w:val="16"/>
        </w:numPr>
      </w:pPr>
      <w:bookmarkStart w:id="10" w:name="_Toc398114651"/>
      <w:r w:rsidRPr="000B6354">
        <w:rPr>
          <w:rFonts w:asciiTheme="minorHAnsi" w:hAnsiTheme="minorHAnsi"/>
          <w:sz w:val="22"/>
        </w:rPr>
        <w:lastRenderedPageBreak/>
        <w:t>Compliance</w:t>
      </w:r>
      <w:bookmarkEnd w:id="10"/>
    </w:p>
    <w:p w14:paraId="692DFE47" w14:textId="77777777" w:rsidR="00BD2320" w:rsidRDefault="00BD2320" w:rsidP="00BD2320">
      <w:pPr>
        <w:spacing w:before="80" w:after="80"/>
        <w:ind w:left="360"/>
        <w:rPr>
          <w:rFonts w:asciiTheme="minorHAnsi" w:hAnsiTheme="minorHAnsi"/>
          <w:b/>
          <w:sz w:val="20"/>
        </w:rPr>
      </w:pPr>
      <w:r w:rsidRPr="000B6354">
        <w:rPr>
          <w:rFonts w:asciiTheme="minorHAnsi" w:hAnsiTheme="minorHAnsi" w:cs="Arial"/>
          <w:b/>
          <w:sz w:val="19"/>
          <w:szCs w:val="19"/>
        </w:rPr>
        <w:t>The school compiles a record of compliance with the terms of its certificate and applicable state and federal laws and regulations.</w:t>
      </w:r>
    </w:p>
    <w:p w14:paraId="692DFE48" w14:textId="77777777" w:rsidR="00BD2320" w:rsidRPr="00217D3C" w:rsidRDefault="00BD2320" w:rsidP="00217D3C">
      <w:pPr>
        <w:spacing w:before="80" w:after="80"/>
        <w:ind w:left="360"/>
        <w:rPr>
          <w:rFonts w:asciiTheme="minorHAnsi" w:hAnsiTheme="minorHAnsi"/>
          <w:sz w:val="19"/>
          <w:szCs w:val="19"/>
        </w:rPr>
      </w:pPr>
      <w:r w:rsidRPr="00217D3C">
        <w:rPr>
          <w:rFonts w:asciiTheme="minorHAnsi" w:hAnsiTheme="minorHAnsi"/>
          <w:sz w:val="19"/>
          <w:szCs w:val="19"/>
        </w:rPr>
        <w:t>Key indicators include but are not limited to:</w:t>
      </w:r>
    </w:p>
    <w:p w14:paraId="692DFE49" w14:textId="77777777" w:rsidR="00BD2320" w:rsidRPr="00217D3C" w:rsidRDefault="00BD2320" w:rsidP="00DD1BB7">
      <w:pPr>
        <w:pStyle w:val="ListParagraph"/>
        <w:numPr>
          <w:ilvl w:val="1"/>
          <w:numId w:val="18"/>
        </w:numPr>
        <w:spacing w:before="80" w:after="80"/>
        <w:ind w:left="720" w:hanging="360"/>
        <w:contextualSpacing w:val="0"/>
        <w:rPr>
          <w:rFonts w:asciiTheme="minorHAnsi" w:hAnsiTheme="minorHAnsi"/>
          <w:sz w:val="19"/>
          <w:szCs w:val="19"/>
        </w:rPr>
      </w:pPr>
      <w:r w:rsidRPr="00217D3C">
        <w:rPr>
          <w:rFonts w:asciiTheme="minorHAnsi" w:hAnsiTheme="minorHAnsi"/>
          <w:sz w:val="19"/>
          <w:szCs w:val="19"/>
        </w:rPr>
        <w:t xml:space="preserve">The school is operated in accordance with the provisions of General Laws chapter 71, section 89, and 603 CMR 23.00, 603 CMR 35.00, 603 CMR 49.00, 603 CMR 52.00, 603 CMR 51.00, Title IX and all other applicable federal, state, and local laws, regulations, required trainings and deadlines and such additional guidance as </w:t>
      </w:r>
      <w:r w:rsidR="0045193F">
        <w:rPr>
          <w:rFonts w:asciiTheme="minorHAnsi" w:hAnsiTheme="minorHAnsi"/>
          <w:sz w:val="19"/>
          <w:szCs w:val="19"/>
        </w:rPr>
        <w:t>ESE</w:t>
      </w:r>
      <w:r w:rsidRPr="00217D3C">
        <w:rPr>
          <w:rFonts w:asciiTheme="minorHAnsi" w:hAnsiTheme="minorHAnsi"/>
          <w:sz w:val="19"/>
          <w:szCs w:val="19"/>
        </w:rPr>
        <w:t xml:space="preserve"> may establish at Massachusetts Laws and Regulations.</w:t>
      </w:r>
    </w:p>
    <w:p w14:paraId="692DFE4A" w14:textId="77777777" w:rsidR="00BD2320" w:rsidRPr="00217D3C" w:rsidRDefault="00BD2320" w:rsidP="00DD1BB7">
      <w:pPr>
        <w:pStyle w:val="ListParagraph"/>
        <w:numPr>
          <w:ilvl w:val="1"/>
          <w:numId w:val="18"/>
        </w:numPr>
        <w:spacing w:before="80" w:after="80"/>
        <w:ind w:left="720" w:hanging="360"/>
        <w:contextualSpacing w:val="0"/>
        <w:rPr>
          <w:rFonts w:asciiTheme="minorHAnsi" w:hAnsiTheme="minorHAnsi"/>
          <w:sz w:val="19"/>
          <w:szCs w:val="19"/>
        </w:rPr>
      </w:pPr>
      <w:r w:rsidRPr="00217D3C">
        <w:rPr>
          <w:rFonts w:asciiTheme="minorHAnsi" w:hAnsiTheme="minorHAnsi"/>
          <w:sz w:val="19"/>
          <w:szCs w:val="19"/>
        </w:rPr>
        <w:t>The school complies with all legal requirements, including but not limited to the following: the Open Meeting Law; Public Records Law; Coordinated Program Review requirements; and all local laws related to health and safety codes.</w:t>
      </w:r>
    </w:p>
    <w:p w14:paraId="692DFE4B" w14:textId="77777777" w:rsidR="00BD2320" w:rsidRPr="00217D3C" w:rsidRDefault="00BD2320" w:rsidP="00DD1BB7">
      <w:pPr>
        <w:pStyle w:val="ListParagraph"/>
        <w:numPr>
          <w:ilvl w:val="1"/>
          <w:numId w:val="18"/>
        </w:numPr>
        <w:spacing w:before="80" w:after="80"/>
        <w:ind w:left="720" w:hanging="360"/>
        <w:contextualSpacing w:val="0"/>
        <w:rPr>
          <w:rFonts w:asciiTheme="minorHAnsi" w:hAnsiTheme="minorHAnsi"/>
          <w:sz w:val="19"/>
          <w:szCs w:val="19"/>
        </w:rPr>
      </w:pPr>
      <w:r w:rsidRPr="00217D3C">
        <w:rPr>
          <w:rFonts w:asciiTheme="minorHAnsi" w:hAnsiTheme="minorHAnsi"/>
          <w:sz w:val="19"/>
          <w:szCs w:val="19"/>
        </w:rPr>
        <w:t>The school undertakes corrective action when needed and implements necessary safeguards to maintain compliance with all legal requirements.</w:t>
      </w:r>
    </w:p>
    <w:p w14:paraId="692DFE4C" w14:textId="77777777" w:rsidR="00BD2320" w:rsidRPr="00217D3C" w:rsidRDefault="00BD2320" w:rsidP="00DD1BB7">
      <w:pPr>
        <w:pStyle w:val="ListParagraph"/>
        <w:numPr>
          <w:ilvl w:val="1"/>
          <w:numId w:val="18"/>
        </w:numPr>
        <w:spacing w:before="80" w:after="80"/>
        <w:ind w:left="720" w:hanging="360"/>
        <w:contextualSpacing w:val="0"/>
        <w:rPr>
          <w:rFonts w:asciiTheme="minorHAnsi" w:hAnsiTheme="minorHAnsi"/>
          <w:sz w:val="19"/>
          <w:szCs w:val="19"/>
        </w:rPr>
      </w:pPr>
      <w:r w:rsidRPr="00217D3C">
        <w:rPr>
          <w:rFonts w:asciiTheme="minorHAnsi" w:hAnsiTheme="minorHAnsi"/>
          <w:sz w:val="19"/>
          <w:szCs w:val="19"/>
        </w:rPr>
        <w:t xml:space="preserve">Faculty hold the appropriate licensure and teach in their licensed field for all taught courses or teach under a waiver pursuant to </w:t>
      </w:r>
      <w:proofErr w:type="spellStart"/>
      <w:r w:rsidRPr="00217D3C">
        <w:rPr>
          <w:rFonts w:asciiTheme="minorHAnsi" w:hAnsiTheme="minorHAnsi"/>
          <w:sz w:val="19"/>
          <w:szCs w:val="19"/>
        </w:rPr>
        <w:t>G.L.c</w:t>
      </w:r>
      <w:proofErr w:type="spellEnd"/>
      <w:r w:rsidRPr="00217D3C">
        <w:rPr>
          <w:rFonts w:asciiTheme="minorHAnsi" w:hAnsiTheme="minorHAnsi"/>
          <w:sz w:val="19"/>
          <w:szCs w:val="19"/>
        </w:rPr>
        <w:t>. 71,§ 38G.</w:t>
      </w:r>
    </w:p>
    <w:p w14:paraId="692DFE4D" w14:textId="77777777" w:rsidR="00577057" w:rsidRPr="00BD2320" w:rsidRDefault="00BD2320" w:rsidP="00DD1BB7">
      <w:pPr>
        <w:pStyle w:val="ListParagraph"/>
        <w:numPr>
          <w:ilvl w:val="1"/>
          <w:numId w:val="18"/>
        </w:numPr>
        <w:spacing w:before="80" w:after="80"/>
        <w:ind w:left="720" w:hanging="360"/>
        <w:contextualSpacing w:val="0"/>
      </w:pPr>
      <w:r w:rsidRPr="00217D3C">
        <w:rPr>
          <w:rFonts w:asciiTheme="minorHAnsi" w:hAnsiTheme="minorHAnsi"/>
          <w:sz w:val="19"/>
          <w:szCs w:val="19"/>
        </w:rPr>
        <w:t xml:space="preserve">Administrators, faculty and other mandatory reporters receive training on recognizing and reporting suspected child abuse and neglect pursuant to </w:t>
      </w:r>
      <w:proofErr w:type="spellStart"/>
      <w:r w:rsidRPr="00217D3C">
        <w:rPr>
          <w:rFonts w:asciiTheme="minorHAnsi" w:hAnsiTheme="minorHAnsi"/>
          <w:sz w:val="19"/>
          <w:szCs w:val="19"/>
        </w:rPr>
        <w:t>G.L.c</w:t>
      </w:r>
      <w:proofErr w:type="spellEnd"/>
      <w:r w:rsidRPr="00217D3C">
        <w:rPr>
          <w:rFonts w:asciiTheme="minorHAnsi" w:hAnsiTheme="minorHAnsi"/>
          <w:sz w:val="19"/>
          <w:szCs w:val="19"/>
        </w:rPr>
        <w:t xml:space="preserve"> 119,§51A.</w:t>
      </w:r>
    </w:p>
    <w:p w14:paraId="692DFE4E" w14:textId="77777777" w:rsidR="00BD2320" w:rsidRDefault="00BD2320" w:rsidP="00BD2320">
      <w:pPr>
        <w:pStyle w:val="Heading1"/>
        <w:rPr>
          <w:rFonts w:asciiTheme="minorHAnsi" w:hAnsiTheme="minorHAnsi"/>
          <w:sz w:val="28"/>
        </w:rPr>
      </w:pPr>
      <w:bookmarkStart w:id="11" w:name="_Toc398114652"/>
      <w:r w:rsidRPr="000B6354">
        <w:rPr>
          <w:rFonts w:asciiTheme="minorHAnsi" w:hAnsiTheme="minorHAnsi"/>
          <w:sz w:val="28"/>
        </w:rPr>
        <w:t>Academic and program success</w:t>
      </w:r>
      <w:bookmarkEnd w:id="11"/>
    </w:p>
    <w:p w14:paraId="692DFE4F" w14:textId="77777777" w:rsidR="00BF62F1" w:rsidRPr="00217D3C" w:rsidRDefault="0045193F" w:rsidP="00BF62F1">
      <w:pPr>
        <w:rPr>
          <w:sz w:val="19"/>
          <w:szCs w:val="19"/>
        </w:rPr>
      </w:pPr>
      <w:r>
        <w:rPr>
          <w:rFonts w:asciiTheme="minorHAnsi" w:hAnsiTheme="minorHAnsi"/>
          <w:sz w:val="19"/>
          <w:szCs w:val="19"/>
        </w:rPr>
        <w:t>ESE</w:t>
      </w:r>
      <w:r w:rsidR="004D437A" w:rsidRPr="00217D3C">
        <w:rPr>
          <w:rFonts w:asciiTheme="minorHAnsi" w:hAnsiTheme="minorHAnsi"/>
          <w:sz w:val="19"/>
          <w:szCs w:val="19"/>
        </w:rPr>
        <w:t xml:space="preserve"> will consider a wide body of evidence, which includes, but is not limited to, the following: the school’s original application for a certificate and subsequent amendments (if applicable); annual reports; site visits and accountability reviews; renewal inspection reports; data derived from the Student Information Management System (SIMS) and the Educator Personnel Information Management System (EPIMS); </w:t>
      </w:r>
      <w:r w:rsidR="00BF62F1" w:rsidRPr="00217D3C">
        <w:rPr>
          <w:rFonts w:asciiTheme="minorHAnsi" w:hAnsiTheme="minorHAnsi"/>
          <w:sz w:val="19"/>
          <w:szCs w:val="19"/>
        </w:rPr>
        <w:t>the school’s accountability report (see 4.1.1-4.1.3)</w:t>
      </w:r>
      <w:r w:rsidR="008B7805" w:rsidRPr="00217D3C">
        <w:rPr>
          <w:rFonts w:asciiTheme="minorHAnsi" w:hAnsiTheme="minorHAnsi"/>
          <w:sz w:val="19"/>
          <w:szCs w:val="19"/>
        </w:rPr>
        <w:t xml:space="preserve">, including analyses of the performance of student subgroups </w:t>
      </w:r>
      <w:r w:rsidR="00BF62F1" w:rsidRPr="00217D3C">
        <w:rPr>
          <w:rFonts w:asciiTheme="minorHAnsi" w:hAnsiTheme="minorHAnsi"/>
          <w:sz w:val="19"/>
          <w:szCs w:val="19"/>
        </w:rPr>
        <w:t>that may be statistically insignifica</w:t>
      </w:r>
      <w:r w:rsidR="008B7805" w:rsidRPr="00217D3C">
        <w:rPr>
          <w:rFonts w:asciiTheme="minorHAnsi" w:hAnsiTheme="minorHAnsi"/>
          <w:sz w:val="19"/>
          <w:szCs w:val="19"/>
        </w:rPr>
        <w:t xml:space="preserve">nt for state reporting purposes; curriculum documents; internal program evaluation reports; relevant needs assessments; the School safety and Discipline Report (SSDR); parent/guardian and student surveys; and state or other assessment data that align with the school’s certificate and with the approval of </w:t>
      </w:r>
      <w:r>
        <w:rPr>
          <w:rFonts w:asciiTheme="minorHAnsi" w:hAnsiTheme="minorHAnsi"/>
          <w:sz w:val="19"/>
          <w:szCs w:val="19"/>
        </w:rPr>
        <w:t>ESE</w:t>
      </w:r>
      <w:r w:rsidR="008B7805" w:rsidRPr="00217D3C">
        <w:rPr>
          <w:rFonts w:asciiTheme="minorHAnsi" w:hAnsiTheme="minorHAnsi"/>
          <w:sz w:val="19"/>
          <w:szCs w:val="19"/>
        </w:rPr>
        <w:t>.</w:t>
      </w:r>
    </w:p>
    <w:p w14:paraId="692DFE50" w14:textId="77777777" w:rsidR="00BD2320" w:rsidRDefault="00F136C6" w:rsidP="00BD2320">
      <w:pPr>
        <w:pStyle w:val="Heading3"/>
        <w:numPr>
          <w:ilvl w:val="0"/>
          <w:numId w:val="16"/>
        </w:numPr>
      </w:pPr>
      <w:bookmarkStart w:id="12" w:name="_Toc398114653"/>
      <w:r w:rsidRPr="00FA0A57">
        <w:rPr>
          <w:rFonts w:asciiTheme="minorHAnsi" w:hAnsiTheme="minorHAnsi"/>
          <w:sz w:val="22"/>
        </w:rPr>
        <w:t>Student</w:t>
      </w:r>
      <w:r w:rsidR="00BD2320" w:rsidRPr="00FA0A57">
        <w:rPr>
          <w:rFonts w:asciiTheme="minorHAnsi" w:hAnsiTheme="minorHAnsi"/>
          <w:sz w:val="22"/>
        </w:rPr>
        <w:t xml:space="preserve"> performance</w:t>
      </w:r>
      <w:bookmarkEnd w:id="12"/>
    </w:p>
    <w:p w14:paraId="692DFE51" w14:textId="77777777" w:rsidR="00BD2320" w:rsidRPr="00217D3C" w:rsidRDefault="00F136C6" w:rsidP="00BD2320">
      <w:pPr>
        <w:spacing w:before="80" w:after="80"/>
        <w:ind w:left="360"/>
        <w:rPr>
          <w:rFonts w:asciiTheme="minorHAnsi" w:hAnsiTheme="minorHAnsi"/>
          <w:b/>
          <w:sz w:val="19"/>
          <w:szCs w:val="19"/>
        </w:rPr>
      </w:pPr>
      <w:r w:rsidRPr="00217D3C">
        <w:rPr>
          <w:rFonts w:asciiTheme="minorHAnsi" w:hAnsiTheme="minorHAnsi"/>
          <w:b/>
          <w:sz w:val="19"/>
          <w:szCs w:val="19"/>
        </w:rPr>
        <w:t>The school consistently meets state student performance standards for academic growth, proficiency, and college and career readiness</w:t>
      </w:r>
      <w:r w:rsidR="00BD2320" w:rsidRPr="00217D3C">
        <w:rPr>
          <w:rFonts w:asciiTheme="minorHAnsi" w:hAnsiTheme="minorHAnsi"/>
          <w:b/>
          <w:sz w:val="19"/>
          <w:szCs w:val="19"/>
        </w:rPr>
        <w:t>.</w:t>
      </w:r>
    </w:p>
    <w:p w14:paraId="692DFE52" w14:textId="77777777" w:rsidR="00BD2320" w:rsidRPr="00217D3C" w:rsidRDefault="00BD2320" w:rsidP="00217D3C">
      <w:pPr>
        <w:spacing w:before="80" w:after="80"/>
        <w:ind w:left="360"/>
        <w:rPr>
          <w:rFonts w:asciiTheme="minorHAnsi" w:hAnsiTheme="minorHAnsi"/>
          <w:sz w:val="19"/>
          <w:szCs w:val="19"/>
        </w:rPr>
      </w:pPr>
      <w:r w:rsidRPr="00217D3C">
        <w:rPr>
          <w:rFonts w:asciiTheme="minorHAnsi" w:hAnsiTheme="minorHAnsi"/>
          <w:sz w:val="19"/>
          <w:szCs w:val="19"/>
        </w:rPr>
        <w:t>Key indicators include but are not limited to:</w:t>
      </w:r>
    </w:p>
    <w:p w14:paraId="692DFE53" w14:textId="77777777" w:rsidR="00925001" w:rsidRPr="00217D3C" w:rsidRDefault="00925001" w:rsidP="00DD1BB7">
      <w:pPr>
        <w:pStyle w:val="ListParagraph"/>
        <w:numPr>
          <w:ilvl w:val="1"/>
          <w:numId w:val="18"/>
        </w:numPr>
        <w:spacing w:before="80" w:after="80"/>
        <w:ind w:left="720" w:hanging="360"/>
        <w:contextualSpacing w:val="0"/>
        <w:rPr>
          <w:rFonts w:asciiTheme="minorHAnsi" w:hAnsiTheme="minorHAnsi"/>
          <w:sz w:val="19"/>
          <w:szCs w:val="19"/>
        </w:rPr>
      </w:pPr>
      <w:r w:rsidRPr="00217D3C">
        <w:rPr>
          <w:rFonts w:asciiTheme="minorHAnsi" w:hAnsiTheme="minorHAnsi"/>
          <w:sz w:val="19"/>
          <w:szCs w:val="19"/>
        </w:rPr>
        <w:t>Progress and Performance Index (PPI)</w:t>
      </w:r>
    </w:p>
    <w:p w14:paraId="692DFE54" w14:textId="77777777" w:rsidR="00DB40C5" w:rsidRPr="00217D3C" w:rsidRDefault="00DB40C5" w:rsidP="00DD1BB7">
      <w:pPr>
        <w:pStyle w:val="ListParagraph"/>
        <w:spacing w:before="80" w:after="80"/>
        <w:contextualSpacing w:val="0"/>
        <w:rPr>
          <w:rFonts w:asciiTheme="minorHAnsi" w:hAnsiTheme="minorHAnsi"/>
          <w:sz w:val="19"/>
          <w:szCs w:val="19"/>
        </w:rPr>
      </w:pPr>
      <w:r w:rsidRPr="00217D3C">
        <w:rPr>
          <w:rFonts w:asciiTheme="minorHAnsi" w:hAnsiTheme="minorHAnsi"/>
          <w:sz w:val="19"/>
          <w:szCs w:val="19"/>
        </w:rPr>
        <w:t>The PPI combines information about narrowing proficiency gaps, growth, and graduation and dropout rates into a single 100-point measure. A schools cumulative PPI is the average of its annual PPIs over the most recent four year period, weighting recent years the most (1-2-3-4). A student group is considered to be on track to meeting its proficiency gap narrowing goals if it’s cumulative PPI is 75 of higher.</w:t>
      </w:r>
    </w:p>
    <w:p w14:paraId="692DFE55" w14:textId="77777777" w:rsidR="00925001" w:rsidRPr="00217D3C" w:rsidRDefault="00925001" w:rsidP="00DD1BB7">
      <w:pPr>
        <w:pStyle w:val="ListParagraph"/>
        <w:numPr>
          <w:ilvl w:val="1"/>
          <w:numId w:val="18"/>
        </w:numPr>
        <w:spacing w:before="80" w:after="80"/>
        <w:ind w:left="720" w:hanging="360"/>
        <w:contextualSpacing w:val="0"/>
        <w:rPr>
          <w:rFonts w:asciiTheme="minorHAnsi" w:hAnsiTheme="minorHAnsi"/>
          <w:sz w:val="19"/>
          <w:szCs w:val="19"/>
        </w:rPr>
      </w:pPr>
      <w:r w:rsidRPr="00217D3C">
        <w:rPr>
          <w:rFonts w:asciiTheme="minorHAnsi" w:hAnsiTheme="minorHAnsi"/>
          <w:sz w:val="19"/>
          <w:szCs w:val="19"/>
        </w:rPr>
        <w:t>School percentile</w:t>
      </w:r>
    </w:p>
    <w:p w14:paraId="692DFE56" w14:textId="77777777" w:rsidR="00357A58" w:rsidRPr="00217D3C" w:rsidRDefault="00357A58" w:rsidP="00DD1BB7">
      <w:pPr>
        <w:pStyle w:val="ListParagraph"/>
        <w:spacing w:before="80" w:after="80"/>
        <w:contextualSpacing w:val="0"/>
        <w:rPr>
          <w:rFonts w:asciiTheme="minorHAnsi" w:hAnsiTheme="minorHAnsi"/>
          <w:sz w:val="19"/>
          <w:szCs w:val="19"/>
        </w:rPr>
      </w:pPr>
      <w:r w:rsidRPr="00217D3C">
        <w:rPr>
          <w:rFonts w:asciiTheme="minorHAnsi" w:hAnsiTheme="minorHAnsi"/>
          <w:sz w:val="19"/>
          <w:szCs w:val="19"/>
        </w:rPr>
        <w:t>A school percentile (1-99) represents a school’s overall performance relative to other schools statewide within the same grade span. The school percentile comprises all of the indicators included in the PPI, and is reported for schools that have at least four years of data, A school with a percentile of 20 or lower is among the worst performing 20 percent of schools statewide.</w:t>
      </w:r>
    </w:p>
    <w:p w14:paraId="692DFE57" w14:textId="77777777" w:rsidR="00925001" w:rsidRPr="00217D3C" w:rsidRDefault="00925001" w:rsidP="00DD1BB7">
      <w:pPr>
        <w:pStyle w:val="ListParagraph"/>
        <w:numPr>
          <w:ilvl w:val="1"/>
          <w:numId w:val="18"/>
        </w:numPr>
        <w:spacing w:before="80" w:after="80"/>
        <w:ind w:left="720" w:hanging="360"/>
        <w:contextualSpacing w:val="0"/>
        <w:rPr>
          <w:rFonts w:asciiTheme="minorHAnsi" w:hAnsiTheme="minorHAnsi"/>
          <w:sz w:val="19"/>
          <w:szCs w:val="19"/>
        </w:rPr>
      </w:pPr>
      <w:r w:rsidRPr="00217D3C">
        <w:rPr>
          <w:rFonts w:asciiTheme="minorHAnsi" w:hAnsiTheme="minorHAnsi"/>
          <w:sz w:val="19"/>
          <w:szCs w:val="19"/>
        </w:rPr>
        <w:t>Accountability level</w:t>
      </w:r>
    </w:p>
    <w:p w14:paraId="692DFE58" w14:textId="77777777" w:rsidR="00357A58" w:rsidRPr="00217D3C" w:rsidRDefault="00357A58" w:rsidP="00DD1BB7">
      <w:pPr>
        <w:pStyle w:val="ListParagraph"/>
        <w:spacing w:before="80" w:after="80"/>
        <w:contextualSpacing w:val="0"/>
        <w:rPr>
          <w:rFonts w:asciiTheme="minorHAnsi" w:hAnsiTheme="minorHAnsi"/>
          <w:sz w:val="19"/>
          <w:szCs w:val="19"/>
        </w:rPr>
      </w:pPr>
      <w:r w:rsidRPr="00217D3C">
        <w:rPr>
          <w:rFonts w:asciiTheme="minorHAnsi" w:hAnsiTheme="minorHAnsi"/>
          <w:sz w:val="19"/>
          <w:szCs w:val="19"/>
        </w:rPr>
        <w:t>All schools with sufficient data are classified into Levels 1-5, with the highest performing in Level 1 and the lowest performing in Level 3 through 5. Approximately 80 percent of schools statewide are classified into Level 1 or 2 based on the cumulative PPI of all students and high needs students. For a school to be classified into Level 1, the cumulative PPI for all students and high needs students must be 75 or higher.</w:t>
      </w:r>
    </w:p>
    <w:p w14:paraId="692DFE59" w14:textId="77777777" w:rsidR="00925001" w:rsidRPr="00217D3C" w:rsidRDefault="00DB40C5" w:rsidP="00DD1BB7">
      <w:pPr>
        <w:pStyle w:val="ListParagraph"/>
        <w:numPr>
          <w:ilvl w:val="1"/>
          <w:numId w:val="18"/>
        </w:numPr>
        <w:spacing w:before="80" w:after="80"/>
        <w:ind w:left="720" w:hanging="360"/>
        <w:contextualSpacing w:val="0"/>
        <w:rPr>
          <w:rFonts w:asciiTheme="minorHAnsi" w:hAnsiTheme="minorHAnsi"/>
          <w:sz w:val="19"/>
          <w:szCs w:val="19"/>
        </w:rPr>
      </w:pPr>
      <w:r w:rsidRPr="00217D3C">
        <w:rPr>
          <w:rFonts w:asciiTheme="minorHAnsi" w:hAnsiTheme="minorHAnsi"/>
          <w:sz w:val="19"/>
          <w:szCs w:val="19"/>
        </w:rPr>
        <w:t>Other indicators</w:t>
      </w:r>
    </w:p>
    <w:p w14:paraId="692DFE5A" w14:textId="77777777" w:rsidR="00357A58" w:rsidRPr="00217D3C" w:rsidRDefault="00357A58" w:rsidP="00DD1BB7">
      <w:pPr>
        <w:pStyle w:val="ListParagraph"/>
        <w:spacing w:before="80" w:after="80"/>
        <w:contextualSpacing w:val="0"/>
        <w:rPr>
          <w:rFonts w:asciiTheme="minorHAnsi" w:hAnsiTheme="minorHAnsi"/>
          <w:sz w:val="19"/>
          <w:szCs w:val="19"/>
        </w:rPr>
      </w:pPr>
      <w:r w:rsidRPr="00217D3C">
        <w:rPr>
          <w:rFonts w:asciiTheme="minorHAnsi" w:hAnsiTheme="minorHAnsi"/>
          <w:sz w:val="19"/>
          <w:szCs w:val="19"/>
        </w:rPr>
        <w:lastRenderedPageBreak/>
        <w:t xml:space="preserve">In the event that a school believes that the core indicators are not fully representative of student performance at the school (including instances where the school’s PPI may meet or exceed 75, but the school is classified in Level 3), </w:t>
      </w:r>
      <w:r w:rsidR="0045193F">
        <w:rPr>
          <w:rFonts w:asciiTheme="minorHAnsi" w:hAnsiTheme="minorHAnsi"/>
          <w:sz w:val="19"/>
          <w:szCs w:val="19"/>
        </w:rPr>
        <w:t>ESE</w:t>
      </w:r>
      <w:r w:rsidRPr="00217D3C">
        <w:rPr>
          <w:rFonts w:asciiTheme="minorHAnsi" w:hAnsiTheme="minorHAnsi"/>
          <w:sz w:val="19"/>
          <w:szCs w:val="19"/>
        </w:rPr>
        <w:t xml:space="preserve"> may consider request to review additional valid and reliable date demonstrating the progress the school has made in meeting this benchmark, and will review such evidence on a case-by-case basis. The most compelling cases will focus primarily on a strong body of evidence that points to consistent performance improvements over the certificate’s term. In addition, while </w:t>
      </w:r>
      <w:r w:rsidR="0045193F">
        <w:rPr>
          <w:rFonts w:asciiTheme="minorHAnsi" w:hAnsiTheme="minorHAnsi"/>
          <w:sz w:val="19"/>
          <w:szCs w:val="19"/>
        </w:rPr>
        <w:t>ESE</w:t>
      </w:r>
      <w:r w:rsidRPr="00217D3C">
        <w:rPr>
          <w:rFonts w:asciiTheme="minorHAnsi" w:hAnsiTheme="minorHAnsi"/>
          <w:sz w:val="19"/>
          <w:szCs w:val="19"/>
        </w:rPr>
        <w:t xml:space="preserve"> will consider other assessment data as supplementary evidence for a school’s performance, it will not supplant state assessment results with other assessment results.</w:t>
      </w:r>
    </w:p>
    <w:p w14:paraId="692DFE5B" w14:textId="77777777" w:rsidR="00357A58" w:rsidRPr="00217D3C" w:rsidRDefault="00357A58" w:rsidP="00DD1BB7">
      <w:pPr>
        <w:pStyle w:val="ListParagraph"/>
        <w:spacing w:before="80" w:after="80"/>
        <w:contextualSpacing w:val="0"/>
        <w:rPr>
          <w:rFonts w:asciiTheme="minorHAnsi" w:hAnsiTheme="minorHAnsi"/>
          <w:sz w:val="19"/>
          <w:szCs w:val="19"/>
        </w:rPr>
      </w:pPr>
      <w:r w:rsidRPr="00217D3C">
        <w:rPr>
          <w:rFonts w:asciiTheme="minorHAnsi" w:hAnsiTheme="minorHAnsi"/>
          <w:sz w:val="19"/>
          <w:szCs w:val="19"/>
        </w:rPr>
        <w:t xml:space="preserve">Schools are free to articulate additional student performance measures using state or other assessment instruments that align with their certificate, with the approval of </w:t>
      </w:r>
      <w:r w:rsidR="0045193F">
        <w:rPr>
          <w:rFonts w:asciiTheme="minorHAnsi" w:hAnsiTheme="minorHAnsi"/>
          <w:sz w:val="19"/>
          <w:szCs w:val="19"/>
        </w:rPr>
        <w:t>ESE</w:t>
      </w:r>
      <w:r w:rsidRPr="00217D3C">
        <w:rPr>
          <w:rFonts w:asciiTheme="minorHAnsi" w:hAnsiTheme="minorHAnsi"/>
          <w:sz w:val="19"/>
          <w:szCs w:val="19"/>
        </w:rPr>
        <w:t xml:space="preserve">, which will be codified with the school’s Accountability Plan and assessed </w:t>
      </w:r>
      <w:r w:rsidR="008B7805" w:rsidRPr="00217D3C">
        <w:rPr>
          <w:rFonts w:asciiTheme="minorHAnsi" w:hAnsiTheme="minorHAnsi"/>
          <w:sz w:val="19"/>
          <w:szCs w:val="19"/>
        </w:rPr>
        <w:t>in this section</w:t>
      </w:r>
      <w:r w:rsidRPr="00217D3C">
        <w:rPr>
          <w:rFonts w:asciiTheme="minorHAnsi" w:hAnsiTheme="minorHAnsi"/>
          <w:sz w:val="19"/>
          <w:szCs w:val="19"/>
        </w:rPr>
        <w:t>.</w:t>
      </w:r>
    </w:p>
    <w:p w14:paraId="692DFE5C" w14:textId="77777777" w:rsidR="00357A58" w:rsidRPr="00217D3C" w:rsidRDefault="00357A58" w:rsidP="00DD1BB7">
      <w:pPr>
        <w:pStyle w:val="ListParagraph"/>
        <w:spacing w:before="80" w:after="80"/>
        <w:ind w:hanging="720"/>
        <w:contextualSpacing w:val="0"/>
        <w:rPr>
          <w:rFonts w:asciiTheme="minorHAnsi" w:hAnsiTheme="minorHAnsi"/>
          <w:sz w:val="19"/>
          <w:szCs w:val="19"/>
        </w:rPr>
      </w:pPr>
      <w:r w:rsidRPr="00217D3C">
        <w:rPr>
          <w:rFonts w:asciiTheme="minorHAnsi" w:hAnsiTheme="minorHAnsi"/>
          <w:sz w:val="19"/>
          <w:szCs w:val="19"/>
        </w:rPr>
        <w:t>NOTES:</w:t>
      </w:r>
      <w:r w:rsidRPr="00217D3C">
        <w:rPr>
          <w:rFonts w:asciiTheme="minorHAnsi" w:hAnsiTheme="minorHAnsi"/>
          <w:sz w:val="19"/>
          <w:szCs w:val="19"/>
        </w:rPr>
        <w:tab/>
        <w:t>The period of evaluation will focus on the beginning of the certificate term through the end of the penultimate year of the certificate term, though historical data from prior related operational history will also be considered. For example, if a school’s certificate term runs from July 1, 2012, through June 30, 2017, the data under consideration will include results available through the end of the 2015-2016 school. For renewal terms, the last year of the prior certificate term will be considered as a baseline for the next certificate term, and longer-term historical trends may also be considered.</w:t>
      </w:r>
    </w:p>
    <w:p w14:paraId="692DFE5D" w14:textId="77777777" w:rsidR="00357A58" w:rsidRPr="00217D3C" w:rsidRDefault="00357A58" w:rsidP="00DD1BB7">
      <w:pPr>
        <w:pStyle w:val="ListParagraph"/>
        <w:spacing w:before="80" w:after="80"/>
        <w:contextualSpacing w:val="0"/>
        <w:rPr>
          <w:rFonts w:asciiTheme="minorHAnsi" w:hAnsiTheme="minorHAnsi"/>
          <w:sz w:val="19"/>
          <w:szCs w:val="19"/>
        </w:rPr>
      </w:pPr>
      <w:r w:rsidRPr="00217D3C">
        <w:rPr>
          <w:rFonts w:asciiTheme="minorHAnsi" w:hAnsiTheme="minorHAnsi"/>
          <w:sz w:val="19"/>
          <w:szCs w:val="19"/>
        </w:rPr>
        <w:t>All academic performance standards are based on state assessments and data collected through the Student Information Management System (SIMS), including graduation rate and drop-out rate data, for all tested subjects at all grade levels and all accountability subgroups unless otherwise indicated.</w:t>
      </w:r>
    </w:p>
    <w:p w14:paraId="692DFE5E" w14:textId="77777777" w:rsidR="00357A58" w:rsidRPr="00217D3C" w:rsidRDefault="0045193F" w:rsidP="00DD1BB7">
      <w:pPr>
        <w:pStyle w:val="ListParagraph"/>
        <w:spacing w:before="80" w:after="80"/>
        <w:contextualSpacing w:val="0"/>
        <w:rPr>
          <w:rFonts w:asciiTheme="minorHAnsi" w:hAnsiTheme="minorHAnsi"/>
          <w:sz w:val="19"/>
          <w:szCs w:val="19"/>
        </w:rPr>
      </w:pPr>
      <w:r>
        <w:rPr>
          <w:rFonts w:asciiTheme="minorHAnsi" w:hAnsiTheme="minorHAnsi"/>
          <w:sz w:val="19"/>
          <w:szCs w:val="19"/>
        </w:rPr>
        <w:t>ESE</w:t>
      </w:r>
      <w:r w:rsidR="00357A58" w:rsidRPr="00217D3C">
        <w:rPr>
          <w:rFonts w:asciiTheme="minorHAnsi" w:hAnsiTheme="minorHAnsi"/>
          <w:sz w:val="19"/>
          <w:szCs w:val="19"/>
        </w:rPr>
        <w:t xml:space="preserve"> may consider the performance of the school in comparison with other public schools with similar demographics in the district of location and the state, particularly in instances where the school does not meet state student performance standards.</w:t>
      </w:r>
    </w:p>
    <w:p w14:paraId="692DFE5F" w14:textId="77777777" w:rsidR="00357A58" w:rsidRPr="00217D3C" w:rsidRDefault="0045193F" w:rsidP="00DD1BB7">
      <w:pPr>
        <w:pStyle w:val="ListParagraph"/>
        <w:spacing w:before="80" w:after="80"/>
        <w:contextualSpacing w:val="0"/>
        <w:rPr>
          <w:rFonts w:asciiTheme="minorHAnsi" w:hAnsiTheme="minorHAnsi"/>
          <w:sz w:val="19"/>
          <w:szCs w:val="19"/>
        </w:rPr>
      </w:pPr>
      <w:r>
        <w:rPr>
          <w:rFonts w:asciiTheme="minorHAnsi" w:hAnsiTheme="minorHAnsi"/>
          <w:sz w:val="19"/>
          <w:szCs w:val="19"/>
        </w:rPr>
        <w:t>ESE</w:t>
      </w:r>
      <w:r w:rsidR="00357A58" w:rsidRPr="00217D3C">
        <w:rPr>
          <w:rFonts w:asciiTheme="minorHAnsi" w:hAnsiTheme="minorHAnsi"/>
          <w:sz w:val="19"/>
          <w:szCs w:val="19"/>
        </w:rPr>
        <w:t xml:space="preserve"> reserves the right to revise the measures used in this criterion in order to accommodate changes in state assessments, metrics, or accountability requirements, including any new U.S. Department of Education requirements that may be enacted during the certificate term. </w:t>
      </w:r>
      <w:r>
        <w:rPr>
          <w:rFonts w:asciiTheme="minorHAnsi" w:hAnsiTheme="minorHAnsi"/>
          <w:sz w:val="19"/>
          <w:szCs w:val="19"/>
        </w:rPr>
        <w:t>ESE may develop</w:t>
      </w:r>
      <w:r w:rsidR="00357A58" w:rsidRPr="00217D3C">
        <w:rPr>
          <w:rFonts w:asciiTheme="minorHAnsi" w:hAnsiTheme="minorHAnsi"/>
          <w:sz w:val="19"/>
          <w:szCs w:val="19"/>
        </w:rPr>
        <w:t xml:space="preserve"> additional performance measures for virtual schools that develop alternative education programs.</w:t>
      </w:r>
    </w:p>
    <w:p w14:paraId="692DFE60" w14:textId="77777777" w:rsidR="00925001" w:rsidRDefault="00925001" w:rsidP="00925001">
      <w:pPr>
        <w:pStyle w:val="Heading3"/>
        <w:numPr>
          <w:ilvl w:val="0"/>
          <w:numId w:val="16"/>
        </w:numPr>
      </w:pPr>
      <w:bookmarkStart w:id="13" w:name="_Toc398114654"/>
      <w:r>
        <w:rPr>
          <w:rFonts w:asciiTheme="minorHAnsi" w:hAnsiTheme="minorHAnsi"/>
          <w:sz w:val="22"/>
        </w:rPr>
        <w:t>Program delivery</w:t>
      </w:r>
      <w:bookmarkEnd w:id="13"/>
    </w:p>
    <w:p w14:paraId="692DFE61" w14:textId="77777777" w:rsidR="00925001" w:rsidRPr="00217D3C" w:rsidRDefault="00925001" w:rsidP="00925001">
      <w:pPr>
        <w:spacing w:before="80" w:after="80"/>
        <w:ind w:left="360"/>
        <w:rPr>
          <w:rFonts w:asciiTheme="minorHAnsi" w:hAnsiTheme="minorHAnsi"/>
          <w:b/>
          <w:sz w:val="19"/>
          <w:szCs w:val="19"/>
        </w:rPr>
      </w:pPr>
      <w:r w:rsidRPr="00217D3C">
        <w:rPr>
          <w:rFonts w:asciiTheme="minorHAnsi" w:hAnsiTheme="minorHAnsi"/>
          <w:b/>
          <w:sz w:val="19"/>
          <w:szCs w:val="19"/>
        </w:rPr>
        <w:t>The school delivers an academic program that delivers improved academic outcomes and educational success for all students.</w:t>
      </w:r>
    </w:p>
    <w:p w14:paraId="692DFE62" w14:textId="77777777" w:rsidR="00925001" w:rsidRPr="00217D3C" w:rsidRDefault="00925001" w:rsidP="00925001">
      <w:pPr>
        <w:spacing w:before="80" w:after="80"/>
        <w:ind w:left="360"/>
        <w:rPr>
          <w:rFonts w:asciiTheme="minorHAnsi" w:hAnsiTheme="minorHAnsi"/>
          <w:b/>
          <w:sz w:val="19"/>
          <w:szCs w:val="19"/>
        </w:rPr>
      </w:pPr>
      <w:r w:rsidRPr="00217D3C">
        <w:rPr>
          <w:rFonts w:asciiTheme="minorHAnsi" w:hAnsiTheme="minorHAnsi"/>
          <w:sz w:val="19"/>
          <w:szCs w:val="19"/>
        </w:rPr>
        <w:t>Key indicators include but are not limited to:</w:t>
      </w:r>
    </w:p>
    <w:p w14:paraId="692DFE63" w14:textId="77777777" w:rsidR="007F3EEE" w:rsidRPr="00217D3C" w:rsidRDefault="007F3EEE" w:rsidP="00DD1BB7">
      <w:pPr>
        <w:pStyle w:val="ListParagraph"/>
        <w:numPr>
          <w:ilvl w:val="1"/>
          <w:numId w:val="18"/>
        </w:numPr>
        <w:spacing w:before="80" w:after="80"/>
        <w:ind w:left="720" w:hanging="360"/>
        <w:contextualSpacing w:val="0"/>
        <w:rPr>
          <w:rFonts w:asciiTheme="minorHAnsi" w:hAnsiTheme="minorHAnsi"/>
          <w:sz w:val="19"/>
          <w:szCs w:val="19"/>
        </w:rPr>
      </w:pPr>
      <w:r w:rsidRPr="00217D3C">
        <w:rPr>
          <w:rFonts w:asciiTheme="minorHAnsi" w:hAnsiTheme="minorHAnsi"/>
          <w:sz w:val="19"/>
          <w:szCs w:val="19"/>
        </w:rPr>
        <w:t>Curriculum</w:t>
      </w:r>
    </w:p>
    <w:p w14:paraId="692DFE64" w14:textId="77777777" w:rsidR="007F3EEE" w:rsidRPr="00217D3C" w:rsidRDefault="00F136C6" w:rsidP="00DD1BB7">
      <w:pPr>
        <w:pStyle w:val="ListParagraph"/>
        <w:numPr>
          <w:ilvl w:val="2"/>
          <w:numId w:val="20"/>
        </w:numPr>
        <w:spacing w:before="80" w:after="80"/>
        <w:ind w:left="1080" w:hanging="360"/>
        <w:contextualSpacing w:val="0"/>
        <w:rPr>
          <w:rFonts w:asciiTheme="minorHAnsi" w:hAnsiTheme="minorHAnsi"/>
          <w:sz w:val="19"/>
          <w:szCs w:val="19"/>
        </w:rPr>
      </w:pPr>
      <w:r w:rsidRPr="00217D3C">
        <w:rPr>
          <w:rFonts w:asciiTheme="minorHAnsi" w:hAnsiTheme="minorHAnsi"/>
          <w:sz w:val="19"/>
          <w:szCs w:val="19"/>
        </w:rPr>
        <w:t xml:space="preserve">The school’s documented curriculum is aligned to state curriculum frameworks and </w:t>
      </w:r>
      <w:r w:rsidR="007F3EEE" w:rsidRPr="00217D3C">
        <w:rPr>
          <w:rFonts w:asciiTheme="minorHAnsi" w:hAnsiTheme="minorHAnsi"/>
          <w:sz w:val="19"/>
          <w:szCs w:val="19"/>
        </w:rPr>
        <w:t>expectations</w:t>
      </w:r>
    </w:p>
    <w:p w14:paraId="692DFE65" w14:textId="77777777" w:rsidR="007F3EEE" w:rsidRPr="00217D3C" w:rsidRDefault="007F3EEE" w:rsidP="00DD1BB7">
      <w:pPr>
        <w:pStyle w:val="ListParagraph"/>
        <w:numPr>
          <w:ilvl w:val="2"/>
          <w:numId w:val="20"/>
        </w:numPr>
        <w:spacing w:before="80" w:after="80"/>
        <w:ind w:left="1080" w:hanging="360"/>
        <w:contextualSpacing w:val="0"/>
        <w:rPr>
          <w:rFonts w:asciiTheme="minorHAnsi" w:hAnsiTheme="minorHAnsi"/>
          <w:sz w:val="19"/>
          <w:szCs w:val="19"/>
        </w:rPr>
      </w:pPr>
      <w:r w:rsidRPr="00217D3C">
        <w:rPr>
          <w:rFonts w:asciiTheme="minorHAnsi" w:hAnsiTheme="minorHAnsi"/>
          <w:sz w:val="19"/>
          <w:szCs w:val="19"/>
        </w:rPr>
        <w:t xml:space="preserve">The school’s documented curriculum is </w:t>
      </w:r>
      <w:r w:rsidR="00F136C6" w:rsidRPr="00217D3C">
        <w:rPr>
          <w:rFonts w:asciiTheme="minorHAnsi" w:hAnsiTheme="minorHAnsi"/>
          <w:sz w:val="19"/>
          <w:szCs w:val="19"/>
        </w:rPr>
        <w:t>aligned vertically between grades and horizontally across cla</w:t>
      </w:r>
      <w:r w:rsidR="00217D3C">
        <w:rPr>
          <w:rFonts w:asciiTheme="minorHAnsi" w:hAnsiTheme="minorHAnsi"/>
          <w:sz w:val="19"/>
          <w:szCs w:val="19"/>
        </w:rPr>
        <w:t>ssrooms at the same grade level and</w:t>
      </w:r>
      <w:r w:rsidR="00F136C6" w:rsidRPr="00217D3C">
        <w:rPr>
          <w:rFonts w:asciiTheme="minorHAnsi" w:hAnsiTheme="minorHAnsi"/>
          <w:sz w:val="19"/>
          <w:szCs w:val="19"/>
        </w:rPr>
        <w:t xml:space="preserve"> fully im</w:t>
      </w:r>
      <w:r w:rsidRPr="00217D3C">
        <w:rPr>
          <w:rFonts w:asciiTheme="minorHAnsi" w:hAnsiTheme="minorHAnsi"/>
          <w:sz w:val="19"/>
          <w:szCs w:val="19"/>
        </w:rPr>
        <w:t xml:space="preserve">plemented in </w:t>
      </w:r>
      <w:r w:rsidR="00217D3C">
        <w:rPr>
          <w:rFonts w:asciiTheme="minorHAnsi" w:hAnsiTheme="minorHAnsi"/>
          <w:sz w:val="19"/>
          <w:szCs w:val="19"/>
        </w:rPr>
        <w:t>all courses</w:t>
      </w:r>
    </w:p>
    <w:p w14:paraId="692DFE66" w14:textId="77777777" w:rsidR="007F3EEE" w:rsidRPr="00217D3C" w:rsidRDefault="007F3EEE" w:rsidP="00DD1BB7">
      <w:pPr>
        <w:pStyle w:val="ListParagraph"/>
        <w:numPr>
          <w:ilvl w:val="2"/>
          <w:numId w:val="20"/>
        </w:numPr>
        <w:spacing w:before="80" w:after="80"/>
        <w:ind w:left="1080" w:hanging="360"/>
        <w:contextualSpacing w:val="0"/>
        <w:rPr>
          <w:rFonts w:asciiTheme="minorHAnsi" w:hAnsiTheme="minorHAnsi"/>
          <w:sz w:val="19"/>
          <w:szCs w:val="19"/>
        </w:rPr>
      </w:pPr>
      <w:r w:rsidRPr="00217D3C">
        <w:rPr>
          <w:rFonts w:asciiTheme="minorHAnsi" w:hAnsiTheme="minorHAnsi"/>
          <w:sz w:val="19"/>
          <w:szCs w:val="19"/>
        </w:rPr>
        <w:t xml:space="preserve">The school’s documented curriculum </w:t>
      </w:r>
      <w:r w:rsidR="00F136C6" w:rsidRPr="00217D3C">
        <w:rPr>
          <w:rFonts w:asciiTheme="minorHAnsi" w:hAnsiTheme="minorHAnsi"/>
          <w:sz w:val="19"/>
          <w:szCs w:val="19"/>
        </w:rPr>
        <w:t xml:space="preserve">supports opportunities for all students to master skills and concepts. </w:t>
      </w:r>
    </w:p>
    <w:p w14:paraId="692DFE67" w14:textId="77777777" w:rsidR="00F136C6" w:rsidRPr="00217D3C" w:rsidRDefault="007F3EEE" w:rsidP="00DD1BB7">
      <w:pPr>
        <w:pStyle w:val="ListParagraph"/>
        <w:numPr>
          <w:ilvl w:val="2"/>
          <w:numId w:val="20"/>
        </w:numPr>
        <w:spacing w:before="80" w:after="80"/>
        <w:ind w:left="1080" w:hanging="360"/>
        <w:contextualSpacing w:val="0"/>
        <w:rPr>
          <w:rFonts w:asciiTheme="minorHAnsi" w:hAnsiTheme="minorHAnsi"/>
          <w:sz w:val="19"/>
          <w:szCs w:val="19"/>
        </w:rPr>
      </w:pPr>
      <w:r w:rsidRPr="00217D3C">
        <w:rPr>
          <w:rFonts w:asciiTheme="minorHAnsi" w:hAnsiTheme="minorHAnsi"/>
          <w:sz w:val="19"/>
          <w:szCs w:val="19"/>
        </w:rPr>
        <w:t xml:space="preserve">The school’s documented curriculum is </w:t>
      </w:r>
      <w:r w:rsidR="00217D3C">
        <w:rPr>
          <w:rFonts w:asciiTheme="minorHAnsi" w:hAnsiTheme="minorHAnsi"/>
          <w:sz w:val="19"/>
          <w:szCs w:val="19"/>
        </w:rPr>
        <w:t>regularly reviewed and revised</w:t>
      </w:r>
      <w:r w:rsidRPr="00217D3C">
        <w:rPr>
          <w:rFonts w:asciiTheme="minorHAnsi" w:hAnsiTheme="minorHAnsi"/>
          <w:sz w:val="19"/>
          <w:szCs w:val="19"/>
        </w:rPr>
        <w:t>.</w:t>
      </w:r>
      <w:r w:rsidR="00217D3C">
        <w:rPr>
          <w:rStyle w:val="FootnoteReference"/>
          <w:rFonts w:asciiTheme="minorHAnsi" w:hAnsiTheme="minorHAnsi"/>
          <w:sz w:val="19"/>
          <w:szCs w:val="19"/>
        </w:rPr>
        <w:footnoteReference w:id="1"/>
      </w:r>
    </w:p>
    <w:p w14:paraId="692DFE68" w14:textId="77777777" w:rsidR="007F3EEE" w:rsidRPr="00217D3C" w:rsidRDefault="00FA0A57" w:rsidP="00DD1BB7">
      <w:pPr>
        <w:pStyle w:val="ListParagraph"/>
        <w:numPr>
          <w:ilvl w:val="1"/>
          <w:numId w:val="18"/>
        </w:numPr>
        <w:spacing w:before="80" w:after="80"/>
        <w:ind w:left="720" w:hanging="360"/>
        <w:contextualSpacing w:val="0"/>
        <w:rPr>
          <w:rFonts w:asciiTheme="minorHAnsi" w:hAnsiTheme="minorHAnsi"/>
          <w:sz w:val="19"/>
          <w:szCs w:val="19"/>
        </w:rPr>
      </w:pPr>
      <w:r w:rsidRPr="00217D3C">
        <w:rPr>
          <w:rFonts w:asciiTheme="minorHAnsi" w:hAnsiTheme="minorHAnsi"/>
          <w:sz w:val="19"/>
          <w:szCs w:val="19"/>
        </w:rPr>
        <w:t>Instruction</w:t>
      </w:r>
    </w:p>
    <w:p w14:paraId="692DFE69" w14:textId="77777777" w:rsidR="007F3EEE" w:rsidRPr="00217D3C" w:rsidRDefault="00217D3C" w:rsidP="00DD1BB7">
      <w:pPr>
        <w:pStyle w:val="ListParagraph"/>
        <w:numPr>
          <w:ilvl w:val="2"/>
          <w:numId w:val="20"/>
        </w:numPr>
        <w:spacing w:before="80" w:after="80"/>
        <w:ind w:left="1080" w:hanging="360"/>
        <w:contextualSpacing w:val="0"/>
        <w:rPr>
          <w:rFonts w:asciiTheme="minorHAnsi" w:hAnsiTheme="minorHAnsi"/>
          <w:sz w:val="19"/>
          <w:szCs w:val="19"/>
        </w:rPr>
      </w:pPr>
      <w:r>
        <w:rPr>
          <w:rFonts w:asciiTheme="minorHAnsi" w:hAnsiTheme="minorHAnsi"/>
          <w:sz w:val="19"/>
          <w:szCs w:val="19"/>
        </w:rPr>
        <w:t>S</w:t>
      </w:r>
      <w:r w:rsidR="00F136C6" w:rsidRPr="00217D3C">
        <w:rPr>
          <w:rFonts w:asciiTheme="minorHAnsi" w:hAnsiTheme="minorHAnsi"/>
          <w:sz w:val="19"/>
          <w:szCs w:val="19"/>
        </w:rPr>
        <w:t xml:space="preserve">chool staff </w:t>
      </w:r>
      <w:r>
        <w:rPr>
          <w:rFonts w:asciiTheme="minorHAnsi" w:hAnsiTheme="minorHAnsi"/>
          <w:sz w:val="19"/>
          <w:szCs w:val="19"/>
        </w:rPr>
        <w:t>have</w:t>
      </w:r>
      <w:r w:rsidR="00F136C6" w:rsidRPr="00217D3C">
        <w:rPr>
          <w:rFonts w:asciiTheme="minorHAnsi" w:hAnsiTheme="minorHAnsi"/>
          <w:sz w:val="19"/>
          <w:szCs w:val="19"/>
        </w:rPr>
        <w:t xml:space="preserve"> a common understanding of high-quality instruction.</w:t>
      </w:r>
    </w:p>
    <w:p w14:paraId="692DFE6A" w14:textId="77777777" w:rsidR="007F3EEE" w:rsidRPr="00217D3C" w:rsidRDefault="00F136C6" w:rsidP="00DD1BB7">
      <w:pPr>
        <w:pStyle w:val="ListParagraph"/>
        <w:numPr>
          <w:ilvl w:val="2"/>
          <w:numId w:val="20"/>
        </w:numPr>
        <w:spacing w:before="80" w:after="80"/>
        <w:ind w:left="1080" w:hanging="360"/>
        <w:contextualSpacing w:val="0"/>
        <w:rPr>
          <w:rFonts w:asciiTheme="minorHAnsi" w:hAnsiTheme="minorHAnsi"/>
          <w:sz w:val="19"/>
          <w:szCs w:val="19"/>
        </w:rPr>
      </w:pPr>
      <w:r w:rsidRPr="00217D3C">
        <w:rPr>
          <w:rFonts w:asciiTheme="minorHAnsi" w:hAnsiTheme="minorHAnsi"/>
          <w:sz w:val="19"/>
          <w:szCs w:val="19"/>
        </w:rPr>
        <w:t xml:space="preserve">Instructional practices are aligned to </w:t>
      </w:r>
      <w:r w:rsidR="007F3EEE" w:rsidRPr="00217D3C">
        <w:rPr>
          <w:rFonts w:asciiTheme="minorHAnsi" w:hAnsiTheme="minorHAnsi"/>
          <w:sz w:val="19"/>
          <w:szCs w:val="19"/>
        </w:rPr>
        <w:t>a</w:t>
      </w:r>
      <w:r w:rsidRPr="00217D3C">
        <w:rPr>
          <w:rFonts w:asciiTheme="minorHAnsi" w:hAnsiTheme="minorHAnsi"/>
          <w:sz w:val="19"/>
          <w:szCs w:val="19"/>
        </w:rPr>
        <w:t xml:space="preserve"> common understanding and based on high expectations for all students. </w:t>
      </w:r>
    </w:p>
    <w:p w14:paraId="692DFE6B" w14:textId="77777777" w:rsidR="007F3EEE" w:rsidRPr="00217D3C" w:rsidRDefault="00F136C6" w:rsidP="00DD1BB7">
      <w:pPr>
        <w:pStyle w:val="ListParagraph"/>
        <w:numPr>
          <w:ilvl w:val="2"/>
          <w:numId w:val="20"/>
        </w:numPr>
        <w:spacing w:before="80" w:after="80"/>
        <w:ind w:left="1080" w:hanging="360"/>
        <w:contextualSpacing w:val="0"/>
        <w:rPr>
          <w:rFonts w:asciiTheme="minorHAnsi" w:hAnsiTheme="minorHAnsi"/>
          <w:sz w:val="19"/>
          <w:szCs w:val="19"/>
        </w:rPr>
      </w:pPr>
      <w:r w:rsidRPr="00217D3C">
        <w:rPr>
          <w:rFonts w:asciiTheme="minorHAnsi" w:hAnsiTheme="minorHAnsi"/>
          <w:sz w:val="19"/>
          <w:szCs w:val="19"/>
        </w:rPr>
        <w:t xml:space="preserve">Instruction fosters student engagement.  </w:t>
      </w:r>
    </w:p>
    <w:p w14:paraId="692DFE6C" w14:textId="77777777" w:rsidR="00F136C6" w:rsidRPr="00217D3C" w:rsidRDefault="00F136C6" w:rsidP="00DD1BB7">
      <w:pPr>
        <w:pStyle w:val="ListParagraph"/>
        <w:numPr>
          <w:ilvl w:val="2"/>
          <w:numId w:val="20"/>
        </w:numPr>
        <w:spacing w:before="80" w:after="80"/>
        <w:ind w:left="1080" w:hanging="360"/>
        <w:contextualSpacing w:val="0"/>
        <w:rPr>
          <w:rFonts w:asciiTheme="minorHAnsi" w:hAnsiTheme="minorHAnsi"/>
          <w:sz w:val="19"/>
          <w:szCs w:val="19"/>
        </w:rPr>
      </w:pPr>
      <w:r w:rsidRPr="00217D3C">
        <w:rPr>
          <w:rFonts w:asciiTheme="minorHAnsi" w:hAnsiTheme="minorHAnsi"/>
          <w:sz w:val="19"/>
          <w:szCs w:val="19"/>
        </w:rPr>
        <w:t>Instructional environments are conducive to learning</w:t>
      </w:r>
      <w:r w:rsidR="00217D3C">
        <w:rPr>
          <w:rFonts w:asciiTheme="minorHAnsi" w:hAnsiTheme="minorHAnsi"/>
          <w:sz w:val="19"/>
          <w:szCs w:val="19"/>
        </w:rPr>
        <w:t>.</w:t>
      </w:r>
      <w:r w:rsidR="00217D3C">
        <w:rPr>
          <w:rStyle w:val="FootnoteReference"/>
          <w:rFonts w:asciiTheme="minorHAnsi" w:hAnsiTheme="minorHAnsi"/>
          <w:sz w:val="19"/>
          <w:szCs w:val="19"/>
        </w:rPr>
        <w:footnoteReference w:id="2"/>
      </w:r>
    </w:p>
    <w:p w14:paraId="692DFE6D" w14:textId="77777777" w:rsidR="007F3EEE" w:rsidRPr="00217D3C" w:rsidRDefault="00F136C6" w:rsidP="00DD1BB7">
      <w:pPr>
        <w:pStyle w:val="ListParagraph"/>
        <w:numPr>
          <w:ilvl w:val="1"/>
          <w:numId w:val="18"/>
        </w:numPr>
        <w:spacing w:before="80" w:after="80"/>
        <w:ind w:left="720" w:hanging="360"/>
        <w:contextualSpacing w:val="0"/>
        <w:rPr>
          <w:rFonts w:asciiTheme="minorHAnsi" w:hAnsiTheme="minorHAnsi"/>
          <w:sz w:val="19"/>
          <w:szCs w:val="19"/>
        </w:rPr>
      </w:pPr>
      <w:r w:rsidRPr="00217D3C">
        <w:rPr>
          <w:rFonts w:asciiTheme="minorHAnsi" w:hAnsiTheme="minorHAnsi"/>
          <w:sz w:val="19"/>
          <w:szCs w:val="19"/>
        </w:rPr>
        <w:t>Ass</w:t>
      </w:r>
      <w:r w:rsidR="00FA0A57" w:rsidRPr="00217D3C">
        <w:rPr>
          <w:rFonts w:asciiTheme="minorHAnsi" w:hAnsiTheme="minorHAnsi"/>
          <w:sz w:val="19"/>
          <w:szCs w:val="19"/>
        </w:rPr>
        <w:t>essment and program evaluation</w:t>
      </w:r>
    </w:p>
    <w:p w14:paraId="692DFE6E" w14:textId="77777777" w:rsidR="007F3EEE" w:rsidRPr="00217D3C" w:rsidRDefault="00F136C6" w:rsidP="00DD1BB7">
      <w:pPr>
        <w:pStyle w:val="ListParagraph"/>
        <w:numPr>
          <w:ilvl w:val="2"/>
          <w:numId w:val="20"/>
        </w:numPr>
        <w:spacing w:before="80" w:after="80"/>
        <w:ind w:left="1080" w:hanging="360"/>
        <w:contextualSpacing w:val="0"/>
        <w:rPr>
          <w:rFonts w:asciiTheme="minorHAnsi" w:hAnsiTheme="minorHAnsi"/>
          <w:sz w:val="19"/>
          <w:szCs w:val="19"/>
        </w:rPr>
      </w:pPr>
      <w:r w:rsidRPr="00217D3C">
        <w:rPr>
          <w:rFonts w:asciiTheme="minorHAnsi" w:hAnsiTheme="minorHAnsi"/>
          <w:sz w:val="19"/>
          <w:szCs w:val="19"/>
        </w:rPr>
        <w:t>The school uses a balanced system of formative, summa</w:t>
      </w:r>
      <w:r w:rsidR="007F3EEE" w:rsidRPr="00217D3C">
        <w:rPr>
          <w:rFonts w:asciiTheme="minorHAnsi" w:hAnsiTheme="minorHAnsi"/>
          <w:sz w:val="19"/>
          <w:szCs w:val="19"/>
        </w:rPr>
        <w:t>tive and benchmark assessments.</w:t>
      </w:r>
    </w:p>
    <w:p w14:paraId="692DFE6F" w14:textId="77777777" w:rsidR="007F3EEE" w:rsidRPr="00217D3C" w:rsidRDefault="00F136C6" w:rsidP="00DD1BB7">
      <w:pPr>
        <w:pStyle w:val="ListParagraph"/>
        <w:numPr>
          <w:ilvl w:val="2"/>
          <w:numId w:val="20"/>
        </w:numPr>
        <w:spacing w:before="80" w:after="80"/>
        <w:ind w:left="1080" w:hanging="360"/>
        <w:contextualSpacing w:val="0"/>
        <w:rPr>
          <w:rFonts w:asciiTheme="minorHAnsi" w:hAnsiTheme="minorHAnsi"/>
          <w:sz w:val="19"/>
          <w:szCs w:val="19"/>
        </w:rPr>
      </w:pPr>
      <w:r w:rsidRPr="00217D3C">
        <w:rPr>
          <w:rFonts w:asciiTheme="minorHAnsi" w:hAnsiTheme="minorHAnsi"/>
          <w:sz w:val="19"/>
          <w:szCs w:val="19"/>
        </w:rPr>
        <w:lastRenderedPageBreak/>
        <w:t>The school uses qualitative and quantitative data to improve student outcomes</w:t>
      </w:r>
      <w:r w:rsidR="007F3EEE" w:rsidRPr="00217D3C">
        <w:rPr>
          <w:rFonts w:asciiTheme="minorHAnsi" w:hAnsiTheme="minorHAnsi"/>
          <w:sz w:val="19"/>
          <w:szCs w:val="19"/>
        </w:rPr>
        <w:t>.</w:t>
      </w:r>
    </w:p>
    <w:p w14:paraId="692DFE70" w14:textId="77777777" w:rsidR="00F136C6" w:rsidRPr="00217D3C" w:rsidRDefault="007F3EEE" w:rsidP="00DD1BB7">
      <w:pPr>
        <w:pStyle w:val="ListParagraph"/>
        <w:numPr>
          <w:ilvl w:val="2"/>
          <w:numId w:val="20"/>
        </w:numPr>
        <w:spacing w:before="80" w:after="80"/>
        <w:ind w:left="1080" w:hanging="360"/>
        <w:contextualSpacing w:val="0"/>
        <w:rPr>
          <w:rFonts w:asciiTheme="minorHAnsi" w:hAnsiTheme="minorHAnsi"/>
          <w:sz w:val="19"/>
          <w:szCs w:val="19"/>
        </w:rPr>
      </w:pPr>
      <w:r w:rsidRPr="00217D3C">
        <w:rPr>
          <w:rFonts w:asciiTheme="minorHAnsi" w:hAnsiTheme="minorHAnsi"/>
          <w:sz w:val="19"/>
          <w:szCs w:val="19"/>
        </w:rPr>
        <w:t>The school uses qualitative and quantitative data</w:t>
      </w:r>
      <w:r w:rsidR="00F136C6" w:rsidRPr="00217D3C">
        <w:rPr>
          <w:rFonts w:asciiTheme="minorHAnsi" w:hAnsiTheme="minorHAnsi"/>
          <w:sz w:val="19"/>
          <w:szCs w:val="19"/>
        </w:rPr>
        <w:t xml:space="preserve"> to evaluate the quality and effectiveness of the program in serving all students and mo</w:t>
      </w:r>
      <w:r w:rsidR="00217D3C">
        <w:rPr>
          <w:rFonts w:asciiTheme="minorHAnsi" w:hAnsiTheme="minorHAnsi"/>
          <w:sz w:val="19"/>
          <w:szCs w:val="19"/>
        </w:rPr>
        <w:t>difies the program accordingly.</w:t>
      </w:r>
      <w:r w:rsidR="00217D3C" w:rsidRPr="00EE76CD">
        <w:rPr>
          <w:rFonts w:asciiTheme="minorHAnsi" w:hAnsiTheme="minorHAnsi"/>
          <w:sz w:val="19"/>
          <w:szCs w:val="19"/>
          <w:vertAlign w:val="superscript"/>
        </w:rPr>
        <w:footnoteReference w:id="3"/>
      </w:r>
    </w:p>
    <w:p w14:paraId="692DFE71" w14:textId="77777777" w:rsidR="00F136C6" w:rsidRPr="00217D3C" w:rsidRDefault="007F3EEE" w:rsidP="00DD1BB7">
      <w:pPr>
        <w:pStyle w:val="ListParagraph"/>
        <w:numPr>
          <w:ilvl w:val="2"/>
          <w:numId w:val="20"/>
        </w:numPr>
        <w:spacing w:before="80" w:after="80"/>
        <w:ind w:left="1080" w:hanging="360"/>
        <w:contextualSpacing w:val="0"/>
        <w:rPr>
          <w:rFonts w:asciiTheme="minorHAnsi" w:hAnsiTheme="minorHAnsi"/>
          <w:sz w:val="19"/>
          <w:szCs w:val="19"/>
        </w:rPr>
      </w:pPr>
      <w:r w:rsidRPr="00217D3C">
        <w:rPr>
          <w:rFonts w:asciiTheme="minorHAnsi" w:hAnsiTheme="minorHAnsi"/>
          <w:sz w:val="19"/>
          <w:szCs w:val="19"/>
        </w:rPr>
        <w:t>The school’s assessments enable</w:t>
      </w:r>
      <w:r w:rsidR="00F136C6" w:rsidRPr="00217D3C">
        <w:rPr>
          <w:rFonts w:asciiTheme="minorHAnsi" w:hAnsiTheme="minorHAnsi"/>
          <w:sz w:val="19"/>
          <w:szCs w:val="19"/>
        </w:rPr>
        <w:t xml:space="preserve"> students to monitor their own learning progress in order to adjust and improve upon their learning.</w:t>
      </w:r>
    </w:p>
    <w:p w14:paraId="692DFE72" w14:textId="77777777" w:rsidR="00F136C6" w:rsidRPr="00217D3C" w:rsidRDefault="007F3EEE" w:rsidP="00DD1BB7">
      <w:pPr>
        <w:pStyle w:val="ListParagraph"/>
        <w:numPr>
          <w:ilvl w:val="2"/>
          <w:numId w:val="20"/>
        </w:numPr>
        <w:spacing w:before="80" w:after="80"/>
        <w:ind w:left="1080" w:hanging="360"/>
        <w:contextualSpacing w:val="0"/>
        <w:rPr>
          <w:rFonts w:asciiTheme="minorHAnsi" w:hAnsiTheme="minorHAnsi"/>
          <w:sz w:val="19"/>
          <w:szCs w:val="19"/>
        </w:rPr>
      </w:pPr>
      <w:r w:rsidRPr="00217D3C">
        <w:rPr>
          <w:rFonts w:asciiTheme="minorHAnsi" w:hAnsiTheme="minorHAnsi"/>
          <w:sz w:val="19"/>
          <w:szCs w:val="19"/>
        </w:rPr>
        <w:t>The school’s assessments use</w:t>
      </w:r>
      <w:r w:rsidR="00F136C6" w:rsidRPr="00217D3C">
        <w:rPr>
          <w:rFonts w:asciiTheme="minorHAnsi" w:hAnsiTheme="minorHAnsi"/>
          <w:sz w:val="19"/>
          <w:szCs w:val="19"/>
        </w:rPr>
        <w:t xml:space="preserve"> a range of evidence and multiple methods including state assessments to assess student performance. </w:t>
      </w:r>
    </w:p>
    <w:p w14:paraId="692DFE73" w14:textId="77777777" w:rsidR="00F136C6" w:rsidRPr="00217D3C" w:rsidRDefault="007F3EEE" w:rsidP="00DD1BB7">
      <w:pPr>
        <w:pStyle w:val="ListParagraph"/>
        <w:numPr>
          <w:ilvl w:val="2"/>
          <w:numId w:val="20"/>
        </w:numPr>
        <w:spacing w:before="80" w:after="80"/>
        <w:ind w:left="1080" w:hanging="360"/>
        <w:contextualSpacing w:val="0"/>
        <w:rPr>
          <w:rFonts w:asciiTheme="minorHAnsi" w:hAnsiTheme="minorHAnsi"/>
          <w:sz w:val="19"/>
          <w:szCs w:val="19"/>
        </w:rPr>
      </w:pPr>
      <w:r w:rsidRPr="00217D3C">
        <w:rPr>
          <w:rFonts w:asciiTheme="minorHAnsi" w:hAnsiTheme="minorHAnsi"/>
          <w:sz w:val="19"/>
          <w:szCs w:val="19"/>
        </w:rPr>
        <w:t>The school assesses</w:t>
      </w:r>
      <w:r w:rsidR="00F136C6" w:rsidRPr="00217D3C">
        <w:rPr>
          <w:rFonts w:asciiTheme="minorHAnsi" w:hAnsiTheme="minorHAnsi"/>
          <w:sz w:val="19"/>
          <w:szCs w:val="19"/>
        </w:rPr>
        <w:t xml:space="preserve"> a variety of types of student performance and products. </w:t>
      </w:r>
    </w:p>
    <w:p w14:paraId="692DFE74" w14:textId="77777777" w:rsidR="00F136C6" w:rsidRPr="00217D3C" w:rsidRDefault="00C8168C" w:rsidP="00DD1BB7">
      <w:pPr>
        <w:pStyle w:val="ListParagraph"/>
        <w:numPr>
          <w:ilvl w:val="2"/>
          <w:numId w:val="20"/>
        </w:numPr>
        <w:spacing w:before="80" w:after="80"/>
        <w:ind w:left="1080" w:hanging="360"/>
        <w:contextualSpacing w:val="0"/>
        <w:rPr>
          <w:rFonts w:asciiTheme="minorHAnsi" w:hAnsiTheme="minorHAnsi"/>
          <w:sz w:val="19"/>
          <w:szCs w:val="19"/>
        </w:rPr>
      </w:pPr>
      <w:r w:rsidRPr="00217D3C">
        <w:rPr>
          <w:rFonts w:asciiTheme="minorHAnsi" w:hAnsiTheme="minorHAnsi"/>
          <w:sz w:val="19"/>
          <w:szCs w:val="19"/>
        </w:rPr>
        <w:t>The school u</w:t>
      </w:r>
      <w:r w:rsidR="00F136C6" w:rsidRPr="00217D3C">
        <w:rPr>
          <w:rFonts w:asciiTheme="minorHAnsi" w:hAnsiTheme="minorHAnsi"/>
          <w:sz w:val="19"/>
          <w:szCs w:val="19"/>
        </w:rPr>
        <w:t>ses formative assessments and district-determined measures to inform instructional practices.</w:t>
      </w:r>
    </w:p>
    <w:p w14:paraId="692DFE75" w14:textId="77777777" w:rsidR="00F136C6" w:rsidRPr="00217D3C" w:rsidRDefault="00C8168C" w:rsidP="00DD1BB7">
      <w:pPr>
        <w:pStyle w:val="ListParagraph"/>
        <w:numPr>
          <w:ilvl w:val="2"/>
          <w:numId w:val="20"/>
        </w:numPr>
        <w:spacing w:before="80" w:after="80"/>
        <w:ind w:left="1080" w:hanging="360"/>
        <w:contextualSpacing w:val="0"/>
        <w:rPr>
          <w:rFonts w:asciiTheme="minorHAnsi" w:hAnsiTheme="minorHAnsi"/>
          <w:sz w:val="19"/>
          <w:szCs w:val="19"/>
        </w:rPr>
      </w:pPr>
      <w:r w:rsidRPr="00217D3C">
        <w:rPr>
          <w:rFonts w:asciiTheme="minorHAnsi" w:hAnsiTheme="minorHAnsi"/>
          <w:sz w:val="19"/>
          <w:szCs w:val="19"/>
        </w:rPr>
        <w:t>The school’s assessments provide</w:t>
      </w:r>
      <w:r w:rsidR="00F136C6" w:rsidRPr="00217D3C">
        <w:rPr>
          <w:rFonts w:asciiTheme="minorHAnsi" w:hAnsiTheme="minorHAnsi"/>
          <w:sz w:val="19"/>
          <w:szCs w:val="19"/>
        </w:rPr>
        <w:t xml:space="preserve"> for timely and frequent feedback about student progress and supports the student to persist in meeting academic goals.</w:t>
      </w:r>
    </w:p>
    <w:p w14:paraId="692DFE76" w14:textId="77777777" w:rsidR="00F136C6" w:rsidRPr="00217D3C" w:rsidRDefault="00C8168C" w:rsidP="00DD1BB7">
      <w:pPr>
        <w:pStyle w:val="ListParagraph"/>
        <w:numPr>
          <w:ilvl w:val="2"/>
          <w:numId w:val="20"/>
        </w:numPr>
        <w:spacing w:before="80" w:after="80"/>
        <w:ind w:left="1080" w:hanging="360"/>
        <w:contextualSpacing w:val="0"/>
        <w:rPr>
          <w:rFonts w:asciiTheme="minorHAnsi" w:hAnsiTheme="minorHAnsi"/>
          <w:sz w:val="19"/>
          <w:szCs w:val="19"/>
        </w:rPr>
      </w:pPr>
      <w:r w:rsidRPr="00217D3C">
        <w:rPr>
          <w:rFonts w:asciiTheme="minorHAnsi" w:hAnsiTheme="minorHAnsi"/>
          <w:sz w:val="19"/>
          <w:szCs w:val="19"/>
        </w:rPr>
        <w:t>The school d</w:t>
      </w:r>
      <w:r w:rsidR="00F136C6" w:rsidRPr="00217D3C">
        <w:rPr>
          <w:rFonts w:asciiTheme="minorHAnsi" w:hAnsiTheme="minorHAnsi"/>
          <w:sz w:val="19"/>
          <w:szCs w:val="19"/>
        </w:rPr>
        <w:t>isseminates testing proctoring protocols to the appropriate staff and ensures that tests are proctored in accordance with the protocols. Documentation of the proctoring training and processing of the test materials are kept appropriately.</w:t>
      </w:r>
    </w:p>
    <w:p w14:paraId="692DFE77" w14:textId="77777777" w:rsidR="00F136C6" w:rsidRPr="00217D3C" w:rsidRDefault="00C8168C" w:rsidP="00DD1BB7">
      <w:pPr>
        <w:pStyle w:val="ListParagraph"/>
        <w:numPr>
          <w:ilvl w:val="2"/>
          <w:numId w:val="20"/>
        </w:numPr>
        <w:spacing w:before="80" w:after="80"/>
        <w:ind w:left="1080" w:hanging="360"/>
        <w:contextualSpacing w:val="0"/>
        <w:rPr>
          <w:rFonts w:asciiTheme="minorHAnsi" w:hAnsiTheme="minorHAnsi"/>
          <w:sz w:val="19"/>
          <w:szCs w:val="19"/>
        </w:rPr>
      </w:pPr>
      <w:r w:rsidRPr="00217D3C">
        <w:rPr>
          <w:rFonts w:asciiTheme="minorHAnsi" w:hAnsiTheme="minorHAnsi"/>
          <w:sz w:val="19"/>
          <w:szCs w:val="19"/>
        </w:rPr>
        <w:t>The school e</w:t>
      </w:r>
      <w:r w:rsidR="00F136C6" w:rsidRPr="00217D3C">
        <w:rPr>
          <w:rFonts w:asciiTheme="minorHAnsi" w:hAnsiTheme="minorHAnsi"/>
          <w:sz w:val="19"/>
          <w:szCs w:val="19"/>
        </w:rPr>
        <w:t>nsures that diagnostic tests and educational services are administered by appropriately credentialed professionals and documentation is maintained per federal and state laws.</w:t>
      </w:r>
    </w:p>
    <w:p w14:paraId="692DFE78" w14:textId="77777777" w:rsidR="00C8168C" w:rsidRPr="00217D3C" w:rsidRDefault="00FA0A57" w:rsidP="00DD1BB7">
      <w:pPr>
        <w:pStyle w:val="ListParagraph"/>
        <w:numPr>
          <w:ilvl w:val="1"/>
          <w:numId w:val="18"/>
        </w:numPr>
        <w:spacing w:before="80" w:after="80"/>
        <w:ind w:left="720" w:hanging="360"/>
        <w:contextualSpacing w:val="0"/>
        <w:rPr>
          <w:rFonts w:asciiTheme="minorHAnsi" w:hAnsiTheme="minorHAnsi"/>
          <w:sz w:val="19"/>
          <w:szCs w:val="19"/>
        </w:rPr>
      </w:pPr>
      <w:r w:rsidRPr="00217D3C">
        <w:rPr>
          <w:rFonts w:asciiTheme="minorHAnsi" w:hAnsiTheme="minorHAnsi"/>
          <w:sz w:val="19"/>
          <w:szCs w:val="19"/>
        </w:rPr>
        <w:t>Diverse learners</w:t>
      </w:r>
    </w:p>
    <w:p w14:paraId="692DFE79" w14:textId="77777777" w:rsidR="00F136C6" w:rsidRPr="00217D3C" w:rsidRDefault="00F136C6" w:rsidP="00DD1BB7">
      <w:pPr>
        <w:pStyle w:val="ListParagraph"/>
        <w:numPr>
          <w:ilvl w:val="2"/>
          <w:numId w:val="20"/>
        </w:numPr>
        <w:spacing w:before="80" w:after="80"/>
        <w:ind w:left="1080" w:hanging="360"/>
        <w:contextualSpacing w:val="0"/>
        <w:rPr>
          <w:rFonts w:asciiTheme="minorHAnsi" w:hAnsiTheme="minorHAnsi"/>
          <w:sz w:val="19"/>
          <w:szCs w:val="19"/>
        </w:rPr>
      </w:pPr>
      <w:r w:rsidRPr="00217D3C">
        <w:rPr>
          <w:rFonts w:asciiTheme="minorHAnsi" w:hAnsiTheme="minorHAnsi"/>
          <w:sz w:val="19"/>
          <w:szCs w:val="19"/>
        </w:rPr>
        <w:t xml:space="preserve">The school provides supports to meet the academic needs for all students, including but not limited to students with disabilities </w:t>
      </w:r>
      <w:r w:rsidR="00F07325">
        <w:rPr>
          <w:rFonts w:asciiTheme="minorHAnsi" w:hAnsiTheme="minorHAnsi"/>
          <w:sz w:val="19"/>
          <w:szCs w:val="19"/>
        </w:rPr>
        <w:t>and English language learners.</w:t>
      </w:r>
      <w:r w:rsidR="00F07325" w:rsidRPr="00EE76CD">
        <w:rPr>
          <w:rFonts w:asciiTheme="minorHAnsi" w:hAnsiTheme="minorHAnsi"/>
          <w:sz w:val="19"/>
          <w:szCs w:val="19"/>
          <w:vertAlign w:val="superscript"/>
        </w:rPr>
        <w:footnoteReference w:id="4"/>
      </w:r>
    </w:p>
    <w:p w14:paraId="692DFE7A" w14:textId="77777777" w:rsidR="00F136C6" w:rsidRPr="00217D3C" w:rsidRDefault="00C8168C" w:rsidP="00DD1BB7">
      <w:pPr>
        <w:pStyle w:val="ListParagraph"/>
        <w:numPr>
          <w:ilvl w:val="2"/>
          <w:numId w:val="20"/>
        </w:numPr>
        <w:spacing w:before="80" w:after="80"/>
        <w:ind w:left="1080" w:hanging="360"/>
        <w:contextualSpacing w:val="0"/>
        <w:rPr>
          <w:rFonts w:asciiTheme="minorHAnsi" w:hAnsiTheme="minorHAnsi"/>
          <w:sz w:val="19"/>
          <w:szCs w:val="19"/>
        </w:rPr>
      </w:pPr>
      <w:r w:rsidRPr="00217D3C">
        <w:rPr>
          <w:rFonts w:asciiTheme="minorHAnsi" w:hAnsiTheme="minorHAnsi"/>
          <w:sz w:val="19"/>
          <w:szCs w:val="19"/>
        </w:rPr>
        <w:t>Supports are</w:t>
      </w:r>
      <w:r w:rsidR="00F136C6" w:rsidRPr="00217D3C">
        <w:rPr>
          <w:rFonts w:asciiTheme="minorHAnsi" w:hAnsiTheme="minorHAnsi"/>
          <w:sz w:val="19"/>
          <w:szCs w:val="19"/>
        </w:rPr>
        <w:t xml:space="preserve"> designed with consideration for time and place limitations of students.</w:t>
      </w:r>
    </w:p>
    <w:p w14:paraId="692DFE7B" w14:textId="77777777" w:rsidR="00F136C6" w:rsidRPr="00217D3C" w:rsidRDefault="00C8168C" w:rsidP="00DD1BB7">
      <w:pPr>
        <w:pStyle w:val="ListParagraph"/>
        <w:numPr>
          <w:ilvl w:val="2"/>
          <w:numId w:val="20"/>
        </w:numPr>
        <w:spacing w:before="80" w:after="80"/>
        <w:ind w:left="1080" w:hanging="360"/>
        <w:contextualSpacing w:val="0"/>
        <w:rPr>
          <w:rFonts w:asciiTheme="minorHAnsi" w:hAnsiTheme="minorHAnsi"/>
          <w:sz w:val="19"/>
          <w:szCs w:val="19"/>
        </w:rPr>
      </w:pPr>
      <w:r w:rsidRPr="00217D3C">
        <w:rPr>
          <w:rFonts w:asciiTheme="minorHAnsi" w:hAnsiTheme="minorHAnsi"/>
          <w:sz w:val="19"/>
          <w:szCs w:val="19"/>
        </w:rPr>
        <w:t>The school is</w:t>
      </w:r>
      <w:r w:rsidR="00F136C6" w:rsidRPr="00217D3C">
        <w:rPr>
          <w:rFonts w:asciiTheme="minorHAnsi" w:hAnsiTheme="minorHAnsi"/>
          <w:sz w:val="19"/>
          <w:szCs w:val="19"/>
        </w:rPr>
        <w:t xml:space="preserve"> sensitive to the individual needs and cultural differences of students.</w:t>
      </w:r>
    </w:p>
    <w:p w14:paraId="692DFE7C" w14:textId="77777777" w:rsidR="00F136C6" w:rsidRPr="00217D3C" w:rsidRDefault="00C8168C" w:rsidP="00DD1BB7">
      <w:pPr>
        <w:pStyle w:val="ListParagraph"/>
        <w:numPr>
          <w:ilvl w:val="2"/>
          <w:numId w:val="20"/>
        </w:numPr>
        <w:spacing w:before="80" w:after="80"/>
        <w:ind w:left="1080" w:hanging="360"/>
        <w:contextualSpacing w:val="0"/>
        <w:rPr>
          <w:rFonts w:asciiTheme="minorHAnsi" w:hAnsiTheme="minorHAnsi"/>
          <w:sz w:val="19"/>
          <w:szCs w:val="19"/>
        </w:rPr>
      </w:pPr>
      <w:r w:rsidRPr="00217D3C">
        <w:rPr>
          <w:rFonts w:asciiTheme="minorHAnsi" w:hAnsiTheme="minorHAnsi"/>
          <w:sz w:val="19"/>
          <w:szCs w:val="19"/>
        </w:rPr>
        <w:t>The school provide</w:t>
      </w:r>
      <w:r w:rsidR="00F136C6" w:rsidRPr="00217D3C">
        <w:rPr>
          <w:rFonts w:asciiTheme="minorHAnsi" w:hAnsiTheme="minorHAnsi"/>
          <w:sz w:val="19"/>
          <w:szCs w:val="19"/>
        </w:rPr>
        <w:t xml:space="preserve"> timely, effective technical support to ensure continuity in learning.</w:t>
      </w:r>
    </w:p>
    <w:p w14:paraId="692DFE7D" w14:textId="77777777" w:rsidR="00F136C6" w:rsidRPr="00217D3C" w:rsidRDefault="00C8168C" w:rsidP="00DD1BB7">
      <w:pPr>
        <w:pStyle w:val="ListParagraph"/>
        <w:numPr>
          <w:ilvl w:val="2"/>
          <w:numId w:val="20"/>
        </w:numPr>
        <w:spacing w:before="80" w:after="80"/>
        <w:ind w:left="1080" w:hanging="360"/>
        <w:contextualSpacing w:val="0"/>
        <w:rPr>
          <w:rFonts w:asciiTheme="minorHAnsi" w:hAnsiTheme="minorHAnsi"/>
          <w:sz w:val="19"/>
          <w:szCs w:val="19"/>
        </w:rPr>
      </w:pPr>
      <w:r w:rsidRPr="00217D3C">
        <w:rPr>
          <w:rFonts w:asciiTheme="minorHAnsi" w:hAnsiTheme="minorHAnsi"/>
          <w:sz w:val="19"/>
          <w:szCs w:val="19"/>
        </w:rPr>
        <w:t>The school e</w:t>
      </w:r>
      <w:r w:rsidR="00F136C6" w:rsidRPr="00217D3C">
        <w:rPr>
          <w:rFonts w:asciiTheme="minorHAnsi" w:hAnsiTheme="minorHAnsi"/>
          <w:sz w:val="19"/>
          <w:szCs w:val="19"/>
        </w:rPr>
        <w:t>nsure</w:t>
      </w:r>
      <w:r w:rsidRPr="00217D3C">
        <w:rPr>
          <w:rFonts w:asciiTheme="minorHAnsi" w:hAnsiTheme="minorHAnsi"/>
          <w:sz w:val="19"/>
          <w:szCs w:val="19"/>
        </w:rPr>
        <w:t>s</w:t>
      </w:r>
      <w:r w:rsidR="00F136C6" w:rsidRPr="00217D3C">
        <w:rPr>
          <w:rFonts w:asciiTheme="minorHAnsi" w:hAnsiTheme="minorHAnsi"/>
          <w:sz w:val="19"/>
          <w:szCs w:val="19"/>
        </w:rPr>
        <w:t xml:space="preserve"> academic advising and instructional support is provided for students to meet requirements of the program and/or school. </w:t>
      </w:r>
    </w:p>
    <w:p w14:paraId="692DFE7E" w14:textId="77777777" w:rsidR="00F136C6" w:rsidRPr="00217D3C" w:rsidRDefault="00C8168C" w:rsidP="00DD1BB7">
      <w:pPr>
        <w:pStyle w:val="ListParagraph"/>
        <w:numPr>
          <w:ilvl w:val="2"/>
          <w:numId w:val="20"/>
        </w:numPr>
        <w:spacing w:before="80" w:after="80"/>
        <w:ind w:left="1080" w:hanging="360"/>
        <w:contextualSpacing w:val="0"/>
        <w:rPr>
          <w:rFonts w:asciiTheme="minorHAnsi" w:hAnsiTheme="minorHAnsi"/>
          <w:sz w:val="19"/>
          <w:szCs w:val="19"/>
        </w:rPr>
      </w:pPr>
      <w:r w:rsidRPr="00217D3C">
        <w:rPr>
          <w:rFonts w:asciiTheme="minorHAnsi" w:hAnsiTheme="minorHAnsi"/>
          <w:sz w:val="19"/>
          <w:szCs w:val="19"/>
        </w:rPr>
        <w:t>The school p</w:t>
      </w:r>
      <w:r w:rsidR="00F136C6" w:rsidRPr="00217D3C">
        <w:rPr>
          <w:rFonts w:asciiTheme="minorHAnsi" w:hAnsiTheme="minorHAnsi"/>
          <w:sz w:val="19"/>
          <w:szCs w:val="19"/>
        </w:rPr>
        <w:t>rovides resources and/or information to assist students in determining the appropriateness of specific courses for meeting their academic needs.</w:t>
      </w:r>
    </w:p>
    <w:p w14:paraId="692DFE7F" w14:textId="77777777" w:rsidR="00F136C6" w:rsidRPr="00217D3C" w:rsidRDefault="00F136C6" w:rsidP="00DD1BB7">
      <w:pPr>
        <w:pStyle w:val="ListParagraph"/>
        <w:numPr>
          <w:ilvl w:val="2"/>
          <w:numId w:val="20"/>
        </w:numPr>
        <w:spacing w:before="80" w:after="80"/>
        <w:ind w:left="1080" w:hanging="360"/>
        <w:contextualSpacing w:val="0"/>
        <w:rPr>
          <w:rFonts w:asciiTheme="minorHAnsi" w:hAnsiTheme="minorHAnsi"/>
          <w:sz w:val="19"/>
          <w:szCs w:val="19"/>
        </w:rPr>
      </w:pPr>
      <w:r w:rsidRPr="00217D3C">
        <w:rPr>
          <w:rFonts w:asciiTheme="minorHAnsi" w:hAnsiTheme="minorHAnsi"/>
          <w:sz w:val="19"/>
          <w:szCs w:val="19"/>
        </w:rPr>
        <w:t>Students, parents and guardians are provided clearly understandable information that explains the environment required to support online learning.</w:t>
      </w:r>
    </w:p>
    <w:p w14:paraId="692DFE80" w14:textId="77777777" w:rsidR="00F136C6" w:rsidRDefault="00F136C6" w:rsidP="00F136C6">
      <w:pPr>
        <w:pStyle w:val="Heading3"/>
        <w:numPr>
          <w:ilvl w:val="0"/>
          <w:numId w:val="16"/>
        </w:numPr>
      </w:pPr>
      <w:bookmarkStart w:id="14" w:name="_Toc398114655"/>
      <w:r w:rsidRPr="00FA0A57">
        <w:rPr>
          <w:rFonts w:asciiTheme="minorHAnsi" w:hAnsiTheme="minorHAnsi"/>
          <w:sz w:val="22"/>
        </w:rPr>
        <w:t>School culture and family engagement</w:t>
      </w:r>
      <w:bookmarkEnd w:id="14"/>
    </w:p>
    <w:p w14:paraId="692DFE81" w14:textId="77777777" w:rsidR="00F136C6" w:rsidRPr="00F07325" w:rsidRDefault="00F136C6" w:rsidP="00F136C6">
      <w:pPr>
        <w:spacing w:before="80" w:after="80"/>
        <w:ind w:left="360"/>
        <w:rPr>
          <w:rFonts w:asciiTheme="minorHAnsi" w:hAnsiTheme="minorHAnsi"/>
          <w:b/>
          <w:sz w:val="19"/>
          <w:szCs w:val="19"/>
        </w:rPr>
      </w:pPr>
      <w:r w:rsidRPr="00F07325">
        <w:rPr>
          <w:rFonts w:asciiTheme="minorHAnsi" w:hAnsiTheme="minorHAnsi"/>
          <w:b/>
          <w:sz w:val="19"/>
          <w:szCs w:val="19"/>
        </w:rPr>
        <w:t>The school supports students’ social and emotional health in a safe and respectful learning environment that engages families.</w:t>
      </w:r>
    </w:p>
    <w:p w14:paraId="692DFE82" w14:textId="77777777" w:rsidR="00F136C6" w:rsidRPr="00F07325" w:rsidRDefault="00F136C6" w:rsidP="00F136C6">
      <w:pPr>
        <w:spacing w:before="80" w:after="80"/>
        <w:ind w:left="360"/>
        <w:rPr>
          <w:rFonts w:asciiTheme="minorHAnsi" w:hAnsiTheme="minorHAnsi"/>
          <w:sz w:val="19"/>
          <w:szCs w:val="19"/>
        </w:rPr>
      </w:pPr>
      <w:r w:rsidRPr="00F07325">
        <w:rPr>
          <w:rFonts w:asciiTheme="minorHAnsi" w:hAnsiTheme="minorHAnsi"/>
          <w:sz w:val="19"/>
          <w:szCs w:val="19"/>
        </w:rPr>
        <w:t>Key indicators include but are not limited to:</w:t>
      </w:r>
    </w:p>
    <w:p w14:paraId="692DFE83" w14:textId="77777777" w:rsidR="00C8168C" w:rsidRPr="00F07325" w:rsidRDefault="00F136C6" w:rsidP="00DD1BB7">
      <w:pPr>
        <w:pStyle w:val="ListParagraph"/>
        <w:numPr>
          <w:ilvl w:val="1"/>
          <w:numId w:val="18"/>
        </w:numPr>
        <w:spacing w:before="80" w:after="80"/>
        <w:ind w:left="720" w:hanging="360"/>
        <w:contextualSpacing w:val="0"/>
        <w:rPr>
          <w:rFonts w:asciiTheme="minorHAnsi" w:hAnsiTheme="minorHAnsi"/>
          <w:sz w:val="19"/>
          <w:szCs w:val="19"/>
        </w:rPr>
      </w:pPr>
      <w:r w:rsidRPr="00F07325">
        <w:rPr>
          <w:rFonts w:asciiTheme="minorHAnsi" w:hAnsiTheme="minorHAnsi"/>
          <w:sz w:val="19"/>
          <w:szCs w:val="19"/>
        </w:rPr>
        <w:t xml:space="preserve">Social, emotional, and health needs: </w:t>
      </w:r>
    </w:p>
    <w:p w14:paraId="692DFE84" w14:textId="77777777" w:rsidR="00C8168C" w:rsidRPr="00F07325" w:rsidRDefault="00F136C6" w:rsidP="00DD1BB7">
      <w:pPr>
        <w:pStyle w:val="ListParagraph"/>
        <w:numPr>
          <w:ilvl w:val="2"/>
          <w:numId w:val="20"/>
        </w:numPr>
        <w:spacing w:before="80" w:after="80"/>
        <w:ind w:left="1080" w:hanging="360"/>
        <w:contextualSpacing w:val="0"/>
        <w:rPr>
          <w:rFonts w:asciiTheme="minorHAnsi" w:hAnsiTheme="minorHAnsi"/>
          <w:sz w:val="19"/>
          <w:szCs w:val="19"/>
        </w:rPr>
      </w:pPr>
      <w:r w:rsidRPr="00F07325">
        <w:rPr>
          <w:rFonts w:asciiTheme="minorHAnsi" w:hAnsiTheme="minorHAnsi"/>
          <w:sz w:val="19"/>
          <w:szCs w:val="19"/>
        </w:rPr>
        <w:t>The school creates a safe learning environment and addresses the physical, social, emotional, and health needs of its students by provisioning school guidance counselors and other professionals to w</w:t>
      </w:r>
      <w:r w:rsidR="00217D3C" w:rsidRPr="00F07325">
        <w:rPr>
          <w:rFonts w:asciiTheme="minorHAnsi" w:hAnsiTheme="minorHAnsi"/>
          <w:sz w:val="19"/>
          <w:szCs w:val="19"/>
        </w:rPr>
        <w:t>ork with students and families.</w:t>
      </w:r>
      <w:r w:rsidR="00942481" w:rsidRPr="00DD1BB7">
        <w:rPr>
          <w:rFonts w:asciiTheme="minorHAnsi" w:hAnsiTheme="minorHAnsi"/>
          <w:sz w:val="19"/>
          <w:szCs w:val="19"/>
          <w:vertAlign w:val="superscript"/>
        </w:rPr>
        <w:footnoteReference w:id="5"/>
      </w:r>
    </w:p>
    <w:p w14:paraId="692DFE85" w14:textId="77777777" w:rsidR="00F136C6" w:rsidRPr="00F07325" w:rsidRDefault="00F136C6" w:rsidP="00DD1BB7">
      <w:pPr>
        <w:pStyle w:val="ListParagraph"/>
        <w:numPr>
          <w:ilvl w:val="2"/>
          <w:numId w:val="20"/>
        </w:numPr>
        <w:spacing w:before="80" w:after="80"/>
        <w:ind w:left="1080" w:hanging="360"/>
        <w:contextualSpacing w:val="0"/>
        <w:rPr>
          <w:rFonts w:asciiTheme="minorHAnsi" w:hAnsiTheme="minorHAnsi"/>
          <w:sz w:val="19"/>
          <w:szCs w:val="19"/>
        </w:rPr>
      </w:pPr>
      <w:r w:rsidRPr="00F07325">
        <w:rPr>
          <w:rFonts w:asciiTheme="minorHAnsi" w:hAnsiTheme="minorHAnsi"/>
          <w:sz w:val="19"/>
          <w:szCs w:val="19"/>
        </w:rPr>
        <w:t>The school</w:t>
      </w:r>
      <w:r w:rsidR="00C8168C" w:rsidRPr="00F07325">
        <w:rPr>
          <w:rFonts w:asciiTheme="minorHAnsi" w:hAnsiTheme="minorHAnsi"/>
          <w:sz w:val="19"/>
          <w:szCs w:val="19"/>
        </w:rPr>
        <w:t>’</w:t>
      </w:r>
      <w:r w:rsidRPr="00F07325">
        <w:rPr>
          <w:rFonts w:asciiTheme="minorHAnsi" w:hAnsiTheme="minorHAnsi"/>
          <w:sz w:val="19"/>
          <w:szCs w:val="19"/>
        </w:rPr>
        <w:t>s policies and procedures provide for age appropriate supervision for students under the age of 14, if applicable.</w:t>
      </w:r>
    </w:p>
    <w:p w14:paraId="692DFE86" w14:textId="77777777" w:rsidR="00C8168C" w:rsidRPr="00F07325" w:rsidRDefault="00F136C6" w:rsidP="00DD1BB7">
      <w:pPr>
        <w:pStyle w:val="ListParagraph"/>
        <w:numPr>
          <w:ilvl w:val="1"/>
          <w:numId w:val="18"/>
        </w:numPr>
        <w:spacing w:before="80" w:after="80"/>
        <w:ind w:left="720" w:hanging="360"/>
        <w:contextualSpacing w:val="0"/>
        <w:rPr>
          <w:rFonts w:asciiTheme="minorHAnsi" w:hAnsiTheme="minorHAnsi"/>
          <w:sz w:val="19"/>
          <w:szCs w:val="19"/>
        </w:rPr>
      </w:pPr>
      <w:r w:rsidRPr="00F07325">
        <w:rPr>
          <w:rFonts w:asciiTheme="minorHAnsi" w:hAnsiTheme="minorHAnsi"/>
          <w:sz w:val="19"/>
          <w:szCs w:val="19"/>
        </w:rPr>
        <w:t xml:space="preserve">Family </w:t>
      </w:r>
      <w:r w:rsidR="00D43945" w:rsidRPr="00F07325">
        <w:rPr>
          <w:rFonts w:asciiTheme="minorHAnsi" w:hAnsiTheme="minorHAnsi"/>
          <w:sz w:val="19"/>
          <w:szCs w:val="19"/>
        </w:rPr>
        <w:t xml:space="preserve">and community </w:t>
      </w:r>
      <w:r w:rsidRPr="00F07325">
        <w:rPr>
          <w:rFonts w:asciiTheme="minorHAnsi" w:hAnsiTheme="minorHAnsi"/>
          <w:sz w:val="19"/>
          <w:szCs w:val="19"/>
        </w:rPr>
        <w:t xml:space="preserve">engagement: </w:t>
      </w:r>
    </w:p>
    <w:p w14:paraId="692DFE87" w14:textId="77777777" w:rsidR="00C8168C" w:rsidRPr="00F07325" w:rsidRDefault="00F136C6" w:rsidP="00DD1BB7">
      <w:pPr>
        <w:pStyle w:val="ListParagraph"/>
        <w:numPr>
          <w:ilvl w:val="2"/>
          <w:numId w:val="20"/>
        </w:numPr>
        <w:spacing w:before="80" w:after="80"/>
        <w:ind w:left="1080" w:hanging="360"/>
        <w:contextualSpacing w:val="0"/>
        <w:rPr>
          <w:rFonts w:asciiTheme="minorHAnsi" w:hAnsiTheme="minorHAnsi"/>
          <w:sz w:val="19"/>
          <w:szCs w:val="19"/>
        </w:rPr>
      </w:pPr>
      <w:r w:rsidRPr="00F07325">
        <w:rPr>
          <w:rFonts w:asciiTheme="minorHAnsi" w:hAnsiTheme="minorHAnsi"/>
          <w:sz w:val="19"/>
          <w:szCs w:val="19"/>
        </w:rPr>
        <w:t>The school develops strong working partnerships with families in order to support students’ academic progress and so</w:t>
      </w:r>
      <w:r w:rsidR="00F07325" w:rsidRPr="00F07325">
        <w:rPr>
          <w:rFonts w:asciiTheme="minorHAnsi" w:hAnsiTheme="minorHAnsi"/>
          <w:sz w:val="19"/>
          <w:szCs w:val="19"/>
        </w:rPr>
        <w:t>cial and emotion</w:t>
      </w:r>
      <w:r w:rsidR="00D03247">
        <w:rPr>
          <w:rFonts w:asciiTheme="minorHAnsi" w:hAnsiTheme="minorHAnsi"/>
          <w:sz w:val="19"/>
          <w:szCs w:val="19"/>
        </w:rPr>
        <w:t>al well-being.</w:t>
      </w:r>
      <w:r w:rsidR="00F07325" w:rsidRPr="00F07325">
        <w:rPr>
          <w:rStyle w:val="FootnoteReference"/>
          <w:rFonts w:asciiTheme="minorHAnsi" w:hAnsiTheme="minorHAnsi"/>
          <w:sz w:val="19"/>
          <w:szCs w:val="19"/>
        </w:rPr>
        <w:footnoteReference w:id="6"/>
      </w:r>
      <w:r w:rsidRPr="00F07325">
        <w:rPr>
          <w:rFonts w:asciiTheme="minorHAnsi" w:hAnsiTheme="minorHAnsi"/>
          <w:sz w:val="19"/>
          <w:szCs w:val="19"/>
        </w:rPr>
        <w:t xml:space="preserve"> </w:t>
      </w:r>
    </w:p>
    <w:p w14:paraId="692DFE88" w14:textId="77777777" w:rsidR="00F136C6" w:rsidRPr="00F07325" w:rsidRDefault="00F136C6" w:rsidP="00DD1BB7">
      <w:pPr>
        <w:pStyle w:val="ListParagraph"/>
        <w:numPr>
          <w:ilvl w:val="2"/>
          <w:numId w:val="20"/>
        </w:numPr>
        <w:spacing w:before="80" w:after="80"/>
        <w:ind w:left="1080" w:hanging="360"/>
        <w:contextualSpacing w:val="0"/>
        <w:rPr>
          <w:rFonts w:asciiTheme="minorHAnsi" w:hAnsiTheme="minorHAnsi"/>
          <w:sz w:val="19"/>
          <w:szCs w:val="19"/>
        </w:rPr>
      </w:pPr>
      <w:r w:rsidRPr="00F07325">
        <w:rPr>
          <w:rFonts w:asciiTheme="minorHAnsi" w:hAnsiTheme="minorHAnsi"/>
          <w:sz w:val="19"/>
          <w:szCs w:val="19"/>
        </w:rPr>
        <w:lastRenderedPageBreak/>
        <w:t>Faculty and staff communicate to families’ critical information about student progress so that parents and “learning coaches” are engaged with teachers and administrators for supporting online learning.</w:t>
      </w:r>
    </w:p>
    <w:p w14:paraId="692DFE89" w14:textId="77777777" w:rsidR="00C8168C" w:rsidRPr="00F07325" w:rsidRDefault="00F136C6" w:rsidP="00DD1BB7">
      <w:pPr>
        <w:pStyle w:val="ListParagraph"/>
        <w:numPr>
          <w:ilvl w:val="2"/>
          <w:numId w:val="20"/>
        </w:numPr>
        <w:spacing w:before="80" w:after="80"/>
        <w:ind w:left="1080" w:hanging="360"/>
        <w:contextualSpacing w:val="0"/>
        <w:rPr>
          <w:rFonts w:asciiTheme="minorHAnsi" w:hAnsiTheme="minorHAnsi"/>
          <w:sz w:val="19"/>
          <w:szCs w:val="19"/>
        </w:rPr>
      </w:pPr>
      <w:r w:rsidRPr="00F07325">
        <w:rPr>
          <w:rFonts w:asciiTheme="minorHAnsi" w:hAnsiTheme="minorHAnsi"/>
          <w:sz w:val="19"/>
          <w:szCs w:val="19"/>
        </w:rPr>
        <w:t>The school develops relationships with the broader</w:t>
      </w:r>
      <w:r w:rsidR="00C8168C" w:rsidRPr="00F07325">
        <w:rPr>
          <w:rFonts w:asciiTheme="minorHAnsi" w:hAnsiTheme="minorHAnsi"/>
          <w:sz w:val="19"/>
          <w:szCs w:val="19"/>
        </w:rPr>
        <w:t xml:space="preserve"> community to support student academic progress and the social and emotional well-being students </w:t>
      </w:r>
      <w:r w:rsidRPr="00F07325">
        <w:rPr>
          <w:rFonts w:asciiTheme="minorHAnsi" w:hAnsiTheme="minorHAnsi"/>
          <w:sz w:val="19"/>
          <w:szCs w:val="19"/>
        </w:rPr>
        <w:t xml:space="preserve">and families. </w:t>
      </w:r>
    </w:p>
    <w:p w14:paraId="692DFE8A" w14:textId="77777777" w:rsidR="00F136C6" w:rsidRPr="00F07325" w:rsidRDefault="00F136C6" w:rsidP="00DD1BB7">
      <w:pPr>
        <w:pStyle w:val="ListParagraph"/>
        <w:numPr>
          <w:ilvl w:val="2"/>
          <w:numId w:val="20"/>
        </w:numPr>
        <w:spacing w:before="80" w:after="80"/>
        <w:ind w:left="1080" w:hanging="360"/>
        <w:contextualSpacing w:val="0"/>
        <w:rPr>
          <w:rFonts w:asciiTheme="minorHAnsi" w:hAnsiTheme="minorHAnsi"/>
          <w:sz w:val="19"/>
          <w:szCs w:val="19"/>
        </w:rPr>
      </w:pPr>
      <w:r w:rsidRPr="00F07325">
        <w:rPr>
          <w:rFonts w:asciiTheme="minorHAnsi" w:hAnsiTheme="minorHAnsi"/>
          <w:sz w:val="19"/>
          <w:szCs w:val="19"/>
        </w:rPr>
        <w:t>The broader community is engaged to facilitate access and equity for all students.</w:t>
      </w:r>
    </w:p>
    <w:p w14:paraId="692DFE8B" w14:textId="77777777" w:rsidR="00F136C6" w:rsidRDefault="00F136C6" w:rsidP="00F136C6">
      <w:pPr>
        <w:pStyle w:val="Heading1"/>
        <w:rPr>
          <w:rFonts w:asciiTheme="minorHAnsi" w:hAnsiTheme="minorHAnsi"/>
          <w:sz w:val="28"/>
        </w:rPr>
      </w:pPr>
      <w:bookmarkStart w:id="15" w:name="_Toc398114656"/>
      <w:r w:rsidRPr="00FA0A57">
        <w:rPr>
          <w:rFonts w:asciiTheme="minorHAnsi" w:hAnsiTheme="minorHAnsi"/>
          <w:sz w:val="28"/>
        </w:rPr>
        <w:t>Organizational viability</w:t>
      </w:r>
      <w:bookmarkEnd w:id="15"/>
    </w:p>
    <w:p w14:paraId="692DFE8C" w14:textId="77777777" w:rsidR="008B7805" w:rsidRPr="00F07325" w:rsidRDefault="0045193F" w:rsidP="008B7805">
      <w:pPr>
        <w:rPr>
          <w:sz w:val="19"/>
          <w:szCs w:val="19"/>
        </w:rPr>
      </w:pPr>
      <w:r>
        <w:rPr>
          <w:rFonts w:asciiTheme="minorHAnsi" w:hAnsiTheme="minorHAnsi"/>
          <w:sz w:val="19"/>
          <w:szCs w:val="19"/>
        </w:rPr>
        <w:t>ESE</w:t>
      </w:r>
      <w:r w:rsidR="008B7805" w:rsidRPr="00F07325">
        <w:rPr>
          <w:rFonts w:asciiTheme="minorHAnsi" w:hAnsiTheme="minorHAnsi"/>
          <w:sz w:val="19"/>
          <w:szCs w:val="19"/>
        </w:rPr>
        <w:t xml:space="preserve"> will consider a wide body of evidence, which includes, but is not limited to, the following: </w:t>
      </w:r>
      <w:r w:rsidR="004D437A" w:rsidRPr="00F07325">
        <w:rPr>
          <w:rFonts w:asciiTheme="minorHAnsi" w:hAnsiTheme="minorHAnsi"/>
          <w:sz w:val="19"/>
          <w:szCs w:val="19"/>
        </w:rPr>
        <w:t xml:space="preserve">the school’s original application for a certificate and subsequent amendments (if applicable); annual reports; site visits and accountability reviews; renewal inspection reports; data derived from the Student Information Management System (SIMS) and the Educator Personnel Information Management System (EPIMS); </w:t>
      </w:r>
      <w:r w:rsidR="008B7805" w:rsidRPr="00F07325">
        <w:rPr>
          <w:rFonts w:asciiTheme="minorHAnsi" w:hAnsiTheme="minorHAnsi"/>
          <w:sz w:val="19"/>
          <w:szCs w:val="19"/>
        </w:rPr>
        <w:t>annual financial audits, virtual school end-of-year financial reports and other</w:t>
      </w:r>
      <w:r w:rsidR="00730CE3" w:rsidRPr="00F07325">
        <w:rPr>
          <w:rFonts w:asciiTheme="minorHAnsi" w:hAnsiTheme="minorHAnsi"/>
          <w:sz w:val="19"/>
          <w:szCs w:val="19"/>
        </w:rPr>
        <w:t xml:space="preserve"> financial data; minutes of the board of trustees; staff surveys; documentation of school policies, procedures, and processes; self-evaluations, self-studies, and other improvement efforts led by the board of trustees; evaluation of the school leader and other school administrators; family, student, staff, and board of trustees handbooks; and professional learning calendars, agendas, and </w:t>
      </w:r>
      <w:r w:rsidR="004D437A" w:rsidRPr="00F07325">
        <w:rPr>
          <w:rFonts w:asciiTheme="minorHAnsi" w:hAnsiTheme="minorHAnsi"/>
          <w:sz w:val="19"/>
          <w:szCs w:val="19"/>
        </w:rPr>
        <w:t xml:space="preserve">related </w:t>
      </w:r>
      <w:r w:rsidR="00730CE3" w:rsidRPr="00F07325">
        <w:rPr>
          <w:rFonts w:asciiTheme="minorHAnsi" w:hAnsiTheme="minorHAnsi"/>
          <w:sz w:val="19"/>
          <w:szCs w:val="19"/>
        </w:rPr>
        <w:t>outcomes.</w:t>
      </w:r>
    </w:p>
    <w:p w14:paraId="692DFE8D" w14:textId="77777777" w:rsidR="00F136C6" w:rsidRDefault="00F136C6" w:rsidP="00F136C6">
      <w:pPr>
        <w:pStyle w:val="Heading3"/>
        <w:numPr>
          <w:ilvl w:val="0"/>
          <w:numId w:val="16"/>
        </w:numPr>
      </w:pPr>
      <w:bookmarkStart w:id="16" w:name="_Toc398114657"/>
      <w:r w:rsidRPr="00FA0A57">
        <w:rPr>
          <w:rFonts w:asciiTheme="minorHAnsi" w:hAnsiTheme="minorHAnsi"/>
          <w:sz w:val="22"/>
        </w:rPr>
        <w:t>Capacity</w:t>
      </w:r>
      <w:bookmarkEnd w:id="16"/>
    </w:p>
    <w:p w14:paraId="692DFE8E" w14:textId="77777777" w:rsidR="00F136C6" w:rsidRDefault="00F136C6" w:rsidP="00F136C6">
      <w:pPr>
        <w:spacing w:before="80" w:after="80"/>
        <w:ind w:left="360"/>
        <w:rPr>
          <w:rFonts w:asciiTheme="minorHAnsi" w:hAnsiTheme="minorHAnsi"/>
          <w:b/>
          <w:sz w:val="20"/>
        </w:rPr>
      </w:pPr>
      <w:r w:rsidRPr="00F136C6">
        <w:rPr>
          <w:rFonts w:asciiTheme="minorHAnsi" w:hAnsiTheme="minorHAnsi"/>
          <w:b/>
          <w:sz w:val="20"/>
        </w:rPr>
        <w:t>The school sustains a well-functioning organizational structure, and creates a professional working climate for all staff</w:t>
      </w:r>
      <w:r>
        <w:rPr>
          <w:rFonts w:asciiTheme="minorHAnsi" w:hAnsiTheme="minorHAnsi"/>
          <w:b/>
          <w:sz w:val="20"/>
        </w:rPr>
        <w:t>.</w:t>
      </w:r>
    </w:p>
    <w:p w14:paraId="692DFE8F" w14:textId="77777777" w:rsidR="00F136C6" w:rsidRPr="00F07325" w:rsidRDefault="00F136C6" w:rsidP="00F136C6">
      <w:pPr>
        <w:spacing w:before="80" w:after="80"/>
        <w:ind w:left="360"/>
        <w:rPr>
          <w:rFonts w:asciiTheme="minorHAnsi" w:hAnsiTheme="minorHAnsi"/>
          <w:b/>
          <w:sz w:val="19"/>
          <w:szCs w:val="19"/>
        </w:rPr>
      </w:pPr>
      <w:r w:rsidRPr="00F07325">
        <w:rPr>
          <w:rFonts w:asciiTheme="minorHAnsi" w:hAnsiTheme="minorHAnsi"/>
          <w:sz w:val="19"/>
          <w:szCs w:val="19"/>
        </w:rPr>
        <w:t>Key indicators include but are not limited to:</w:t>
      </w:r>
    </w:p>
    <w:p w14:paraId="692DFE90" w14:textId="77777777" w:rsidR="00F136C6" w:rsidRPr="00F07325" w:rsidRDefault="00FA0A57" w:rsidP="00BD7762">
      <w:pPr>
        <w:pStyle w:val="ListParagraph"/>
        <w:numPr>
          <w:ilvl w:val="1"/>
          <w:numId w:val="18"/>
        </w:numPr>
        <w:spacing w:before="80" w:after="80"/>
        <w:ind w:left="720" w:hanging="360"/>
        <w:contextualSpacing w:val="0"/>
        <w:rPr>
          <w:rFonts w:asciiTheme="minorHAnsi" w:hAnsiTheme="minorHAnsi"/>
          <w:sz w:val="19"/>
          <w:szCs w:val="19"/>
        </w:rPr>
      </w:pPr>
      <w:r w:rsidRPr="00F07325">
        <w:rPr>
          <w:rFonts w:asciiTheme="minorHAnsi" w:hAnsiTheme="minorHAnsi"/>
          <w:sz w:val="19"/>
          <w:szCs w:val="19"/>
        </w:rPr>
        <w:t>School Leadership:</w:t>
      </w:r>
    </w:p>
    <w:p w14:paraId="692DFE91" w14:textId="77777777" w:rsidR="00F136C6" w:rsidRPr="00F07325" w:rsidRDefault="00F136C6" w:rsidP="00BD7762">
      <w:pPr>
        <w:pStyle w:val="ListParagraph"/>
        <w:numPr>
          <w:ilvl w:val="2"/>
          <w:numId w:val="20"/>
        </w:numPr>
        <w:spacing w:before="80" w:after="80"/>
        <w:ind w:left="1080" w:hanging="360"/>
        <w:contextualSpacing w:val="0"/>
        <w:rPr>
          <w:rFonts w:asciiTheme="minorHAnsi" w:hAnsiTheme="minorHAnsi"/>
          <w:sz w:val="19"/>
          <w:szCs w:val="19"/>
        </w:rPr>
      </w:pPr>
      <w:r w:rsidRPr="00F07325">
        <w:rPr>
          <w:rFonts w:asciiTheme="minorHAnsi" w:hAnsiTheme="minorHAnsi"/>
          <w:sz w:val="19"/>
          <w:szCs w:val="19"/>
        </w:rPr>
        <w:t>The school has an effective school leadership team that obtains staff commitment to improving student learning and implements a clearly def</w:t>
      </w:r>
      <w:r w:rsidR="00F07325">
        <w:rPr>
          <w:rFonts w:asciiTheme="minorHAnsi" w:hAnsiTheme="minorHAnsi"/>
          <w:sz w:val="19"/>
          <w:szCs w:val="19"/>
        </w:rPr>
        <w:t>ined mission and set of goals</w:t>
      </w:r>
      <w:r w:rsidRPr="00F07325">
        <w:rPr>
          <w:rFonts w:asciiTheme="minorHAnsi" w:hAnsiTheme="minorHAnsi"/>
          <w:sz w:val="19"/>
          <w:szCs w:val="19"/>
        </w:rPr>
        <w:t>.</w:t>
      </w:r>
      <w:r w:rsidR="00F07325" w:rsidRPr="00D03247">
        <w:rPr>
          <w:rStyle w:val="FootnoteReference"/>
          <w:rFonts w:asciiTheme="minorHAnsi" w:hAnsiTheme="minorHAnsi"/>
          <w:sz w:val="19"/>
          <w:szCs w:val="19"/>
        </w:rPr>
        <w:footnoteReference w:id="7"/>
      </w:r>
    </w:p>
    <w:p w14:paraId="692DFE92" w14:textId="77777777" w:rsidR="00F136C6" w:rsidRPr="00F07325" w:rsidRDefault="00F136C6" w:rsidP="00BD7762">
      <w:pPr>
        <w:pStyle w:val="ListParagraph"/>
        <w:numPr>
          <w:ilvl w:val="2"/>
          <w:numId w:val="20"/>
        </w:numPr>
        <w:spacing w:before="80" w:after="80"/>
        <w:ind w:left="1080" w:hanging="360"/>
        <w:contextualSpacing w:val="0"/>
        <w:rPr>
          <w:rFonts w:asciiTheme="minorHAnsi" w:hAnsiTheme="minorHAnsi"/>
          <w:sz w:val="19"/>
          <w:szCs w:val="19"/>
        </w:rPr>
      </w:pPr>
      <w:r w:rsidRPr="00F07325">
        <w:rPr>
          <w:rFonts w:asciiTheme="minorHAnsi" w:hAnsiTheme="minorHAnsi"/>
          <w:sz w:val="19"/>
          <w:szCs w:val="19"/>
        </w:rPr>
        <w:t>The school defines and delineates clear roles and responsibilities among leaders, staff, management and board members, reflecting a culture of shared accountability.</w:t>
      </w:r>
    </w:p>
    <w:p w14:paraId="692DFE93" w14:textId="77777777" w:rsidR="00F136C6" w:rsidRPr="00F07325" w:rsidRDefault="00F136C6" w:rsidP="00BD7762">
      <w:pPr>
        <w:pStyle w:val="ListParagraph"/>
        <w:numPr>
          <w:ilvl w:val="2"/>
          <w:numId w:val="20"/>
        </w:numPr>
        <w:spacing w:before="80" w:after="80"/>
        <w:ind w:left="1080" w:hanging="360"/>
        <w:contextualSpacing w:val="0"/>
        <w:rPr>
          <w:rFonts w:asciiTheme="minorHAnsi" w:hAnsiTheme="minorHAnsi"/>
          <w:sz w:val="19"/>
          <w:szCs w:val="19"/>
        </w:rPr>
      </w:pPr>
      <w:r w:rsidRPr="00F07325">
        <w:rPr>
          <w:rFonts w:asciiTheme="minorHAnsi" w:hAnsiTheme="minorHAnsi"/>
          <w:sz w:val="19"/>
          <w:szCs w:val="19"/>
        </w:rPr>
        <w:t>The school has clear and well-understood systems for decision making and communication processes among all members of the school community.</w:t>
      </w:r>
    </w:p>
    <w:p w14:paraId="692DFE94" w14:textId="77777777" w:rsidR="00F136C6" w:rsidRPr="00F07325" w:rsidRDefault="00F136C6" w:rsidP="00BD7762">
      <w:pPr>
        <w:pStyle w:val="ListParagraph"/>
        <w:numPr>
          <w:ilvl w:val="1"/>
          <w:numId w:val="18"/>
        </w:numPr>
        <w:spacing w:before="80" w:after="80"/>
        <w:ind w:left="720" w:hanging="360"/>
        <w:contextualSpacing w:val="0"/>
        <w:rPr>
          <w:rFonts w:asciiTheme="minorHAnsi" w:hAnsiTheme="minorHAnsi"/>
          <w:sz w:val="19"/>
          <w:szCs w:val="19"/>
        </w:rPr>
      </w:pPr>
      <w:r w:rsidRPr="00F07325">
        <w:rPr>
          <w:rFonts w:asciiTheme="minorHAnsi" w:hAnsiTheme="minorHAnsi"/>
          <w:sz w:val="19"/>
          <w:szCs w:val="19"/>
        </w:rPr>
        <w:t xml:space="preserve">Professional Climate:  </w:t>
      </w:r>
    </w:p>
    <w:p w14:paraId="692DFE95" w14:textId="77777777" w:rsidR="00F136C6" w:rsidRPr="00F07325" w:rsidRDefault="00F136C6" w:rsidP="00BD7762">
      <w:pPr>
        <w:pStyle w:val="ListParagraph"/>
        <w:numPr>
          <w:ilvl w:val="2"/>
          <w:numId w:val="20"/>
        </w:numPr>
        <w:spacing w:before="80" w:after="80"/>
        <w:ind w:left="1080" w:hanging="360"/>
        <w:contextualSpacing w:val="0"/>
        <w:rPr>
          <w:rFonts w:asciiTheme="minorHAnsi" w:hAnsiTheme="minorHAnsi"/>
          <w:sz w:val="19"/>
          <w:szCs w:val="19"/>
        </w:rPr>
      </w:pPr>
      <w:r w:rsidRPr="00F07325">
        <w:rPr>
          <w:rFonts w:asciiTheme="minorHAnsi" w:hAnsiTheme="minorHAnsi"/>
          <w:sz w:val="19"/>
          <w:szCs w:val="19"/>
        </w:rPr>
        <w:t>The school has structures for regular, frequent collaboration and professional development to improve implementation of the curricul</w:t>
      </w:r>
      <w:r w:rsidR="00D03247">
        <w:rPr>
          <w:rFonts w:asciiTheme="minorHAnsi" w:hAnsiTheme="minorHAnsi"/>
          <w:sz w:val="19"/>
          <w:szCs w:val="19"/>
        </w:rPr>
        <w:t>um and instructional practice.</w:t>
      </w:r>
      <w:r w:rsidR="00F07325" w:rsidRPr="00D03247">
        <w:rPr>
          <w:rStyle w:val="FootnoteReference"/>
          <w:rFonts w:asciiTheme="minorHAnsi" w:hAnsiTheme="minorHAnsi"/>
          <w:sz w:val="19"/>
          <w:szCs w:val="19"/>
        </w:rPr>
        <w:footnoteReference w:id="8"/>
      </w:r>
    </w:p>
    <w:p w14:paraId="692DFE96" w14:textId="77777777" w:rsidR="00F136C6" w:rsidRPr="00F07325" w:rsidRDefault="00F136C6" w:rsidP="00BD7762">
      <w:pPr>
        <w:pStyle w:val="ListParagraph"/>
        <w:numPr>
          <w:ilvl w:val="2"/>
          <w:numId w:val="20"/>
        </w:numPr>
        <w:spacing w:before="80" w:after="80"/>
        <w:ind w:left="1080" w:hanging="360"/>
        <w:contextualSpacing w:val="0"/>
        <w:rPr>
          <w:rFonts w:asciiTheme="minorHAnsi" w:hAnsiTheme="minorHAnsi"/>
          <w:sz w:val="19"/>
          <w:szCs w:val="19"/>
        </w:rPr>
      </w:pPr>
      <w:r w:rsidRPr="00F07325">
        <w:rPr>
          <w:rFonts w:asciiTheme="minorHAnsi" w:hAnsiTheme="minorHAnsi"/>
          <w:sz w:val="19"/>
          <w:szCs w:val="19"/>
        </w:rPr>
        <w:t>A system is in place for monitoring instructional practice for consistency, which includes a formal process of teacher evaluation.</w:t>
      </w:r>
    </w:p>
    <w:p w14:paraId="692DFE97" w14:textId="77777777" w:rsidR="00F136C6" w:rsidRPr="00F07325" w:rsidRDefault="00F136C6" w:rsidP="00BD7762">
      <w:pPr>
        <w:pStyle w:val="ListParagraph"/>
        <w:numPr>
          <w:ilvl w:val="2"/>
          <w:numId w:val="20"/>
        </w:numPr>
        <w:spacing w:before="80" w:after="80"/>
        <w:ind w:left="1080" w:hanging="360"/>
        <w:contextualSpacing w:val="0"/>
        <w:rPr>
          <w:rFonts w:asciiTheme="minorHAnsi" w:hAnsiTheme="minorHAnsi"/>
          <w:sz w:val="19"/>
          <w:szCs w:val="19"/>
        </w:rPr>
      </w:pPr>
      <w:r w:rsidRPr="00F07325">
        <w:rPr>
          <w:rFonts w:asciiTheme="minorHAnsi" w:hAnsiTheme="minorHAnsi"/>
          <w:sz w:val="19"/>
          <w:szCs w:val="19"/>
        </w:rPr>
        <w:t>Includes a system is in place for monitoring instructional practice for consistency, which includes a formal process of teacher evaluation that provides and encourages staff  participation in an induction and mentoring program including staff training in the unique  dynamics related to online learning.</w:t>
      </w:r>
    </w:p>
    <w:p w14:paraId="692DFE98" w14:textId="77777777" w:rsidR="00F136C6" w:rsidRPr="00F07325" w:rsidRDefault="00F136C6" w:rsidP="00BD7762">
      <w:pPr>
        <w:pStyle w:val="ListParagraph"/>
        <w:numPr>
          <w:ilvl w:val="2"/>
          <w:numId w:val="20"/>
        </w:numPr>
        <w:spacing w:before="80" w:after="80"/>
        <w:ind w:left="1080" w:hanging="360"/>
        <w:contextualSpacing w:val="0"/>
        <w:rPr>
          <w:rFonts w:asciiTheme="minorHAnsi" w:hAnsiTheme="minorHAnsi"/>
          <w:sz w:val="19"/>
          <w:szCs w:val="19"/>
        </w:rPr>
      </w:pPr>
      <w:r w:rsidRPr="00F07325">
        <w:rPr>
          <w:rFonts w:asciiTheme="minorHAnsi" w:hAnsiTheme="minorHAnsi"/>
          <w:sz w:val="19"/>
          <w:szCs w:val="19"/>
        </w:rPr>
        <w:t>The organizational structure indicates appropriate staffing levels including student to teacher ratios that are critical to the success of the online program and ensures that all staff are qualified and trained to deliver online instruction.</w:t>
      </w:r>
    </w:p>
    <w:p w14:paraId="692DFE99" w14:textId="77777777" w:rsidR="00C8168C" w:rsidRPr="00F07325" w:rsidRDefault="00C8168C" w:rsidP="00BD7762">
      <w:pPr>
        <w:pStyle w:val="ListParagraph"/>
        <w:numPr>
          <w:ilvl w:val="1"/>
          <w:numId w:val="18"/>
        </w:numPr>
        <w:spacing w:before="80" w:after="80"/>
        <w:ind w:left="720" w:hanging="360"/>
        <w:contextualSpacing w:val="0"/>
        <w:rPr>
          <w:rFonts w:asciiTheme="minorHAnsi" w:hAnsiTheme="minorHAnsi"/>
          <w:sz w:val="19"/>
          <w:szCs w:val="19"/>
        </w:rPr>
      </w:pPr>
      <w:r w:rsidRPr="00F07325">
        <w:rPr>
          <w:rFonts w:asciiTheme="minorHAnsi" w:hAnsiTheme="minorHAnsi"/>
          <w:sz w:val="19"/>
          <w:szCs w:val="19"/>
        </w:rPr>
        <w:t xml:space="preserve">Contractual Relationships </w:t>
      </w:r>
      <w:r w:rsidR="00F136C6" w:rsidRPr="00F07325">
        <w:rPr>
          <w:rFonts w:asciiTheme="minorHAnsi" w:hAnsiTheme="minorHAnsi"/>
          <w:sz w:val="19"/>
          <w:szCs w:val="19"/>
        </w:rPr>
        <w:t>(If applicable)</w:t>
      </w:r>
      <w:r w:rsidRPr="00F07325">
        <w:rPr>
          <w:rFonts w:asciiTheme="minorHAnsi" w:hAnsiTheme="minorHAnsi"/>
          <w:sz w:val="19"/>
          <w:szCs w:val="19"/>
        </w:rPr>
        <w:t>:</w:t>
      </w:r>
    </w:p>
    <w:p w14:paraId="692DFE9A" w14:textId="77777777" w:rsidR="00C8168C" w:rsidRPr="00F07325" w:rsidRDefault="00F136C6" w:rsidP="00BD7762">
      <w:pPr>
        <w:pStyle w:val="ListParagraph"/>
        <w:numPr>
          <w:ilvl w:val="2"/>
          <w:numId w:val="20"/>
        </w:numPr>
        <w:spacing w:before="80" w:after="80"/>
        <w:ind w:left="1080" w:hanging="360"/>
        <w:contextualSpacing w:val="0"/>
        <w:rPr>
          <w:rFonts w:asciiTheme="minorHAnsi" w:hAnsiTheme="minorHAnsi"/>
          <w:sz w:val="19"/>
          <w:szCs w:val="19"/>
        </w:rPr>
      </w:pPr>
      <w:r w:rsidRPr="00F07325">
        <w:rPr>
          <w:rFonts w:asciiTheme="minorHAnsi" w:hAnsiTheme="minorHAnsi"/>
          <w:sz w:val="19"/>
          <w:szCs w:val="19"/>
        </w:rPr>
        <w:t xml:space="preserve">The board of trustees and school leadership establish effective working relationships with their vendor (partner). </w:t>
      </w:r>
    </w:p>
    <w:p w14:paraId="692DFE9B" w14:textId="77777777" w:rsidR="00F136C6" w:rsidRPr="00C8168C" w:rsidRDefault="00F136C6" w:rsidP="00BD7762">
      <w:pPr>
        <w:pStyle w:val="ListParagraph"/>
        <w:numPr>
          <w:ilvl w:val="2"/>
          <w:numId w:val="20"/>
        </w:numPr>
        <w:spacing w:before="80" w:after="80"/>
        <w:ind w:left="1080" w:hanging="360"/>
        <w:contextualSpacing w:val="0"/>
        <w:rPr>
          <w:rFonts w:asciiTheme="minorHAnsi" w:hAnsiTheme="minorHAnsi"/>
          <w:sz w:val="20"/>
          <w:szCs w:val="20"/>
        </w:rPr>
      </w:pPr>
      <w:r w:rsidRPr="00F07325">
        <w:rPr>
          <w:rFonts w:asciiTheme="minorHAnsi" w:hAnsiTheme="minorHAnsi"/>
          <w:sz w:val="19"/>
          <w:szCs w:val="19"/>
        </w:rPr>
        <w:t>Changes in the school’s relationship with its vendor (partner) comply with required certificate amendment procedures.</w:t>
      </w:r>
    </w:p>
    <w:p w14:paraId="692DFE9C" w14:textId="77777777" w:rsidR="00F136C6" w:rsidRPr="00F136C6" w:rsidRDefault="00F136C6" w:rsidP="00C8168C">
      <w:pPr>
        <w:pStyle w:val="Heading3"/>
        <w:numPr>
          <w:ilvl w:val="0"/>
          <w:numId w:val="16"/>
        </w:numPr>
        <w:rPr>
          <w:rFonts w:asciiTheme="minorHAnsi" w:hAnsiTheme="minorHAnsi"/>
          <w:sz w:val="20"/>
          <w:szCs w:val="20"/>
        </w:rPr>
      </w:pPr>
      <w:bookmarkStart w:id="17" w:name="_Toc398114658"/>
      <w:r w:rsidRPr="00FA0A57">
        <w:rPr>
          <w:rFonts w:asciiTheme="minorHAnsi" w:hAnsiTheme="minorHAnsi"/>
          <w:sz w:val="22"/>
        </w:rPr>
        <w:lastRenderedPageBreak/>
        <w:t>Governance</w:t>
      </w:r>
      <w:bookmarkEnd w:id="17"/>
    </w:p>
    <w:p w14:paraId="692DFE9D" w14:textId="77777777" w:rsidR="00F136C6" w:rsidRPr="00F07325" w:rsidRDefault="00F136C6" w:rsidP="00FA0A57">
      <w:pPr>
        <w:spacing w:before="80" w:after="80"/>
        <w:ind w:left="360"/>
        <w:rPr>
          <w:rFonts w:asciiTheme="minorHAnsi" w:hAnsiTheme="minorHAnsi"/>
          <w:sz w:val="19"/>
          <w:szCs w:val="19"/>
        </w:rPr>
      </w:pPr>
      <w:r w:rsidRPr="00F07325">
        <w:rPr>
          <w:rFonts w:asciiTheme="minorHAnsi" w:hAnsiTheme="minorHAnsi"/>
          <w:b/>
          <w:sz w:val="19"/>
          <w:szCs w:val="19"/>
        </w:rPr>
        <w:t>Members of the board of trustees acts as public agents authorized by the state and provides competent and appropriate governance to ensure the success and sustainability of the school.</w:t>
      </w:r>
    </w:p>
    <w:p w14:paraId="692DFE9E" w14:textId="77777777" w:rsidR="00F136C6" w:rsidRPr="00F07325" w:rsidRDefault="00F136C6" w:rsidP="00504578">
      <w:pPr>
        <w:spacing w:before="80" w:after="80"/>
        <w:ind w:left="360"/>
        <w:rPr>
          <w:rFonts w:asciiTheme="minorHAnsi" w:hAnsiTheme="minorHAnsi"/>
          <w:sz w:val="19"/>
          <w:szCs w:val="19"/>
        </w:rPr>
      </w:pPr>
      <w:r w:rsidRPr="00F07325">
        <w:rPr>
          <w:rFonts w:asciiTheme="minorHAnsi" w:hAnsiTheme="minorHAnsi"/>
          <w:sz w:val="19"/>
          <w:szCs w:val="19"/>
        </w:rPr>
        <w:t xml:space="preserve">Key indicators include but are not limited to: </w:t>
      </w:r>
    </w:p>
    <w:p w14:paraId="692DFE9F" w14:textId="77777777" w:rsidR="00F136C6" w:rsidRPr="00F07325" w:rsidRDefault="00F136C6" w:rsidP="00BD7762">
      <w:pPr>
        <w:pStyle w:val="ListParagraph"/>
        <w:numPr>
          <w:ilvl w:val="1"/>
          <w:numId w:val="18"/>
        </w:numPr>
        <w:spacing w:before="80" w:after="80"/>
        <w:ind w:left="720" w:hanging="360"/>
        <w:contextualSpacing w:val="0"/>
        <w:rPr>
          <w:rFonts w:asciiTheme="minorHAnsi" w:hAnsiTheme="minorHAnsi"/>
          <w:sz w:val="19"/>
          <w:szCs w:val="19"/>
        </w:rPr>
      </w:pPr>
      <w:r w:rsidRPr="00F07325">
        <w:rPr>
          <w:rFonts w:asciiTheme="minorHAnsi" w:hAnsiTheme="minorHAnsi"/>
          <w:sz w:val="19"/>
          <w:szCs w:val="19"/>
        </w:rPr>
        <w:t>The board recruits, selects, orients and trains members with skills and expertise that enable them to sustain an excellent school. The board’s recruitment encourages diversity in its applicants.</w:t>
      </w:r>
    </w:p>
    <w:p w14:paraId="692DFEA0" w14:textId="77777777" w:rsidR="00F136C6" w:rsidRPr="00F07325" w:rsidRDefault="00F136C6" w:rsidP="00BD7762">
      <w:pPr>
        <w:pStyle w:val="ListParagraph"/>
        <w:numPr>
          <w:ilvl w:val="1"/>
          <w:numId w:val="18"/>
        </w:numPr>
        <w:spacing w:before="80" w:after="80"/>
        <w:ind w:left="720" w:hanging="360"/>
        <w:contextualSpacing w:val="0"/>
        <w:rPr>
          <w:rFonts w:asciiTheme="minorHAnsi" w:hAnsiTheme="minorHAnsi"/>
          <w:sz w:val="19"/>
          <w:szCs w:val="19"/>
        </w:rPr>
      </w:pPr>
      <w:r w:rsidRPr="00F07325">
        <w:rPr>
          <w:rFonts w:asciiTheme="minorHAnsi" w:hAnsiTheme="minorHAnsi"/>
          <w:sz w:val="19"/>
          <w:szCs w:val="19"/>
        </w:rPr>
        <w:t>Board members are active and engaged; know and fulfill their legal responsibilities and obligations; exercise their fiduciary duties of care and loyalty; comply with the board’s bylaws; and always act in the best interests of the school.</w:t>
      </w:r>
    </w:p>
    <w:p w14:paraId="692DFEA1" w14:textId="77777777" w:rsidR="00F136C6" w:rsidRPr="00F07325" w:rsidRDefault="00F136C6" w:rsidP="00BD7762">
      <w:pPr>
        <w:pStyle w:val="ListParagraph"/>
        <w:numPr>
          <w:ilvl w:val="1"/>
          <w:numId w:val="18"/>
        </w:numPr>
        <w:spacing w:before="80" w:after="80"/>
        <w:ind w:left="720" w:hanging="360"/>
        <w:contextualSpacing w:val="0"/>
        <w:rPr>
          <w:rFonts w:asciiTheme="minorHAnsi" w:hAnsiTheme="minorHAnsi"/>
          <w:sz w:val="19"/>
          <w:szCs w:val="19"/>
        </w:rPr>
      </w:pPr>
      <w:r w:rsidRPr="00F07325">
        <w:rPr>
          <w:rFonts w:asciiTheme="minorHAnsi" w:hAnsiTheme="minorHAnsi"/>
          <w:sz w:val="19"/>
          <w:szCs w:val="19"/>
        </w:rPr>
        <w:t xml:space="preserve">The board engages in strategic and continuous improvement planning by setting, and regularly monitoring progress relative to priorities and goals that are aligned with the school’s mission, vision, and educational philosophy. </w:t>
      </w:r>
    </w:p>
    <w:p w14:paraId="692DFEA2" w14:textId="77777777" w:rsidR="00F136C6" w:rsidRPr="00F07325" w:rsidRDefault="00F136C6" w:rsidP="00BD7762">
      <w:pPr>
        <w:pStyle w:val="ListParagraph"/>
        <w:numPr>
          <w:ilvl w:val="1"/>
          <w:numId w:val="18"/>
        </w:numPr>
        <w:spacing w:before="80" w:after="80"/>
        <w:ind w:left="720" w:hanging="360"/>
        <w:contextualSpacing w:val="0"/>
        <w:rPr>
          <w:rFonts w:asciiTheme="minorHAnsi" w:hAnsiTheme="minorHAnsi"/>
          <w:sz w:val="19"/>
          <w:szCs w:val="19"/>
        </w:rPr>
      </w:pPr>
      <w:r w:rsidRPr="00F07325">
        <w:rPr>
          <w:rFonts w:asciiTheme="minorHAnsi" w:hAnsiTheme="minorHAnsi"/>
          <w:sz w:val="19"/>
          <w:szCs w:val="19"/>
        </w:rPr>
        <w:t xml:space="preserve">The board demonstrates appropriate oversight of the virtual school administration, progress towards meeting academic and other school goals, and alignment with the mission and other terms of the certificate, without managing the day-to-day operations of the school. </w:t>
      </w:r>
    </w:p>
    <w:p w14:paraId="692DFEA3" w14:textId="77777777" w:rsidR="00F136C6" w:rsidRPr="00F07325" w:rsidRDefault="00F136C6" w:rsidP="00BD7762">
      <w:pPr>
        <w:pStyle w:val="ListParagraph"/>
        <w:numPr>
          <w:ilvl w:val="1"/>
          <w:numId w:val="18"/>
        </w:numPr>
        <w:spacing w:before="80" w:after="80"/>
        <w:ind w:left="720" w:hanging="360"/>
        <w:contextualSpacing w:val="0"/>
        <w:rPr>
          <w:rFonts w:asciiTheme="minorHAnsi" w:hAnsiTheme="minorHAnsi"/>
          <w:sz w:val="19"/>
          <w:szCs w:val="19"/>
        </w:rPr>
      </w:pPr>
      <w:r w:rsidRPr="00F07325">
        <w:rPr>
          <w:rFonts w:asciiTheme="minorHAnsi" w:hAnsiTheme="minorHAnsi"/>
          <w:sz w:val="19"/>
          <w:szCs w:val="19"/>
        </w:rPr>
        <w:t xml:space="preserve">The board hires, evaluates per 603 CMR 35.00 and removes, if necessary, qualified personnel to manage the virtual school’s day-to-day operations and holds these administrators accountable for meeting specified goals. </w:t>
      </w:r>
    </w:p>
    <w:p w14:paraId="692DFEA4" w14:textId="77777777" w:rsidR="00F136C6" w:rsidRPr="00F07325" w:rsidRDefault="00F136C6" w:rsidP="00BD7762">
      <w:pPr>
        <w:pStyle w:val="ListParagraph"/>
        <w:numPr>
          <w:ilvl w:val="1"/>
          <w:numId w:val="18"/>
        </w:numPr>
        <w:spacing w:before="80" w:after="80"/>
        <w:ind w:left="720" w:hanging="360"/>
        <w:contextualSpacing w:val="0"/>
        <w:rPr>
          <w:rFonts w:asciiTheme="minorHAnsi" w:hAnsiTheme="minorHAnsi"/>
          <w:sz w:val="19"/>
          <w:szCs w:val="19"/>
        </w:rPr>
      </w:pPr>
      <w:r w:rsidRPr="00F07325">
        <w:rPr>
          <w:rFonts w:asciiTheme="minorHAnsi" w:hAnsiTheme="minorHAnsi"/>
          <w:sz w:val="19"/>
          <w:szCs w:val="19"/>
        </w:rPr>
        <w:t xml:space="preserve">The board has clear and well-understood systems for decision-making and communication processes; board meetings are designed to foster open, deliberate, and thorough discussions to facilitate and ensure public accountability. </w:t>
      </w:r>
    </w:p>
    <w:p w14:paraId="692DFEA5" w14:textId="77777777" w:rsidR="00F136C6" w:rsidRPr="00F07325" w:rsidRDefault="00F136C6" w:rsidP="00BD7762">
      <w:pPr>
        <w:pStyle w:val="ListParagraph"/>
        <w:numPr>
          <w:ilvl w:val="1"/>
          <w:numId w:val="18"/>
        </w:numPr>
        <w:spacing w:before="80" w:after="80"/>
        <w:ind w:left="720" w:hanging="360"/>
        <w:contextualSpacing w:val="0"/>
        <w:rPr>
          <w:rFonts w:asciiTheme="minorHAnsi" w:hAnsiTheme="minorHAnsi"/>
          <w:sz w:val="19"/>
          <w:szCs w:val="19"/>
        </w:rPr>
      </w:pPr>
      <w:r w:rsidRPr="00F07325">
        <w:rPr>
          <w:rFonts w:asciiTheme="minorHAnsi" w:hAnsiTheme="minorHAnsi"/>
          <w:sz w:val="19"/>
          <w:szCs w:val="19"/>
        </w:rPr>
        <w:t xml:space="preserve">The board regularly approves updated school policies to ensure compliance with applicable requirements and that facilitate efficient, effective operations. </w:t>
      </w:r>
    </w:p>
    <w:p w14:paraId="692DFEA6" w14:textId="77777777" w:rsidR="00F136C6" w:rsidRPr="00F07325" w:rsidRDefault="00F136C6" w:rsidP="00BD7762">
      <w:pPr>
        <w:pStyle w:val="ListParagraph"/>
        <w:numPr>
          <w:ilvl w:val="1"/>
          <w:numId w:val="18"/>
        </w:numPr>
        <w:spacing w:before="80" w:after="80"/>
        <w:ind w:left="720" w:hanging="360"/>
        <w:contextualSpacing w:val="0"/>
        <w:rPr>
          <w:rFonts w:asciiTheme="minorHAnsi" w:hAnsiTheme="minorHAnsi"/>
          <w:sz w:val="19"/>
          <w:szCs w:val="19"/>
        </w:rPr>
      </w:pPr>
      <w:r w:rsidRPr="00F07325">
        <w:rPr>
          <w:rFonts w:asciiTheme="minorHAnsi" w:hAnsiTheme="minorHAnsi"/>
          <w:sz w:val="19"/>
          <w:szCs w:val="19"/>
        </w:rPr>
        <w:t>The board utilizes a performance-based evaluation process for regularly evaluating itself, and any vendor or management company</w:t>
      </w:r>
      <w:r w:rsidR="00F07325" w:rsidRPr="00F07325">
        <w:rPr>
          <w:rFonts w:asciiTheme="minorHAnsi" w:hAnsiTheme="minorHAnsi"/>
          <w:sz w:val="19"/>
          <w:szCs w:val="19"/>
        </w:rPr>
        <w:t xml:space="preserve"> (if applicable).</w:t>
      </w:r>
    </w:p>
    <w:p w14:paraId="692DFEA7" w14:textId="77777777" w:rsidR="00F136C6" w:rsidRPr="00F07325" w:rsidRDefault="00F136C6" w:rsidP="00BD7762">
      <w:pPr>
        <w:pStyle w:val="ListParagraph"/>
        <w:numPr>
          <w:ilvl w:val="1"/>
          <w:numId w:val="18"/>
        </w:numPr>
        <w:spacing w:before="80" w:after="80"/>
        <w:ind w:left="720" w:hanging="360"/>
        <w:contextualSpacing w:val="0"/>
        <w:rPr>
          <w:rFonts w:asciiTheme="minorHAnsi" w:hAnsiTheme="minorHAnsi"/>
          <w:sz w:val="19"/>
          <w:szCs w:val="19"/>
        </w:rPr>
      </w:pPr>
      <w:r w:rsidRPr="00F07325">
        <w:rPr>
          <w:rFonts w:asciiTheme="minorHAnsi" w:hAnsiTheme="minorHAnsi"/>
          <w:sz w:val="19"/>
          <w:szCs w:val="19"/>
        </w:rPr>
        <w:t xml:space="preserve">The board ensures school sustainability by establishing clear processes for board and school leadership succession. </w:t>
      </w:r>
    </w:p>
    <w:p w14:paraId="692DFEA8" w14:textId="77777777" w:rsidR="00F136C6" w:rsidRPr="00F07325" w:rsidRDefault="00F136C6" w:rsidP="00BD7762">
      <w:pPr>
        <w:pStyle w:val="ListParagraph"/>
        <w:numPr>
          <w:ilvl w:val="1"/>
          <w:numId w:val="18"/>
        </w:numPr>
        <w:spacing w:before="80" w:after="80"/>
        <w:ind w:left="720" w:hanging="360"/>
        <w:contextualSpacing w:val="0"/>
        <w:rPr>
          <w:rFonts w:asciiTheme="minorHAnsi" w:hAnsiTheme="minorHAnsi"/>
          <w:sz w:val="19"/>
          <w:szCs w:val="19"/>
        </w:rPr>
      </w:pPr>
      <w:r w:rsidRPr="00F07325">
        <w:rPr>
          <w:rFonts w:asciiTheme="minorHAnsi" w:hAnsiTheme="minorHAnsi"/>
          <w:sz w:val="19"/>
          <w:szCs w:val="19"/>
        </w:rPr>
        <w:t xml:space="preserve">The board and administration conducts ongoing internal evaluations that include consistently evaluating faculty to assure instructional quality, using clear, consistent policies, measures and procedures. </w:t>
      </w:r>
    </w:p>
    <w:p w14:paraId="692DFEA9" w14:textId="77777777" w:rsidR="00F136C6" w:rsidRPr="00F07325" w:rsidRDefault="00F136C6" w:rsidP="00BD7762">
      <w:pPr>
        <w:pStyle w:val="ListParagraph"/>
        <w:numPr>
          <w:ilvl w:val="1"/>
          <w:numId w:val="18"/>
        </w:numPr>
        <w:spacing w:before="80" w:after="80"/>
        <w:ind w:left="720" w:hanging="360"/>
        <w:contextualSpacing w:val="0"/>
        <w:rPr>
          <w:rFonts w:asciiTheme="minorHAnsi" w:hAnsiTheme="minorHAnsi"/>
          <w:sz w:val="19"/>
          <w:szCs w:val="19"/>
        </w:rPr>
      </w:pPr>
      <w:r w:rsidRPr="00F07325">
        <w:rPr>
          <w:rFonts w:asciiTheme="minorHAnsi" w:hAnsiTheme="minorHAnsi"/>
          <w:sz w:val="19"/>
          <w:szCs w:val="19"/>
        </w:rPr>
        <w:t>The administration sets educator performance standards and conducts ongoing internal evaluations that include determining program success by measuring student achievement and community satisfaction based on valid and reliable assessment techniques.</w:t>
      </w:r>
    </w:p>
    <w:p w14:paraId="692DFEAA" w14:textId="77777777" w:rsidR="00F136C6" w:rsidRPr="00F07325" w:rsidRDefault="00F136C6" w:rsidP="00BD7762">
      <w:pPr>
        <w:pStyle w:val="ListParagraph"/>
        <w:numPr>
          <w:ilvl w:val="1"/>
          <w:numId w:val="18"/>
        </w:numPr>
        <w:spacing w:before="80" w:after="80"/>
        <w:ind w:left="720" w:hanging="360"/>
        <w:contextualSpacing w:val="0"/>
        <w:rPr>
          <w:rFonts w:asciiTheme="minorHAnsi" w:hAnsiTheme="minorHAnsi"/>
          <w:sz w:val="19"/>
          <w:szCs w:val="19"/>
        </w:rPr>
      </w:pPr>
      <w:r w:rsidRPr="00F07325">
        <w:rPr>
          <w:rFonts w:asciiTheme="minorHAnsi" w:hAnsiTheme="minorHAnsi"/>
          <w:sz w:val="19"/>
          <w:szCs w:val="19"/>
        </w:rPr>
        <w:t>The school communicates evaluation results to program stakeholders, districts that have students enrolled in the school and local communities.</w:t>
      </w:r>
    </w:p>
    <w:p w14:paraId="692DFEAB" w14:textId="77777777" w:rsidR="00F136C6" w:rsidRPr="00F07325" w:rsidRDefault="00F136C6" w:rsidP="00BD7762">
      <w:pPr>
        <w:pStyle w:val="ListParagraph"/>
        <w:numPr>
          <w:ilvl w:val="1"/>
          <w:numId w:val="18"/>
        </w:numPr>
        <w:spacing w:before="80" w:after="80"/>
        <w:ind w:left="720" w:hanging="360"/>
        <w:contextualSpacing w:val="0"/>
        <w:rPr>
          <w:rFonts w:asciiTheme="minorHAnsi" w:hAnsiTheme="minorHAnsi"/>
          <w:sz w:val="19"/>
          <w:szCs w:val="19"/>
        </w:rPr>
      </w:pPr>
      <w:r w:rsidRPr="00F07325">
        <w:rPr>
          <w:rFonts w:asciiTheme="minorHAnsi" w:hAnsiTheme="minorHAnsi"/>
          <w:sz w:val="19"/>
          <w:szCs w:val="19"/>
        </w:rPr>
        <w:t>The board defines the institution’s policy regarding the ownership of the course materials and intellectual property developed in the course by the instructor.</w:t>
      </w:r>
    </w:p>
    <w:p w14:paraId="692DFEAC" w14:textId="77777777" w:rsidR="0091037A" w:rsidRDefault="0091037A">
      <w:pPr>
        <w:rPr>
          <w:rFonts w:asciiTheme="minorHAnsi" w:hAnsiTheme="minorHAnsi" w:cs="Arial"/>
          <w:b/>
          <w:bCs/>
          <w:sz w:val="22"/>
          <w:szCs w:val="26"/>
        </w:rPr>
      </w:pPr>
      <w:r>
        <w:rPr>
          <w:rFonts w:asciiTheme="minorHAnsi" w:hAnsiTheme="minorHAnsi"/>
          <w:sz w:val="22"/>
        </w:rPr>
        <w:br w:type="page"/>
      </w:r>
    </w:p>
    <w:p w14:paraId="692DFEAD" w14:textId="77777777" w:rsidR="00F136C6" w:rsidRPr="00F136C6" w:rsidRDefault="00F136C6" w:rsidP="00FA0A57">
      <w:pPr>
        <w:pStyle w:val="Heading3"/>
        <w:numPr>
          <w:ilvl w:val="0"/>
          <w:numId w:val="16"/>
        </w:numPr>
        <w:rPr>
          <w:rFonts w:asciiTheme="minorHAnsi" w:hAnsiTheme="minorHAnsi"/>
          <w:sz w:val="20"/>
          <w:szCs w:val="20"/>
        </w:rPr>
      </w:pPr>
      <w:bookmarkStart w:id="18" w:name="_Toc398114659"/>
      <w:r w:rsidRPr="00FA0A57">
        <w:rPr>
          <w:rFonts w:asciiTheme="minorHAnsi" w:hAnsiTheme="minorHAnsi"/>
          <w:sz w:val="22"/>
        </w:rPr>
        <w:lastRenderedPageBreak/>
        <w:t>Finance</w:t>
      </w:r>
      <w:bookmarkEnd w:id="18"/>
    </w:p>
    <w:p w14:paraId="692DFEAE" w14:textId="77777777" w:rsidR="00F136C6" w:rsidRPr="00F07325" w:rsidRDefault="00F136C6" w:rsidP="00504578">
      <w:pPr>
        <w:spacing w:before="80" w:after="80"/>
        <w:ind w:left="360"/>
        <w:rPr>
          <w:rFonts w:asciiTheme="minorHAnsi" w:hAnsiTheme="minorHAnsi"/>
          <w:sz w:val="19"/>
          <w:szCs w:val="19"/>
        </w:rPr>
      </w:pPr>
      <w:r w:rsidRPr="00F07325">
        <w:rPr>
          <w:rFonts w:asciiTheme="minorHAnsi" w:hAnsiTheme="minorHAnsi"/>
          <w:b/>
          <w:sz w:val="19"/>
          <w:szCs w:val="19"/>
        </w:rPr>
        <w:t>The school maintains a sound and stable financial condition and operates in a financially sound and publicly accountable manner.</w:t>
      </w:r>
    </w:p>
    <w:p w14:paraId="692DFEAF" w14:textId="77777777" w:rsidR="00F136C6" w:rsidRPr="00F07325" w:rsidRDefault="00F136C6" w:rsidP="00504578">
      <w:pPr>
        <w:spacing w:before="80" w:after="80"/>
        <w:ind w:left="360"/>
        <w:rPr>
          <w:rFonts w:asciiTheme="minorHAnsi" w:hAnsiTheme="minorHAnsi"/>
          <w:sz w:val="19"/>
          <w:szCs w:val="19"/>
        </w:rPr>
      </w:pPr>
      <w:r w:rsidRPr="00F07325">
        <w:rPr>
          <w:rFonts w:asciiTheme="minorHAnsi" w:hAnsiTheme="minorHAnsi"/>
          <w:sz w:val="19"/>
          <w:szCs w:val="19"/>
        </w:rPr>
        <w:t xml:space="preserve">Key indicators </w:t>
      </w:r>
      <w:r w:rsidR="00504578" w:rsidRPr="00F07325">
        <w:rPr>
          <w:rFonts w:asciiTheme="minorHAnsi" w:hAnsiTheme="minorHAnsi"/>
          <w:sz w:val="19"/>
          <w:szCs w:val="19"/>
        </w:rPr>
        <w:t>include but are not limited to:</w:t>
      </w:r>
    </w:p>
    <w:p w14:paraId="692DFEB0" w14:textId="77777777" w:rsidR="00F136C6" w:rsidRPr="00F07325" w:rsidRDefault="00F136C6" w:rsidP="00BD7762">
      <w:pPr>
        <w:pStyle w:val="ListParagraph"/>
        <w:numPr>
          <w:ilvl w:val="1"/>
          <w:numId w:val="18"/>
        </w:numPr>
        <w:spacing w:before="80" w:after="80"/>
        <w:ind w:left="720" w:hanging="360"/>
        <w:contextualSpacing w:val="0"/>
        <w:rPr>
          <w:rFonts w:asciiTheme="minorHAnsi" w:hAnsiTheme="minorHAnsi"/>
          <w:sz w:val="19"/>
          <w:szCs w:val="19"/>
        </w:rPr>
      </w:pPr>
      <w:r w:rsidRPr="00F07325">
        <w:rPr>
          <w:rFonts w:asciiTheme="minorHAnsi" w:hAnsiTheme="minorHAnsi"/>
          <w:sz w:val="19"/>
          <w:szCs w:val="19"/>
        </w:rPr>
        <w:t>The school maintains a sound and stable financial condition and demonstrates a history of positive net assets, adequate cash flow to sustain operations and support the academic program, as evidenced by performance on key financial indicators, such as: current ratio, unrestricted days cash, change in net assets percentage, and debt-to-asset ratio.</w:t>
      </w:r>
    </w:p>
    <w:p w14:paraId="692DFEB1" w14:textId="77777777" w:rsidR="00F136C6" w:rsidRPr="00F07325" w:rsidRDefault="00F136C6" w:rsidP="00BD7762">
      <w:pPr>
        <w:pStyle w:val="ListParagraph"/>
        <w:numPr>
          <w:ilvl w:val="1"/>
          <w:numId w:val="18"/>
        </w:numPr>
        <w:spacing w:before="80" w:after="80"/>
        <w:ind w:left="720" w:hanging="360"/>
        <w:contextualSpacing w:val="0"/>
        <w:rPr>
          <w:rFonts w:asciiTheme="minorHAnsi" w:hAnsiTheme="minorHAnsi"/>
          <w:sz w:val="19"/>
          <w:szCs w:val="19"/>
        </w:rPr>
      </w:pPr>
      <w:r w:rsidRPr="00F07325">
        <w:rPr>
          <w:rFonts w:asciiTheme="minorHAnsi" w:hAnsiTheme="minorHAnsi"/>
          <w:sz w:val="19"/>
          <w:szCs w:val="19"/>
        </w:rPr>
        <w:t>The school develops an annual budget that can be sustained by enrollment and other sources of historically stable revenue. The budget supports student performance.</w:t>
      </w:r>
    </w:p>
    <w:p w14:paraId="692DFEB2" w14:textId="77777777" w:rsidR="00F136C6" w:rsidRPr="00F07325" w:rsidRDefault="00F136C6" w:rsidP="00BD7762">
      <w:pPr>
        <w:pStyle w:val="ListParagraph"/>
        <w:numPr>
          <w:ilvl w:val="1"/>
          <w:numId w:val="18"/>
        </w:numPr>
        <w:spacing w:before="80" w:after="80"/>
        <w:ind w:left="720" w:hanging="360"/>
        <w:contextualSpacing w:val="0"/>
        <w:rPr>
          <w:rFonts w:asciiTheme="minorHAnsi" w:hAnsiTheme="minorHAnsi"/>
          <w:sz w:val="19"/>
          <w:szCs w:val="19"/>
        </w:rPr>
      </w:pPr>
      <w:r w:rsidRPr="00F07325">
        <w:rPr>
          <w:rFonts w:asciiTheme="minorHAnsi" w:hAnsiTheme="minorHAnsi"/>
          <w:sz w:val="19"/>
          <w:szCs w:val="19"/>
        </w:rPr>
        <w:t xml:space="preserve">The school uses an accurate accounting system and engages in appropriate budgetary planning, budget oversight and budget revision. </w:t>
      </w:r>
    </w:p>
    <w:p w14:paraId="692DFEB3" w14:textId="77777777" w:rsidR="00F136C6" w:rsidRPr="00F07325" w:rsidRDefault="00F136C6" w:rsidP="00BD7762">
      <w:pPr>
        <w:pStyle w:val="ListParagraph"/>
        <w:numPr>
          <w:ilvl w:val="1"/>
          <w:numId w:val="18"/>
        </w:numPr>
        <w:spacing w:before="80" w:after="80"/>
        <w:ind w:left="720" w:hanging="360"/>
        <w:contextualSpacing w:val="0"/>
        <w:rPr>
          <w:rFonts w:asciiTheme="minorHAnsi" w:hAnsiTheme="minorHAnsi"/>
          <w:sz w:val="19"/>
          <w:szCs w:val="19"/>
        </w:rPr>
      </w:pPr>
      <w:r w:rsidRPr="00F07325">
        <w:rPr>
          <w:rFonts w:asciiTheme="minorHAnsi" w:hAnsiTheme="minorHAnsi"/>
          <w:sz w:val="19"/>
          <w:szCs w:val="19"/>
        </w:rPr>
        <w:t xml:space="preserve">The school has and is maintaining appropriate internal controls, documented by a written set of fiscal policies and procedures. </w:t>
      </w:r>
    </w:p>
    <w:p w14:paraId="692DFEB4" w14:textId="77777777" w:rsidR="00F136C6" w:rsidRPr="00F07325" w:rsidRDefault="00F136C6" w:rsidP="00BD7762">
      <w:pPr>
        <w:pStyle w:val="ListParagraph"/>
        <w:numPr>
          <w:ilvl w:val="1"/>
          <w:numId w:val="18"/>
        </w:numPr>
        <w:spacing w:before="80" w:after="80"/>
        <w:ind w:left="720" w:hanging="360"/>
        <w:contextualSpacing w:val="0"/>
        <w:rPr>
          <w:rFonts w:asciiTheme="minorHAnsi" w:hAnsiTheme="minorHAnsi"/>
          <w:sz w:val="19"/>
          <w:szCs w:val="19"/>
        </w:rPr>
      </w:pPr>
      <w:r w:rsidRPr="00F07325">
        <w:rPr>
          <w:rFonts w:asciiTheme="minorHAnsi" w:hAnsiTheme="minorHAnsi"/>
          <w:sz w:val="19"/>
          <w:szCs w:val="19"/>
        </w:rPr>
        <w:t xml:space="preserve">The school follows generally accepted accounting principles (GAAP) as evidenced by independent financial audits with a complete audit opinion and a limited number of findings that are quickly corrected. Annual audit reports are submitted to </w:t>
      </w:r>
      <w:r w:rsidR="0045193F">
        <w:rPr>
          <w:rFonts w:asciiTheme="minorHAnsi" w:hAnsiTheme="minorHAnsi"/>
          <w:sz w:val="19"/>
          <w:szCs w:val="19"/>
        </w:rPr>
        <w:t>ESE and the</w:t>
      </w:r>
      <w:r w:rsidRPr="00F07325">
        <w:rPr>
          <w:rFonts w:asciiTheme="minorHAnsi" w:hAnsiTheme="minorHAnsi"/>
          <w:sz w:val="19"/>
          <w:szCs w:val="19"/>
        </w:rPr>
        <w:t xml:space="preserve"> State auditor as required.</w:t>
      </w:r>
    </w:p>
    <w:p w14:paraId="692DFEB5" w14:textId="77777777" w:rsidR="00F136C6" w:rsidRPr="00F07325" w:rsidRDefault="00F136C6" w:rsidP="00BD7762">
      <w:pPr>
        <w:pStyle w:val="ListParagraph"/>
        <w:numPr>
          <w:ilvl w:val="1"/>
          <w:numId w:val="18"/>
        </w:numPr>
        <w:spacing w:before="80" w:after="80"/>
        <w:ind w:left="720" w:hanging="360"/>
        <w:contextualSpacing w:val="0"/>
        <w:rPr>
          <w:rFonts w:asciiTheme="minorHAnsi" w:hAnsiTheme="minorHAnsi"/>
          <w:sz w:val="19"/>
          <w:szCs w:val="19"/>
        </w:rPr>
      </w:pPr>
      <w:r w:rsidRPr="00F07325">
        <w:rPr>
          <w:rFonts w:asciiTheme="minorHAnsi" w:hAnsiTheme="minorHAnsi"/>
          <w:sz w:val="19"/>
          <w:szCs w:val="19"/>
        </w:rPr>
        <w:t>The school maintains a disciplined knowledge of its future with projections of income, expense, enrollment, and trends in its educational and business environment.</w:t>
      </w:r>
    </w:p>
    <w:sectPr w:rsidR="00F136C6" w:rsidRPr="00F07325" w:rsidSect="00B616AF">
      <w:headerReference w:type="default" r:id="rId15"/>
      <w:footerReference w:type="default" r:id="rId16"/>
      <w:pgSz w:w="12240" w:h="15840"/>
      <w:pgMar w:top="1440" w:right="1440" w:bottom="446"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DFEBF" w14:textId="77777777" w:rsidR="00DB6292" w:rsidRDefault="00DB6292" w:rsidP="00FD2C86">
      <w:r>
        <w:separator/>
      </w:r>
    </w:p>
  </w:endnote>
  <w:endnote w:type="continuationSeparator" w:id="0">
    <w:p w14:paraId="692DFEC0" w14:textId="77777777" w:rsidR="00DB6292" w:rsidRDefault="00DB6292" w:rsidP="00FD2C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DFEC2" w14:textId="77777777" w:rsidR="00357A58" w:rsidRPr="00C23971" w:rsidRDefault="00357A58" w:rsidP="00C23971">
    <w:pPr>
      <w:pStyle w:val="Footer"/>
      <w:rPr>
        <w:sz w:val="18"/>
      </w:rPr>
    </w:pPr>
  </w:p>
  <w:p w14:paraId="692DFEC3" w14:textId="77777777" w:rsidR="00357A58" w:rsidRPr="00C23971" w:rsidRDefault="00C23971" w:rsidP="00C23971">
    <w:pPr>
      <w:pStyle w:val="Footer"/>
    </w:pPr>
    <w:r w:rsidRPr="00C23971">
      <w:rPr>
        <w:sz w:val="18"/>
      </w:rPr>
      <w:t xml:space="preserve">Page </w:t>
    </w:r>
    <w:r w:rsidR="00497458" w:rsidRPr="00C23971">
      <w:rPr>
        <w:sz w:val="18"/>
      </w:rPr>
      <w:fldChar w:fldCharType="begin"/>
    </w:r>
    <w:r w:rsidRPr="00C23971">
      <w:rPr>
        <w:sz w:val="18"/>
      </w:rPr>
      <w:instrText xml:space="preserve"> PAGE  \* Arabic  \* MERGEFORMAT </w:instrText>
    </w:r>
    <w:r w:rsidR="00497458" w:rsidRPr="00C23971">
      <w:rPr>
        <w:sz w:val="18"/>
      </w:rPr>
      <w:fldChar w:fldCharType="separate"/>
    </w:r>
    <w:r w:rsidR="00643583">
      <w:rPr>
        <w:noProof/>
        <w:sz w:val="18"/>
      </w:rPr>
      <w:t>9</w:t>
    </w:r>
    <w:r w:rsidR="00497458" w:rsidRPr="00C23971">
      <w:rPr>
        <w:sz w:val="18"/>
      </w:rPr>
      <w:fldChar w:fldCharType="end"/>
    </w:r>
    <w:r w:rsidRPr="00C23971">
      <w:rPr>
        <w:sz w:val="18"/>
      </w:rPr>
      <w:t xml:space="preserve"> of </w:t>
    </w:r>
    <w:r w:rsidR="0026580B">
      <w:rPr>
        <w:sz w:val="18"/>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2DFEBD" w14:textId="77777777" w:rsidR="00DB6292" w:rsidRDefault="00DB6292" w:rsidP="00FD2C86">
      <w:r>
        <w:separator/>
      </w:r>
    </w:p>
  </w:footnote>
  <w:footnote w:type="continuationSeparator" w:id="0">
    <w:p w14:paraId="692DFEBE" w14:textId="77777777" w:rsidR="00DB6292" w:rsidRDefault="00DB6292" w:rsidP="00FD2C86">
      <w:r>
        <w:continuationSeparator/>
      </w:r>
    </w:p>
  </w:footnote>
  <w:footnote w:id="1">
    <w:p w14:paraId="692DFEC4" w14:textId="77777777" w:rsidR="00217D3C" w:rsidRPr="00217D3C" w:rsidRDefault="00217D3C" w:rsidP="00217D3C">
      <w:pPr>
        <w:pStyle w:val="FootnoteText"/>
        <w:rPr>
          <w:rFonts w:asciiTheme="minorHAnsi" w:hAnsiTheme="minorHAnsi"/>
          <w:sz w:val="19"/>
          <w:szCs w:val="19"/>
        </w:rPr>
      </w:pPr>
      <w:r w:rsidRPr="00217D3C">
        <w:rPr>
          <w:rStyle w:val="FootnoteReference"/>
          <w:rFonts w:asciiTheme="minorHAnsi" w:hAnsiTheme="minorHAnsi"/>
          <w:sz w:val="19"/>
          <w:szCs w:val="19"/>
        </w:rPr>
        <w:footnoteRef/>
      </w:r>
      <w:r w:rsidRPr="00217D3C">
        <w:rPr>
          <w:rFonts w:asciiTheme="minorHAnsi" w:hAnsiTheme="minorHAnsi"/>
          <w:sz w:val="19"/>
          <w:szCs w:val="19"/>
        </w:rPr>
        <w:t xml:space="preserve"> Aligned wit</w:t>
      </w:r>
      <w:r>
        <w:rPr>
          <w:rFonts w:asciiTheme="minorHAnsi" w:hAnsiTheme="minorHAnsi"/>
          <w:sz w:val="19"/>
          <w:szCs w:val="19"/>
        </w:rPr>
        <w:t>h CSE III: Aligned Curriculum</w:t>
      </w:r>
    </w:p>
  </w:footnote>
  <w:footnote w:id="2">
    <w:p w14:paraId="692DFEC5" w14:textId="77777777" w:rsidR="00217D3C" w:rsidRPr="00F07325" w:rsidRDefault="00217D3C" w:rsidP="00217D3C">
      <w:pPr>
        <w:pStyle w:val="FootnoteText"/>
        <w:rPr>
          <w:rFonts w:asciiTheme="minorHAnsi" w:hAnsiTheme="minorHAnsi"/>
          <w:sz w:val="19"/>
          <w:szCs w:val="19"/>
        </w:rPr>
      </w:pPr>
      <w:r w:rsidRPr="00F07325">
        <w:rPr>
          <w:rStyle w:val="FootnoteReference"/>
          <w:rFonts w:asciiTheme="minorHAnsi" w:hAnsiTheme="minorHAnsi"/>
          <w:sz w:val="19"/>
          <w:szCs w:val="19"/>
        </w:rPr>
        <w:footnoteRef/>
      </w:r>
      <w:r w:rsidRPr="00F07325">
        <w:rPr>
          <w:rFonts w:asciiTheme="minorHAnsi" w:hAnsiTheme="minorHAnsi"/>
          <w:sz w:val="19"/>
          <w:szCs w:val="19"/>
        </w:rPr>
        <w:t xml:space="preserve"> Aligned with CSE IV: Effective Instruction</w:t>
      </w:r>
    </w:p>
  </w:footnote>
  <w:footnote w:id="3">
    <w:p w14:paraId="692DFEC6" w14:textId="77777777" w:rsidR="00217D3C" w:rsidRPr="00F07325" w:rsidRDefault="00217D3C" w:rsidP="00217D3C">
      <w:pPr>
        <w:pStyle w:val="FootnoteText"/>
        <w:rPr>
          <w:rFonts w:asciiTheme="minorHAnsi" w:hAnsiTheme="minorHAnsi"/>
          <w:sz w:val="19"/>
          <w:szCs w:val="19"/>
        </w:rPr>
      </w:pPr>
      <w:r w:rsidRPr="00F07325">
        <w:rPr>
          <w:rStyle w:val="FootnoteReference"/>
          <w:rFonts w:asciiTheme="minorHAnsi" w:hAnsiTheme="minorHAnsi"/>
          <w:sz w:val="19"/>
          <w:szCs w:val="19"/>
        </w:rPr>
        <w:footnoteRef/>
      </w:r>
      <w:r w:rsidRPr="00F07325">
        <w:rPr>
          <w:rFonts w:asciiTheme="minorHAnsi" w:hAnsiTheme="minorHAnsi"/>
          <w:sz w:val="19"/>
          <w:szCs w:val="19"/>
        </w:rPr>
        <w:t xml:space="preserve"> Aligned with CSE V: Student Assessment</w:t>
      </w:r>
    </w:p>
  </w:footnote>
  <w:footnote w:id="4">
    <w:p w14:paraId="692DFEC7" w14:textId="77777777" w:rsidR="00F07325" w:rsidRDefault="00F07325">
      <w:pPr>
        <w:pStyle w:val="FootnoteText"/>
      </w:pPr>
      <w:r w:rsidRPr="00F07325">
        <w:rPr>
          <w:rStyle w:val="FootnoteReference"/>
          <w:rFonts w:asciiTheme="minorHAnsi" w:hAnsiTheme="minorHAnsi"/>
          <w:sz w:val="19"/>
          <w:szCs w:val="19"/>
        </w:rPr>
        <w:footnoteRef/>
      </w:r>
      <w:r w:rsidRPr="00F07325">
        <w:rPr>
          <w:rFonts w:asciiTheme="minorHAnsi" w:hAnsiTheme="minorHAnsi"/>
          <w:sz w:val="19"/>
          <w:szCs w:val="19"/>
        </w:rPr>
        <w:t xml:space="preserve"> Aligned with CSE VIII: Tiered Instruction and Adequate Learning Time</w:t>
      </w:r>
    </w:p>
  </w:footnote>
  <w:footnote w:id="5">
    <w:p w14:paraId="692DFEC8" w14:textId="77777777" w:rsidR="00942481" w:rsidRPr="00F07325" w:rsidRDefault="00942481" w:rsidP="00942481">
      <w:pPr>
        <w:pStyle w:val="FootnoteText"/>
        <w:rPr>
          <w:rFonts w:ascii="Calibri" w:hAnsi="Calibri"/>
          <w:sz w:val="19"/>
          <w:szCs w:val="19"/>
        </w:rPr>
      </w:pPr>
      <w:r w:rsidRPr="00F07325">
        <w:rPr>
          <w:rStyle w:val="FootnoteReference"/>
          <w:rFonts w:ascii="Calibri" w:hAnsi="Calibri"/>
          <w:sz w:val="19"/>
          <w:szCs w:val="19"/>
        </w:rPr>
        <w:footnoteRef/>
      </w:r>
      <w:r w:rsidRPr="00F07325">
        <w:rPr>
          <w:rFonts w:ascii="Calibri" w:hAnsi="Calibri"/>
          <w:sz w:val="19"/>
          <w:szCs w:val="19"/>
        </w:rPr>
        <w:t xml:space="preserve"> Aligned with CSE IX: Students’ Social, Emotional and Health Needs</w:t>
      </w:r>
    </w:p>
  </w:footnote>
  <w:footnote w:id="6">
    <w:p w14:paraId="692DFEC9" w14:textId="77777777" w:rsidR="00F07325" w:rsidRPr="00F07325" w:rsidRDefault="00F07325">
      <w:pPr>
        <w:pStyle w:val="FootnoteText"/>
        <w:rPr>
          <w:rFonts w:ascii="Calibri" w:hAnsi="Calibri"/>
          <w:sz w:val="19"/>
          <w:szCs w:val="19"/>
        </w:rPr>
      </w:pPr>
      <w:r w:rsidRPr="00F07325">
        <w:rPr>
          <w:rStyle w:val="FootnoteReference"/>
          <w:rFonts w:ascii="Calibri" w:hAnsi="Calibri"/>
          <w:sz w:val="19"/>
          <w:szCs w:val="19"/>
        </w:rPr>
        <w:footnoteRef/>
      </w:r>
      <w:r w:rsidRPr="00F07325">
        <w:rPr>
          <w:rFonts w:ascii="Calibri" w:hAnsi="Calibri"/>
          <w:sz w:val="19"/>
          <w:szCs w:val="19"/>
        </w:rPr>
        <w:t xml:space="preserve"> Aligned with CSE X: Family-school Engagement</w:t>
      </w:r>
    </w:p>
  </w:footnote>
  <w:footnote w:id="7">
    <w:p w14:paraId="692DFECA" w14:textId="77777777" w:rsidR="00F07325" w:rsidRPr="00F07325" w:rsidRDefault="00F07325">
      <w:pPr>
        <w:pStyle w:val="FootnoteText"/>
        <w:rPr>
          <w:rFonts w:ascii="Calibri" w:hAnsi="Calibri"/>
          <w:sz w:val="19"/>
          <w:szCs w:val="19"/>
        </w:rPr>
      </w:pPr>
      <w:r w:rsidRPr="00F07325">
        <w:rPr>
          <w:rStyle w:val="FootnoteReference"/>
          <w:rFonts w:ascii="Calibri" w:hAnsi="Calibri"/>
          <w:sz w:val="19"/>
          <w:szCs w:val="19"/>
        </w:rPr>
        <w:footnoteRef/>
      </w:r>
      <w:r w:rsidRPr="00F07325">
        <w:rPr>
          <w:rFonts w:ascii="Calibri" w:hAnsi="Calibri"/>
          <w:sz w:val="19"/>
          <w:szCs w:val="19"/>
        </w:rPr>
        <w:t xml:space="preserve"> Aligned with CSE II: Effective School Leadership</w:t>
      </w:r>
    </w:p>
  </w:footnote>
  <w:footnote w:id="8">
    <w:p w14:paraId="692DFECB" w14:textId="77777777" w:rsidR="00F07325" w:rsidRDefault="00F07325">
      <w:pPr>
        <w:pStyle w:val="FootnoteText"/>
      </w:pPr>
      <w:r w:rsidRPr="00F07325">
        <w:rPr>
          <w:rStyle w:val="FootnoteReference"/>
          <w:rFonts w:ascii="Calibri" w:hAnsi="Calibri"/>
          <w:sz w:val="19"/>
          <w:szCs w:val="19"/>
        </w:rPr>
        <w:footnoteRef/>
      </w:r>
      <w:r w:rsidRPr="00F07325">
        <w:rPr>
          <w:rFonts w:ascii="Calibri" w:hAnsi="Calibri"/>
          <w:sz w:val="19"/>
          <w:szCs w:val="19"/>
        </w:rPr>
        <w:t xml:space="preserve"> Aligned with CSE VII: Professional Development and Structures for Collaboration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2DFEC1" w14:textId="77777777" w:rsidR="00C23971" w:rsidRPr="00C23971" w:rsidRDefault="00C23971" w:rsidP="00C23971">
    <w:pPr>
      <w:pStyle w:val="Header"/>
      <w:tabs>
        <w:tab w:val="clear" w:pos="8640"/>
        <w:tab w:val="right" w:pos="9360"/>
      </w:tabs>
      <w:rPr>
        <w:rFonts w:asciiTheme="minorHAnsi" w:hAnsiTheme="minorHAnsi"/>
        <w:sz w:val="19"/>
        <w:szCs w:val="19"/>
      </w:rPr>
    </w:pPr>
    <w:r w:rsidRPr="00C23971">
      <w:rPr>
        <w:rFonts w:asciiTheme="minorHAnsi" w:hAnsiTheme="minorHAnsi"/>
        <w:sz w:val="18"/>
        <w:szCs w:val="19"/>
      </w:rPr>
      <w:t>Commonwealth of Massachusetts Virtual School Performance Criteria</w:t>
    </w:r>
    <w:r w:rsidRPr="00C23971">
      <w:rPr>
        <w:rFonts w:asciiTheme="minorHAnsi" w:hAnsiTheme="minorHAnsi"/>
        <w:sz w:val="18"/>
        <w:szCs w:val="19"/>
      </w:rPr>
      <w:tab/>
      <w:t xml:space="preserve">Last updated </w:t>
    </w:r>
    <w:r w:rsidR="0071398C">
      <w:rPr>
        <w:rFonts w:asciiTheme="minorHAnsi" w:hAnsiTheme="minorHAnsi"/>
        <w:sz w:val="18"/>
        <w:szCs w:val="19"/>
      </w:rPr>
      <w:t>9</w:t>
    </w:r>
    <w:r w:rsidRPr="00C23971">
      <w:rPr>
        <w:rFonts w:asciiTheme="minorHAnsi" w:hAnsiTheme="minorHAnsi"/>
        <w:sz w:val="18"/>
        <w:szCs w:val="19"/>
      </w:rPr>
      <w:t>/</w:t>
    </w:r>
    <w:r w:rsidR="0071398C">
      <w:rPr>
        <w:rFonts w:asciiTheme="minorHAnsi" w:hAnsiTheme="minorHAnsi"/>
        <w:sz w:val="18"/>
        <w:szCs w:val="19"/>
      </w:rPr>
      <w:t>10</w:t>
    </w:r>
    <w:r w:rsidRPr="00C23971">
      <w:rPr>
        <w:rFonts w:asciiTheme="minorHAnsi" w:hAnsiTheme="minorHAnsi"/>
        <w:sz w:val="18"/>
        <w:szCs w:val="19"/>
      </w:rPr>
      <w:t>/2014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9B8AB20"/>
    <w:lvl w:ilvl="0">
      <w:start w:val="1"/>
      <w:numFmt w:val="bullet"/>
      <w:pStyle w:val="ESEBullet-Lev1"/>
      <w:lvlText w:val=""/>
      <w:lvlJc w:val="left"/>
      <w:pPr>
        <w:tabs>
          <w:tab w:val="num" w:pos="720"/>
        </w:tabs>
        <w:ind w:left="720" w:hanging="360"/>
      </w:pPr>
      <w:rPr>
        <w:rFonts w:ascii="Symbol" w:hAnsi="Symbol" w:hint="default"/>
      </w:rPr>
    </w:lvl>
  </w:abstractNum>
  <w:abstractNum w:abstractNumId="1">
    <w:nsid w:val="0A773B05"/>
    <w:multiLevelType w:val="hybridMultilevel"/>
    <w:tmpl w:val="ED6E43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C6B2849"/>
    <w:multiLevelType w:val="multilevel"/>
    <w:tmpl w:val="65CCA8AC"/>
    <w:lvl w:ilvl="0">
      <w:start w:val="1"/>
      <w:numFmt w:val="decimal"/>
      <w:lvlText w:val="%1."/>
      <w:lvlJc w:val="left"/>
      <w:pPr>
        <w:ind w:left="360" w:hanging="360"/>
      </w:pPr>
      <w:rPr>
        <w:rFonts w:asciiTheme="minorHAnsi" w:hAnsiTheme="minorHAnsi" w:cs="Arial" w:hint="default"/>
        <w:sz w:val="20"/>
      </w:rPr>
    </w:lvl>
    <w:lvl w:ilvl="1">
      <w:start w:val="1"/>
      <w:numFmt w:val="bullet"/>
      <w:lvlText w:val=""/>
      <w:lvlJc w:val="left"/>
      <w:pPr>
        <w:ind w:left="792" w:hanging="432"/>
      </w:pPr>
      <w:rPr>
        <w:rFonts w:ascii="Symbol" w:hAnsi="Symbol" w:hint="default"/>
        <w:b w:val="0"/>
        <w:sz w:val="19"/>
        <w:szCs w:val="19"/>
      </w:rPr>
    </w:lvl>
    <w:lvl w:ilvl="2">
      <w:start w:val="1"/>
      <w:numFmt w:val="bullet"/>
      <w:lvlText w:val=""/>
      <w:lvlJc w:val="left"/>
      <w:pPr>
        <w:ind w:left="1224" w:hanging="504"/>
      </w:pPr>
      <w:rPr>
        <w:rFonts w:ascii="Symbol" w:hAnsi="Symbol" w:hint="default"/>
        <w:b w:val="0"/>
        <w:sz w:val="19"/>
        <w:szCs w:val="19"/>
      </w:rPr>
    </w:lvl>
    <w:lvl w:ilvl="3">
      <w:start w:val="1"/>
      <w:numFmt w:val="decimal"/>
      <w:lvlText w:val="%1.%2.%3.%4."/>
      <w:lvlJc w:val="left"/>
      <w:pPr>
        <w:ind w:left="2358" w:hanging="648"/>
      </w:pPr>
      <w:rPr>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26F83376"/>
    <w:multiLevelType w:val="hybridMultilevel"/>
    <w:tmpl w:val="095C6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A677999"/>
    <w:multiLevelType w:val="hybridMultilevel"/>
    <w:tmpl w:val="5F1E8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43A62B9"/>
    <w:multiLevelType w:val="hybridMultilevel"/>
    <w:tmpl w:val="AB50C39C"/>
    <w:lvl w:ilvl="0" w:tplc="CF906F56">
      <w:start w:val="1"/>
      <w:numFmt w:val="upperLetter"/>
      <w:lvlText w:val="%1."/>
      <w:lvlJc w:val="left"/>
      <w:pPr>
        <w:ind w:left="720" w:hanging="360"/>
      </w:pPr>
      <w:rPr>
        <w:rFonts w:asciiTheme="minorHAnsi" w:hAnsiTheme="minorHAnsi"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151552"/>
    <w:multiLevelType w:val="multilevel"/>
    <w:tmpl w:val="2C90094C"/>
    <w:styleLink w:val="ESEList-Bullets"/>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440"/>
        </w:tabs>
        <w:ind w:left="1440" w:hanging="360"/>
      </w:pPr>
      <w:rPr>
        <w:rFonts w:ascii="Symbol" w:hAnsi="Symbol" w:hint="default"/>
        <w:color w:val="auto"/>
      </w:rPr>
    </w:lvl>
    <w:lvl w:ilvl="3">
      <w:start w:val="1"/>
      <w:numFmt w:val="bullet"/>
      <w:lvlText w:val="o"/>
      <w:lvlJc w:val="left"/>
      <w:pPr>
        <w:tabs>
          <w:tab w:val="num" w:pos="1800"/>
        </w:tabs>
        <w:ind w:left="1800" w:hanging="360"/>
      </w:pPr>
      <w:rPr>
        <w:rFonts w:ascii="Courier New" w:hAnsi="Courier New" w:hint="default"/>
      </w:rPr>
    </w:lvl>
    <w:lvl w:ilvl="4">
      <w:start w:val="1"/>
      <w:numFmt w:val="bullet"/>
      <w:lvlText w:val=""/>
      <w:lvlJc w:val="left"/>
      <w:pPr>
        <w:tabs>
          <w:tab w:val="num" w:pos="2520"/>
        </w:tabs>
        <w:ind w:left="2520" w:hanging="360"/>
      </w:pPr>
      <w:rPr>
        <w:rFonts w:ascii="Symbol" w:hAnsi="Symbol" w:hint="default"/>
        <w:color w:val="auto"/>
      </w:rPr>
    </w:lvl>
    <w:lvl w:ilvl="5">
      <w:start w:val="1"/>
      <w:numFmt w:val="bullet"/>
      <w:lvlText w:val=""/>
      <w:lvlJc w:val="left"/>
      <w:pPr>
        <w:tabs>
          <w:tab w:val="num" w:pos="2880"/>
        </w:tabs>
        <w:ind w:left="2880" w:hanging="360"/>
      </w:pPr>
      <w:rPr>
        <w:rFonts w:ascii="Symbol" w:hAnsi="Symbol" w:hint="default"/>
        <w:color w:val="auto"/>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7">
    <w:nsid w:val="48C91D69"/>
    <w:multiLevelType w:val="multilevel"/>
    <w:tmpl w:val="51CA06FA"/>
    <w:lvl w:ilvl="0">
      <w:start w:val="1"/>
      <w:numFmt w:val="decimal"/>
      <w:pStyle w:val="ESENumberswspacing"/>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520" w:hanging="360"/>
      </w:pPr>
      <w:rPr>
        <w:rFonts w:hint="default"/>
      </w:rPr>
    </w:lvl>
    <w:lvl w:ilvl="5">
      <w:start w:val="1"/>
      <w:numFmt w:val="lowerRoman"/>
      <w:lvlText w:val="%6."/>
      <w:lvlJc w:val="right"/>
      <w:pPr>
        <w:tabs>
          <w:tab w:val="num" w:pos="2520"/>
        </w:tabs>
        <w:ind w:left="2880" w:hanging="360"/>
      </w:pPr>
      <w:rPr>
        <w:rFonts w:hint="default"/>
      </w:rPr>
    </w:lvl>
    <w:lvl w:ilvl="6">
      <w:start w:val="1"/>
      <w:numFmt w:val="decimal"/>
      <w:lvlText w:val="%7."/>
      <w:lvlJc w:val="left"/>
      <w:pPr>
        <w:tabs>
          <w:tab w:val="num" w:pos="2880"/>
        </w:tabs>
        <w:ind w:left="3240" w:hanging="360"/>
      </w:pPr>
      <w:rPr>
        <w:rFonts w:hint="default"/>
      </w:rPr>
    </w:lvl>
    <w:lvl w:ilvl="7">
      <w:start w:val="1"/>
      <w:numFmt w:val="lowerLetter"/>
      <w:lvlText w:val="%8."/>
      <w:lvlJc w:val="left"/>
      <w:pPr>
        <w:tabs>
          <w:tab w:val="num" w:pos="3240"/>
        </w:tabs>
        <w:ind w:left="3600" w:hanging="360"/>
      </w:pPr>
      <w:rPr>
        <w:rFonts w:hint="default"/>
      </w:rPr>
    </w:lvl>
    <w:lvl w:ilvl="8">
      <w:start w:val="1"/>
      <w:numFmt w:val="lowerRoman"/>
      <w:lvlText w:val="%9."/>
      <w:lvlJc w:val="right"/>
      <w:pPr>
        <w:tabs>
          <w:tab w:val="num" w:pos="3600"/>
        </w:tabs>
        <w:ind w:left="3960" w:hanging="360"/>
      </w:pPr>
      <w:rPr>
        <w:rFonts w:hint="default"/>
      </w:rPr>
    </w:lvl>
  </w:abstractNum>
  <w:abstractNum w:abstractNumId="8">
    <w:nsid w:val="4D5D3FEF"/>
    <w:multiLevelType w:val="multilevel"/>
    <w:tmpl w:val="384E6C8C"/>
    <w:styleLink w:val="ESEList-Numbers"/>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nsid w:val="56E30171"/>
    <w:multiLevelType w:val="hybridMultilevel"/>
    <w:tmpl w:val="FB00CEAA"/>
    <w:lvl w:ilvl="0" w:tplc="7CC62072">
      <w:start w:val="1"/>
      <w:numFmt w:val="bullet"/>
      <w:pStyle w:val="ESEBullet-Lev2"/>
      <w:lvlText w:val="o"/>
      <w:lvlJc w:val="left"/>
      <w:pPr>
        <w:tabs>
          <w:tab w:val="num" w:pos="0"/>
        </w:tabs>
        <w:ind w:left="1080" w:hanging="360"/>
      </w:pPr>
      <w:rPr>
        <w:rFonts w:ascii="Courier New" w:hAnsi="Courier New"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5CBE303F"/>
    <w:multiLevelType w:val="hybridMultilevel"/>
    <w:tmpl w:val="854C1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CC5342C"/>
    <w:multiLevelType w:val="multilevel"/>
    <w:tmpl w:val="84BCB51C"/>
    <w:lvl w:ilvl="0">
      <w:start w:val="1"/>
      <w:numFmt w:val="decimal"/>
      <w:lvlText w:val="%1."/>
      <w:lvlJc w:val="left"/>
      <w:pPr>
        <w:ind w:left="360" w:hanging="360"/>
      </w:pPr>
      <w:rPr>
        <w:rFonts w:asciiTheme="minorHAnsi" w:hAnsiTheme="minorHAnsi" w:cs="Arial" w:hint="default"/>
        <w:sz w:val="20"/>
      </w:rPr>
    </w:lvl>
    <w:lvl w:ilvl="1">
      <w:start w:val="1"/>
      <w:numFmt w:val="bullet"/>
      <w:lvlText w:val=""/>
      <w:lvlJc w:val="left"/>
      <w:pPr>
        <w:ind w:left="792" w:hanging="432"/>
      </w:pPr>
      <w:rPr>
        <w:rFonts w:ascii="Symbol" w:hAnsi="Symbol" w:hint="default"/>
        <w:b w:val="0"/>
        <w:sz w:val="19"/>
        <w:szCs w:val="19"/>
      </w:rPr>
    </w:lvl>
    <w:lvl w:ilvl="2">
      <w:start w:val="1"/>
      <w:numFmt w:val="decimal"/>
      <w:lvlText w:val="%1.%2.%3."/>
      <w:lvlJc w:val="left"/>
      <w:pPr>
        <w:ind w:left="1224" w:hanging="504"/>
      </w:pPr>
      <w:rPr>
        <w:rFonts w:hint="default"/>
        <w:b w:val="0"/>
        <w:sz w:val="19"/>
        <w:szCs w:val="19"/>
      </w:rPr>
    </w:lvl>
    <w:lvl w:ilvl="3">
      <w:start w:val="1"/>
      <w:numFmt w:val="decimal"/>
      <w:lvlText w:val="%1.%2.%3.%4."/>
      <w:lvlJc w:val="left"/>
      <w:pPr>
        <w:ind w:left="2358" w:hanging="648"/>
      </w:pPr>
      <w:rPr>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60643285"/>
    <w:multiLevelType w:val="hybridMultilevel"/>
    <w:tmpl w:val="96968DA4"/>
    <w:lvl w:ilvl="0" w:tplc="3A346B94">
      <w:start w:val="1"/>
      <w:numFmt w:val="decimal"/>
      <w:lvlText w:val="%1."/>
      <w:lvlJc w:val="left"/>
      <w:pPr>
        <w:ind w:left="720" w:hanging="360"/>
      </w:pPr>
      <w:rPr>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3771341"/>
    <w:multiLevelType w:val="hybridMultilevel"/>
    <w:tmpl w:val="D1DC8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7DE0B65"/>
    <w:multiLevelType w:val="hybridMultilevel"/>
    <w:tmpl w:val="5184CC80"/>
    <w:lvl w:ilvl="0" w:tplc="F03E0522">
      <w:start w:val="1"/>
      <w:numFmt w:val="bullet"/>
      <w:pStyle w:val="ESEBullet-Lev3"/>
      <w:lvlText w:val=""/>
      <w:lvlJc w:val="left"/>
      <w:pPr>
        <w:tabs>
          <w:tab w:val="num" w:pos="0"/>
        </w:tabs>
        <w:ind w:left="144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731836B1"/>
    <w:multiLevelType w:val="hybridMultilevel"/>
    <w:tmpl w:val="C1C43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6740909"/>
    <w:multiLevelType w:val="multilevel"/>
    <w:tmpl w:val="48A0718A"/>
    <w:lvl w:ilvl="0">
      <w:start w:val="1"/>
      <w:numFmt w:val="decimal"/>
      <w:lvlText w:val="%1."/>
      <w:lvlJc w:val="left"/>
      <w:pPr>
        <w:ind w:left="360" w:hanging="360"/>
      </w:pPr>
      <w:rPr>
        <w:rFonts w:asciiTheme="minorHAnsi" w:hAnsiTheme="minorHAnsi" w:cs="Arial" w:hint="default"/>
        <w:sz w:val="20"/>
      </w:rPr>
    </w:lvl>
    <w:lvl w:ilvl="1">
      <w:start w:val="1"/>
      <w:numFmt w:val="decimal"/>
      <w:lvlText w:val="%1.%2."/>
      <w:lvlJc w:val="left"/>
      <w:pPr>
        <w:ind w:left="792" w:hanging="432"/>
      </w:pPr>
      <w:rPr>
        <w:rFonts w:asciiTheme="minorHAnsi" w:hAnsiTheme="minorHAnsi" w:hint="default"/>
        <w:b w:val="0"/>
        <w:sz w:val="19"/>
        <w:szCs w:val="19"/>
      </w:rPr>
    </w:lvl>
    <w:lvl w:ilvl="2">
      <w:start w:val="1"/>
      <w:numFmt w:val="decimal"/>
      <w:lvlText w:val="%1.%2.%3."/>
      <w:lvlJc w:val="left"/>
      <w:pPr>
        <w:ind w:left="1224" w:hanging="504"/>
      </w:pPr>
      <w:rPr>
        <w:rFonts w:hint="default"/>
        <w:b w:val="0"/>
        <w:sz w:val="19"/>
        <w:szCs w:val="19"/>
      </w:rPr>
    </w:lvl>
    <w:lvl w:ilvl="3">
      <w:start w:val="1"/>
      <w:numFmt w:val="decimal"/>
      <w:lvlText w:val="%1.%2.%3.%4."/>
      <w:lvlJc w:val="left"/>
      <w:pPr>
        <w:ind w:left="2358" w:hanging="648"/>
      </w:pPr>
      <w:rPr>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77BF19A6"/>
    <w:multiLevelType w:val="multilevel"/>
    <w:tmpl w:val="84BCB51C"/>
    <w:lvl w:ilvl="0">
      <w:start w:val="1"/>
      <w:numFmt w:val="decimal"/>
      <w:lvlText w:val="%1."/>
      <w:lvlJc w:val="left"/>
      <w:pPr>
        <w:ind w:left="360" w:hanging="360"/>
      </w:pPr>
      <w:rPr>
        <w:rFonts w:asciiTheme="minorHAnsi" w:hAnsiTheme="minorHAnsi" w:cs="Arial" w:hint="default"/>
        <w:sz w:val="20"/>
      </w:rPr>
    </w:lvl>
    <w:lvl w:ilvl="1">
      <w:start w:val="1"/>
      <w:numFmt w:val="bullet"/>
      <w:lvlText w:val=""/>
      <w:lvlJc w:val="left"/>
      <w:pPr>
        <w:ind w:left="792" w:hanging="432"/>
      </w:pPr>
      <w:rPr>
        <w:rFonts w:ascii="Symbol" w:hAnsi="Symbol" w:hint="default"/>
        <w:b w:val="0"/>
        <w:sz w:val="19"/>
        <w:szCs w:val="19"/>
      </w:rPr>
    </w:lvl>
    <w:lvl w:ilvl="2">
      <w:start w:val="1"/>
      <w:numFmt w:val="decimal"/>
      <w:lvlText w:val="%1.%2.%3."/>
      <w:lvlJc w:val="left"/>
      <w:pPr>
        <w:ind w:left="1224" w:hanging="504"/>
      </w:pPr>
      <w:rPr>
        <w:rFonts w:hint="default"/>
        <w:b w:val="0"/>
        <w:sz w:val="19"/>
        <w:szCs w:val="19"/>
      </w:rPr>
    </w:lvl>
    <w:lvl w:ilvl="3">
      <w:start w:val="1"/>
      <w:numFmt w:val="decimal"/>
      <w:lvlText w:val="%1.%2.%3.%4."/>
      <w:lvlJc w:val="left"/>
      <w:pPr>
        <w:ind w:left="2358" w:hanging="648"/>
      </w:pPr>
      <w:rPr>
        <w:sz w:val="18"/>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77C0524A"/>
    <w:multiLevelType w:val="hybridMultilevel"/>
    <w:tmpl w:val="516C2024"/>
    <w:lvl w:ilvl="0" w:tplc="773EF144">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B1A634C"/>
    <w:multiLevelType w:val="hybridMultilevel"/>
    <w:tmpl w:val="DF8A62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4"/>
  </w:num>
  <w:num w:numId="3">
    <w:abstractNumId w:val="8"/>
  </w:num>
  <w:num w:numId="4">
    <w:abstractNumId w:val="7"/>
  </w:num>
  <w:num w:numId="5">
    <w:abstractNumId w:val="6"/>
  </w:num>
  <w:num w:numId="6">
    <w:abstractNumId w:val="9"/>
  </w:num>
  <w:num w:numId="7">
    <w:abstractNumId w:val="12"/>
  </w:num>
  <w:num w:numId="8">
    <w:abstractNumId w:val="10"/>
  </w:num>
  <w:num w:numId="9">
    <w:abstractNumId w:val="15"/>
  </w:num>
  <w:num w:numId="10">
    <w:abstractNumId w:val="1"/>
  </w:num>
  <w:num w:numId="11">
    <w:abstractNumId w:val="13"/>
  </w:num>
  <w:num w:numId="12">
    <w:abstractNumId w:val="3"/>
  </w:num>
  <w:num w:numId="13">
    <w:abstractNumId w:val="19"/>
  </w:num>
  <w:num w:numId="14">
    <w:abstractNumId w:val="18"/>
  </w:num>
  <w:num w:numId="15">
    <w:abstractNumId w:val="4"/>
  </w:num>
  <w:num w:numId="16">
    <w:abstractNumId w:val="16"/>
  </w:num>
  <w:num w:numId="17">
    <w:abstractNumId w:val="5"/>
  </w:num>
  <w:num w:numId="18">
    <w:abstractNumId w:val="11"/>
  </w:num>
  <w:num w:numId="19">
    <w:abstractNumId w:val="17"/>
  </w:num>
  <w:num w:numId="2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86E"/>
    <w:rsid w:val="000506EE"/>
    <w:rsid w:val="00064ECC"/>
    <w:rsid w:val="000711BA"/>
    <w:rsid w:val="00092A27"/>
    <w:rsid w:val="000A7B23"/>
    <w:rsid w:val="000B6354"/>
    <w:rsid w:val="000B7C03"/>
    <w:rsid w:val="000C3B85"/>
    <w:rsid w:val="000C5AF1"/>
    <w:rsid w:val="000D0E81"/>
    <w:rsid w:val="000D1FA5"/>
    <w:rsid w:val="00126151"/>
    <w:rsid w:val="00147F76"/>
    <w:rsid w:val="00152CC8"/>
    <w:rsid w:val="0017022D"/>
    <w:rsid w:val="001A028D"/>
    <w:rsid w:val="001B0849"/>
    <w:rsid w:val="001B25AC"/>
    <w:rsid w:val="001B2C8D"/>
    <w:rsid w:val="001C1CF3"/>
    <w:rsid w:val="001F35ED"/>
    <w:rsid w:val="002034A0"/>
    <w:rsid w:val="0020780F"/>
    <w:rsid w:val="002160A9"/>
    <w:rsid w:val="00217D3C"/>
    <w:rsid w:val="00250032"/>
    <w:rsid w:val="0026580B"/>
    <w:rsid w:val="00274356"/>
    <w:rsid w:val="002853D5"/>
    <w:rsid w:val="002B51B3"/>
    <w:rsid w:val="002C120B"/>
    <w:rsid w:val="002E3BD6"/>
    <w:rsid w:val="00304679"/>
    <w:rsid w:val="00322780"/>
    <w:rsid w:val="003244A6"/>
    <w:rsid w:val="00345DE2"/>
    <w:rsid w:val="00357A58"/>
    <w:rsid w:val="00397077"/>
    <w:rsid w:val="003C5942"/>
    <w:rsid w:val="003F3636"/>
    <w:rsid w:val="00440BAB"/>
    <w:rsid w:val="0045193F"/>
    <w:rsid w:val="00464491"/>
    <w:rsid w:val="00484A33"/>
    <w:rsid w:val="00487C2C"/>
    <w:rsid w:val="00497458"/>
    <w:rsid w:val="004D09ED"/>
    <w:rsid w:val="004D437A"/>
    <w:rsid w:val="004D45D4"/>
    <w:rsid w:val="004E0CA6"/>
    <w:rsid w:val="004F1C4B"/>
    <w:rsid w:val="00500099"/>
    <w:rsid w:val="00504578"/>
    <w:rsid w:val="005152E7"/>
    <w:rsid w:val="00522A11"/>
    <w:rsid w:val="0054324B"/>
    <w:rsid w:val="005748A7"/>
    <w:rsid w:val="00577057"/>
    <w:rsid w:val="005A367D"/>
    <w:rsid w:val="005D3539"/>
    <w:rsid w:val="005F037D"/>
    <w:rsid w:val="005F152D"/>
    <w:rsid w:val="005F1897"/>
    <w:rsid w:val="0061315E"/>
    <w:rsid w:val="006320CC"/>
    <w:rsid w:val="00643583"/>
    <w:rsid w:val="006650D6"/>
    <w:rsid w:val="00675B1B"/>
    <w:rsid w:val="0069558B"/>
    <w:rsid w:val="006A276E"/>
    <w:rsid w:val="006C5ACA"/>
    <w:rsid w:val="006C6F88"/>
    <w:rsid w:val="006D1B5E"/>
    <w:rsid w:val="006F4CF2"/>
    <w:rsid w:val="0070177C"/>
    <w:rsid w:val="00706286"/>
    <w:rsid w:val="0071398C"/>
    <w:rsid w:val="00730CE3"/>
    <w:rsid w:val="00731A10"/>
    <w:rsid w:val="00740C0D"/>
    <w:rsid w:val="0074582B"/>
    <w:rsid w:val="00755977"/>
    <w:rsid w:val="00765318"/>
    <w:rsid w:val="0077336E"/>
    <w:rsid w:val="007771D5"/>
    <w:rsid w:val="007860D8"/>
    <w:rsid w:val="00797265"/>
    <w:rsid w:val="007A7B97"/>
    <w:rsid w:val="007E31B2"/>
    <w:rsid w:val="007F3EEE"/>
    <w:rsid w:val="007F52B9"/>
    <w:rsid w:val="00807B5B"/>
    <w:rsid w:val="008143F7"/>
    <w:rsid w:val="00832115"/>
    <w:rsid w:val="00854EEB"/>
    <w:rsid w:val="00871349"/>
    <w:rsid w:val="008734A6"/>
    <w:rsid w:val="00881DFE"/>
    <w:rsid w:val="0088258A"/>
    <w:rsid w:val="008B7805"/>
    <w:rsid w:val="008C575C"/>
    <w:rsid w:val="008F3915"/>
    <w:rsid w:val="00901891"/>
    <w:rsid w:val="00907BC7"/>
    <w:rsid w:val="0091037A"/>
    <w:rsid w:val="00917329"/>
    <w:rsid w:val="009212B3"/>
    <w:rsid w:val="00925001"/>
    <w:rsid w:val="00942481"/>
    <w:rsid w:val="0095473A"/>
    <w:rsid w:val="00964FA8"/>
    <w:rsid w:val="00976882"/>
    <w:rsid w:val="009861C9"/>
    <w:rsid w:val="009A3016"/>
    <w:rsid w:val="009A3130"/>
    <w:rsid w:val="009C4322"/>
    <w:rsid w:val="009C550C"/>
    <w:rsid w:val="009D7BA2"/>
    <w:rsid w:val="009E45FA"/>
    <w:rsid w:val="00A10F9C"/>
    <w:rsid w:val="00A11174"/>
    <w:rsid w:val="00A34B7C"/>
    <w:rsid w:val="00A4576F"/>
    <w:rsid w:val="00A5157F"/>
    <w:rsid w:val="00A73051"/>
    <w:rsid w:val="00AA2AF8"/>
    <w:rsid w:val="00AD0A1F"/>
    <w:rsid w:val="00AD298F"/>
    <w:rsid w:val="00AD72FC"/>
    <w:rsid w:val="00AE53BE"/>
    <w:rsid w:val="00B129CE"/>
    <w:rsid w:val="00B316B3"/>
    <w:rsid w:val="00B42CA2"/>
    <w:rsid w:val="00B53F5F"/>
    <w:rsid w:val="00B57C23"/>
    <w:rsid w:val="00B601E6"/>
    <w:rsid w:val="00B616AF"/>
    <w:rsid w:val="00B66DF1"/>
    <w:rsid w:val="00B8066C"/>
    <w:rsid w:val="00B87F39"/>
    <w:rsid w:val="00B9061D"/>
    <w:rsid w:val="00BC227D"/>
    <w:rsid w:val="00BD2320"/>
    <w:rsid w:val="00BD7762"/>
    <w:rsid w:val="00BE39EF"/>
    <w:rsid w:val="00BF3479"/>
    <w:rsid w:val="00BF62F1"/>
    <w:rsid w:val="00BF6C13"/>
    <w:rsid w:val="00C052D1"/>
    <w:rsid w:val="00C118B2"/>
    <w:rsid w:val="00C20CFE"/>
    <w:rsid w:val="00C23971"/>
    <w:rsid w:val="00C66ABF"/>
    <w:rsid w:val="00C8168C"/>
    <w:rsid w:val="00C8249A"/>
    <w:rsid w:val="00C82A00"/>
    <w:rsid w:val="00C93807"/>
    <w:rsid w:val="00CA5F8E"/>
    <w:rsid w:val="00CC22F1"/>
    <w:rsid w:val="00CE1085"/>
    <w:rsid w:val="00CE5C67"/>
    <w:rsid w:val="00CF13EE"/>
    <w:rsid w:val="00CF6B07"/>
    <w:rsid w:val="00D03247"/>
    <w:rsid w:val="00D16480"/>
    <w:rsid w:val="00D21199"/>
    <w:rsid w:val="00D40A4A"/>
    <w:rsid w:val="00D4127E"/>
    <w:rsid w:val="00D43945"/>
    <w:rsid w:val="00D53B5E"/>
    <w:rsid w:val="00D674EF"/>
    <w:rsid w:val="00D72BD5"/>
    <w:rsid w:val="00D91043"/>
    <w:rsid w:val="00DB40C5"/>
    <w:rsid w:val="00DB6292"/>
    <w:rsid w:val="00DC563B"/>
    <w:rsid w:val="00DD1BB7"/>
    <w:rsid w:val="00DD4A21"/>
    <w:rsid w:val="00DE0201"/>
    <w:rsid w:val="00E04B8E"/>
    <w:rsid w:val="00E25B58"/>
    <w:rsid w:val="00E34296"/>
    <w:rsid w:val="00E5686E"/>
    <w:rsid w:val="00E75594"/>
    <w:rsid w:val="00E83408"/>
    <w:rsid w:val="00E92D20"/>
    <w:rsid w:val="00EB1F6F"/>
    <w:rsid w:val="00EB7F04"/>
    <w:rsid w:val="00EC2EED"/>
    <w:rsid w:val="00EC3654"/>
    <w:rsid w:val="00EE0F06"/>
    <w:rsid w:val="00EE76CD"/>
    <w:rsid w:val="00F07325"/>
    <w:rsid w:val="00F136C6"/>
    <w:rsid w:val="00F13965"/>
    <w:rsid w:val="00F35C70"/>
    <w:rsid w:val="00F36062"/>
    <w:rsid w:val="00F44256"/>
    <w:rsid w:val="00F44C7B"/>
    <w:rsid w:val="00F45CB2"/>
    <w:rsid w:val="00F47C49"/>
    <w:rsid w:val="00F66EB7"/>
    <w:rsid w:val="00F7387F"/>
    <w:rsid w:val="00F97F3F"/>
    <w:rsid w:val="00FA0A57"/>
    <w:rsid w:val="00FD2C86"/>
    <w:rsid w:val="00FD69E2"/>
    <w:rsid w:val="00FD72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7"/>
    <o:shapelayout v:ext="edit">
      <o:idmap v:ext="edit" data="1"/>
    </o:shapelayout>
  </w:shapeDefaults>
  <w:decimalSymbol w:val="."/>
  <w:listSeparator w:val=","/>
  <w14:docId w14:val="692DFD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964FA8"/>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C23971"/>
    <w:pPr>
      <w:tabs>
        <w:tab w:val="right" w:pos="9360"/>
      </w:tabs>
      <w:jc w:val="right"/>
    </w:pPr>
    <w:rPr>
      <w:rFonts w:ascii="Calibri" w:hAnsi="Calibri"/>
      <w:sz w:val="19"/>
      <w:szCs w:val="19"/>
    </w:rPr>
  </w:style>
  <w:style w:type="character" w:customStyle="1" w:styleId="FooterChar">
    <w:name w:val="Footer Char"/>
    <w:basedOn w:val="DefaultParagraphFont"/>
    <w:link w:val="Footer"/>
    <w:uiPriority w:val="99"/>
    <w:rsid w:val="00C23971"/>
    <w:rPr>
      <w:rFonts w:ascii="Calibri" w:hAnsi="Calibri"/>
      <w:sz w:val="19"/>
      <w:szCs w:val="19"/>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F07325"/>
    <w:pPr>
      <w:tabs>
        <w:tab w:val="right" w:leader="dot" w:pos="9360"/>
      </w:tabs>
      <w:spacing w:before="240" w:after="120"/>
    </w:pPr>
    <w:rPr>
      <w:rFonts w:ascii="Calibri" w:hAnsi="Calibri"/>
      <w:b/>
      <w:sz w:val="20"/>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semiHidden/>
    <w:rsid w:val="00F07325"/>
    <w:pPr>
      <w:spacing w:before="120"/>
      <w:ind w:left="245"/>
    </w:pPr>
    <w:rPr>
      <w:rFonts w:ascii="Calibri" w:hAnsi="Calibri"/>
      <w:sz w:val="19"/>
    </w:rPr>
  </w:style>
  <w:style w:type="paragraph" w:styleId="TOC3">
    <w:name w:val="toc 3"/>
    <w:basedOn w:val="Normal"/>
    <w:next w:val="Normal"/>
    <w:autoRedefine/>
    <w:uiPriority w:val="39"/>
    <w:rsid w:val="00F07325"/>
    <w:pPr>
      <w:ind w:left="480"/>
    </w:pPr>
    <w:rPr>
      <w:rFonts w:ascii="Calibri" w:hAnsi="Calibri"/>
      <w:sz w:val="19"/>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7860D8"/>
    <w:rPr>
      <w:rFonts w:ascii="Tahoma" w:hAnsi="Tahoma" w:cs="Tahoma"/>
      <w:sz w:val="16"/>
      <w:szCs w:val="16"/>
    </w:rPr>
  </w:style>
  <w:style w:type="character" w:customStyle="1" w:styleId="BalloonTextChar">
    <w:name w:val="Balloon Text Char"/>
    <w:basedOn w:val="DefaultParagraphFont"/>
    <w:link w:val="BalloonText"/>
    <w:rsid w:val="007860D8"/>
    <w:rPr>
      <w:rFonts w:ascii="Tahoma" w:hAnsi="Tahoma" w:cs="Tahoma"/>
      <w:sz w:val="16"/>
      <w:szCs w:val="16"/>
    </w:rPr>
  </w:style>
  <w:style w:type="paragraph" w:styleId="ListParagraph">
    <w:name w:val="List Paragraph"/>
    <w:basedOn w:val="Normal"/>
    <w:link w:val="ListParagraphChar"/>
    <w:uiPriority w:val="34"/>
    <w:qFormat/>
    <w:rsid w:val="0054324B"/>
    <w:pPr>
      <w:ind w:left="720"/>
      <w:contextualSpacing/>
    </w:pPr>
  </w:style>
  <w:style w:type="paragraph" w:styleId="FootnoteText">
    <w:name w:val="footnote text"/>
    <w:basedOn w:val="Normal"/>
    <w:link w:val="FootnoteTextChar"/>
    <w:semiHidden/>
    <w:unhideWhenUsed/>
    <w:rsid w:val="00854EEB"/>
    <w:rPr>
      <w:sz w:val="20"/>
      <w:szCs w:val="20"/>
    </w:rPr>
  </w:style>
  <w:style w:type="character" w:customStyle="1" w:styleId="FootnoteTextChar">
    <w:name w:val="Footnote Text Char"/>
    <w:basedOn w:val="DefaultParagraphFont"/>
    <w:link w:val="FootnoteText"/>
    <w:semiHidden/>
    <w:rsid w:val="00854EEB"/>
  </w:style>
  <w:style w:type="character" w:styleId="FootnoteReference">
    <w:name w:val="footnote reference"/>
    <w:basedOn w:val="DefaultParagraphFont"/>
    <w:semiHidden/>
    <w:unhideWhenUsed/>
    <w:rsid w:val="00854EEB"/>
    <w:rPr>
      <w:vertAlign w:val="superscript"/>
    </w:rPr>
  </w:style>
  <w:style w:type="table" w:styleId="TableGrid">
    <w:name w:val="Table Grid"/>
    <w:basedOn w:val="TableNormal"/>
    <w:uiPriority w:val="59"/>
    <w:rsid w:val="00304679"/>
    <w:pPr>
      <w:spacing w:after="200" w:line="276" w:lineRule="auto"/>
    </w:pPr>
    <w:rPr>
      <w:rFonts w:asciiTheme="minorHAnsi" w:eastAsiaTheme="minorEastAsia" w:hAnsiTheme="minorHAnsi" w:cstheme="minorBidi"/>
      <w:sz w:val="22"/>
      <w:szCs w:val="22"/>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22A11"/>
    <w:rPr>
      <w:rFonts w:asciiTheme="minorHAnsi" w:eastAsiaTheme="minorEastAsia" w:hAnsiTheme="minorHAnsi" w:cstheme="minorBidi"/>
      <w:sz w:val="22"/>
      <w:szCs w:val="22"/>
      <w:lang w:bidi="en-US"/>
    </w:rPr>
  </w:style>
  <w:style w:type="character" w:customStyle="1" w:styleId="NoSpacingChar">
    <w:name w:val="No Spacing Char"/>
    <w:basedOn w:val="DefaultParagraphFont"/>
    <w:link w:val="NoSpacing"/>
    <w:uiPriority w:val="1"/>
    <w:rsid w:val="00522A11"/>
    <w:rPr>
      <w:rFonts w:asciiTheme="minorHAnsi" w:eastAsiaTheme="minorEastAsia" w:hAnsiTheme="minorHAnsi" w:cstheme="minorBidi"/>
      <w:sz w:val="22"/>
      <w:szCs w:val="22"/>
      <w:lang w:bidi="en-US"/>
    </w:rPr>
  </w:style>
  <w:style w:type="paragraph" w:customStyle="1" w:styleId="Headings2">
    <w:name w:val="Headings 2"/>
    <w:basedOn w:val="NoSpacing"/>
    <w:link w:val="Headings2Char"/>
    <w:qFormat/>
    <w:rsid w:val="00522A11"/>
    <w:rPr>
      <w:rFonts w:ascii="Cambria" w:eastAsia="Calibri" w:hAnsi="Cambria"/>
      <w:b/>
      <w:color w:val="365F91" w:themeColor="accent1" w:themeShade="BF"/>
      <w:sz w:val="26"/>
      <w:szCs w:val="26"/>
    </w:rPr>
  </w:style>
  <w:style w:type="character" w:customStyle="1" w:styleId="Headings2Char">
    <w:name w:val="Headings 2 Char"/>
    <w:basedOn w:val="NoSpacingChar"/>
    <w:link w:val="Headings2"/>
    <w:rsid w:val="00522A11"/>
    <w:rPr>
      <w:rFonts w:ascii="Cambria" w:eastAsia="Calibri" w:hAnsi="Cambria" w:cstheme="minorBidi"/>
      <w:b/>
      <w:color w:val="365F91" w:themeColor="accent1" w:themeShade="BF"/>
      <w:sz w:val="26"/>
      <w:szCs w:val="26"/>
      <w:lang w:bidi="en-US"/>
    </w:rPr>
  </w:style>
  <w:style w:type="paragraph" w:styleId="EndnoteText">
    <w:name w:val="endnote text"/>
    <w:basedOn w:val="Normal"/>
    <w:link w:val="EndnoteTextChar"/>
    <w:semiHidden/>
    <w:unhideWhenUsed/>
    <w:rsid w:val="00F136C6"/>
    <w:rPr>
      <w:sz w:val="20"/>
      <w:szCs w:val="20"/>
    </w:rPr>
  </w:style>
  <w:style w:type="character" w:customStyle="1" w:styleId="EndnoteTextChar">
    <w:name w:val="Endnote Text Char"/>
    <w:basedOn w:val="DefaultParagraphFont"/>
    <w:link w:val="EndnoteText"/>
    <w:semiHidden/>
    <w:rsid w:val="00F136C6"/>
  </w:style>
  <w:style w:type="character" w:styleId="EndnoteReference">
    <w:name w:val="endnote reference"/>
    <w:basedOn w:val="DefaultParagraphFont"/>
    <w:semiHidden/>
    <w:unhideWhenUsed/>
    <w:rsid w:val="00F136C6"/>
    <w:rPr>
      <w:vertAlign w:val="superscript"/>
    </w:rPr>
  </w:style>
  <w:style w:type="character" w:customStyle="1" w:styleId="ListParagraphChar">
    <w:name w:val="List Paragraph Char"/>
    <w:basedOn w:val="DefaultParagraphFont"/>
    <w:link w:val="ListParagraph"/>
    <w:uiPriority w:val="34"/>
    <w:rsid w:val="0071398C"/>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3"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11BA"/>
    <w:rPr>
      <w:sz w:val="24"/>
      <w:szCs w:val="24"/>
    </w:rPr>
  </w:style>
  <w:style w:type="paragraph" w:styleId="Heading1">
    <w:name w:val="heading 1"/>
    <w:next w:val="Normal"/>
    <w:qFormat/>
    <w:rsid w:val="00BE39EF"/>
    <w:pPr>
      <w:keepNext/>
      <w:spacing w:before="280" w:after="120"/>
      <w:outlineLvl w:val="0"/>
    </w:pPr>
    <w:rPr>
      <w:rFonts w:ascii="Arial" w:hAnsi="Arial" w:cs="Arial"/>
      <w:b/>
      <w:bCs/>
      <w:kern w:val="32"/>
      <w:sz w:val="32"/>
      <w:szCs w:val="32"/>
    </w:rPr>
  </w:style>
  <w:style w:type="paragraph" w:styleId="Heading2">
    <w:name w:val="heading 2"/>
    <w:basedOn w:val="Normal"/>
    <w:next w:val="Normal"/>
    <w:qFormat/>
    <w:rsid w:val="0077336E"/>
    <w:pPr>
      <w:keepNext/>
      <w:spacing w:before="240"/>
      <w:outlineLvl w:val="1"/>
    </w:pPr>
    <w:rPr>
      <w:rFonts w:ascii="Arial" w:hAnsi="Arial" w:cs="Arial"/>
      <w:b/>
      <w:bCs/>
      <w:i/>
      <w:iCs/>
      <w:sz w:val="28"/>
      <w:szCs w:val="28"/>
    </w:rPr>
  </w:style>
  <w:style w:type="paragraph" w:styleId="Heading3">
    <w:name w:val="heading 3"/>
    <w:basedOn w:val="Normal"/>
    <w:next w:val="Normal"/>
    <w:qFormat/>
    <w:rsid w:val="009C4322"/>
    <w:pPr>
      <w:keepNext/>
      <w:spacing w:before="240" w:after="60"/>
      <w:outlineLvl w:val="2"/>
    </w:pPr>
    <w:rPr>
      <w:rFonts w:ascii="Arial" w:hAnsi="Arial" w:cs="Arial"/>
      <w:b/>
      <w:bCs/>
      <w:szCs w:val="26"/>
    </w:rPr>
  </w:style>
  <w:style w:type="paragraph" w:styleId="Heading4">
    <w:name w:val="heading 4"/>
    <w:basedOn w:val="Normal"/>
    <w:next w:val="Normal"/>
    <w:qFormat/>
    <w:rsid w:val="00FD2C86"/>
    <w:pPr>
      <w:keepNext/>
      <w:spacing w:before="240" w:after="60"/>
      <w:outlineLvl w:val="3"/>
    </w:pPr>
    <w:rPr>
      <w:rFonts w:ascii="Arial" w:hAnsi="Arial"/>
      <w:bCs/>
      <w:szCs w:val="28"/>
    </w:rPr>
  </w:style>
  <w:style w:type="paragraph" w:styleId="Heading6">
    <w:name w:val="heading 6"/>
    <w:basedOn w:val="Normal"/>
    <w:next w:val="Normal"/>
    <w:qFormat/>
    <w:rsid w:val="00964FA8"/>
    <w:pPr>
      <w:keepNext/>
      <w:outlineLvl w:val="5"/>
    </w:pPr>
    <w:rPr>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EReportName">
    <w:name w:val="ESE Report Name"/>
    <w:basedOn w:val="Normal"/>
    <w:next w:val="Normal"/>
    <w:qFormat/>
    <w:rsid w:val="00CE1085"/>
    <w:pPr>
      <w:spacing w:line="400" w:lineRule="exact"/>
    </w:pPr>
    <w:rPr>
      <w:rFonts w:ascii="Arial" w:hAnsi="Arial"/>
      <w:b/>
      <w:color w:val="000000"/>
      <w:sz w:val="36"/>
    </w:rPr>
  </w:style>
  <w:style w:type="paragraph" w:customStyle="1" w:styleId="AgencyTitle">
    <w:name w:val="Agency Title"/>
    <w:basedOn w:val="Normal"/>
    <w:semiHidden/>
    <w:rsid w:val="00EB1F6F"/>
    <w:rPr>
      <w:rFonts w:ascii="Arial" w:hAnsi="Arial"/>
      <w:b/>
      <w:sz w:val="18"/>
    </w:rPr>
  </w:style>
  <w:style w:type="paragraph" w:customStyle="1" w:styleId="arial9">
    <w:name w:val="arial9"/>
    <w:basedOn w:val="Normal"/>
    <w:semiHidden/>
    <w:rsid w:val="00EB1F6F"/>
    <w:pPr>
      <w:ind w:right="-108"/>
    </w:pPr>
    <w:rPr>
      <w:rFonts w:ascii="Arial" w:hAnsi="Arial"/>
      <w:sz w:val="18"/>
    </w:rPr>
  </w:style>
  <w:style w:type="paragraph" w:customStyle="1" w:styleId="ESESourceLine">
    <w:name w:val="ESE Source Line"/>
    <w:basedOn w:val="Normal"/>
    <w:next w:val="Normal"/>
    <w:rsid w:val="006C5ACA"/>
    <w:rPr>
      <w:i/>
      <w:sz w:val="20"/>
    </w:rPr>
  </w:style>
  <w:style w:type="paragraph" w:customStyle="1" w:styleId="ESEBullet-Lev1">
    <w:name w:val="ESE Bullet - Lev1"/>
    <w:basedOn w:val="Normal"/>
    <w:qFormat/>
    <w:rsid w:val="008734A6"/>
    <w:pPr>
      <w:numPr>
        <w:numId w:val="1"/>
      </w:numPr>
      <w:spacing w:before="60" w:after="120"/>
    </w:pPr>
  </w:style>
  <w:style w:type="paragraph" w:customStyle="1" w:styleId="ESETableChartFigHeaders">
    <w:name w:val="ESE Table/Chart/Fig Headers"/>
    <w:basedOn w:val="Normal"/>
    <w:next w:val="Normal"/>
    <w:rsid w:val="001B25AC"/>
    <w:pPr>
      <w:spacing w:after="120"/>
    </w:pPr>
    <w:rPr>
      <w:rFonts w:ascii="Arial" w:hAnsi="Arial"/>
      <w:b/>
      <w:sz w:val="22"/>
    </w:rPr>
  </w:style>
  <w:style w:type="paragraph" w:customStyle="1" w:styleId="BoardMembers">
    <w:name w:val="BoardMembers"/>
    <w:basedOn w:val="Normal"/>
    <w:semiHidden/>
    <w:rsid w:val="00FD2C86"/>
    <w:pPr>
      <w:jc w:val="center"/>
    </w:pPr>
    <w:rPr>
      <w:rFonts w:ascii="Arial" w:hAnsi="Arial"/>
      <w:sz w:val="18"/>
      <w:szCs w:val="20"/>
    </w:rPr>
  </w:style>
  <w:style w:type="table" w:customStyle="1" w:styleId="ESETablesOpenStyle">
    <w:name w:val="ESE Tables Open Style"/>
    <w:basedOn w:val="TableNormal"/>
    <w:rsid w:val="001A028D"/>
    <w:pPr>
      <w:jc w:val="center"/>
    </w:pPr>
    <w:rPr>
      <w:rFonts w:ascii="Arial Narrow" w:hAnsi="Arial Narrow"/>
      <w:sz w:val="22"/>
    </w:rPr>
    <w:tblPr>
      <w:tblInd w:w="0" w:type="dxa"/>
      <w:tblBorders>
        <w:top w:val="single" w:sz="12" w:space="0" w:color="auto"/>
        <w:bottom w:val="single" w:sz="12" w:space="0" w:color="auto"/>
      </w:tblBorders>
      <w:tblCellMar>
        <w:top w:w="43" w:type="dxa"/>
        <w:left w:w="115" w:type="dxa"/>
        <w:bottom w:w="43" w:type="dxa"/>
        <w:right w:w="115" w:type="dxa"/>
      </w:tblCellMar>
    </w:tblPr>
    <w:tcPr>
      <w:shd w:val="clear" w:color="auto" w:fill="auto"/>
      <w:vAlign w:val="center"/>
    </w:tcPr>
    <w:tblStylePr w:type="firstRow">
      <w:rPr>
        <w:b/>
      </w:rPr>
      <w:tblPr/>
      <w:tcPr>
        <w:tcBorders>
          <w:bottom w:val="single" w:sz="6" w:space="0" w:color="auto"/>
        </w:tcBorders>
        <w:shd w:val="clear" w:color="auto" w:fill="auto"/>
      </w:tcPr>
    </w:tblStylePr>
    <w:tblStylePr w:type="lastRow">
      <w:rPr>
        <w:b w:val="0"/>
      </w:rPr>
      <w:tblPr/>
      <w:tcPr>
        <w:tcBorders>
          <w:top w:val="nil"/>
        </w:tcBorders>
      </w:tcPr>
    </w:tblStylePr>
    <w:tblStylePr w:type="firstCol">
      <w:pPr>
        <w:jc w:val="left"/>
      </w:pPr>
    </w:tblStylePr>
  </w:style>
  <w:style w:type="paragraph" w:customStyle="1" w:styleId="Italic">
    <w:name w:val="Italic"/>
    <w:aliases w:val="Indented .5&quot;"/>
    <w:basedOn w:val="Normal"/>
    <w:next w:val="Normal"/>
    <w:qFormat/>
    <w:rsid w:val="00274356"/>
    <w:pPr>
      <w:ind w:left="720"/>
    </w:pPr>
    <w:rPr>
      <w:i/>
    </w:rPr>
  </w:style>
  <w:style w:type="paragraph" w:customStyle="1" w:styleId="Permission">
    <w:name w:val="Permission"/>
    <w:basedOn w:val="Normal"/>
    <w:semiHidden/>
    <w:rsid w:val="00345DE2"/>
    <w:pPr>
      <w:jc w:val="center"/>
    </w:pPr>
    <w:rPr>
      <w:rFonts w:ascii="Arial" w:hAnsi="Arial"/>
      <w:i/>
      <w:iCs/>
      <w:sz w:val="18"/>
      <w:szCs w:val="20"/>
    </w:rPr>
  </w:style>
  <w:style w:type="character" w:styleId="PlaceholderText">
    <w:name w:val="Placeholder Text"/>
    <w:basedOn w:val="DefaultParagraphFont"/>
    <w:uiPriority w:val="99"/>
    <w:semiHidden/>
    <w:rsid w:val="009E45FA"/>
    <w:rPr>
      <w:color w:val="808080"/>
    </w:rPr>
  </w:style>
  <w:style w:type="paragraph" w:styleId="TOCHeading">
    <w:name w:val="TOC Heading"/>
    <w:basedOn w:val="Heading1"/>
    <w:next w:val="Normal"/>
    <w:uiPriority w:val="39"/>
    <w:qFormat/>
    <w:rsid w:val="003F3636"/>
    <w:pPr>
      <w:keepLines/>
      <w:spacing w:before="480" w:after="0" w:line="276" w:lineRule="auto"/>
      <w:outlineLvl w:val="9"/>
    </w:pPr>
    <w:rPr>
      <w:rFonts w:ascii="Cambria" w:hAnsi="Cambria" w:cs="Times New Roman"/>
      <w:color w:val="365F91"/>
      <w:kern w:val="0"/>
      <w:sz w:val="28"/>
      <w:szCs w:val="28"/>
    </w:rPr>
  </w:style>
  <w:style w:type="paragraph" w:customStyle="1" w:styleId="ESETOCHeading">
    <w:name w:val="ESE TOC Heading"/>
    <w:basedOn w:val="TOCHeading"/>
    <w:semiHidden/>
    <w:qFormat/>
    <w:rsid w:val="00AA2AF8"/>
    <w:pPr>
      <w:pBdr>
        <w:bottom w:val="single" w:sz="6" w:space="1" w:color="auto"/>
      </w:pBdr>
    </w:pPr>
    <w:rPr>
      <w:color w:val="auto"/>
    </w:rPr>
  </w:style>
  <w:style w:type="paragraph" w:styleId="Footer">
    <w:name w:val="footer"/>
    <w:basedOn w:val="Normal"/>
    <w:link w:val="FooterChar"/>
    <w:autoRedefine/>
    <w:uiPriority w:val="99"/>
    <w:rsid w:val="00C23971"/>
    <w:pPr>
      <w:tabs>
        <w:tab w:val="right" w:pos="9360"/>
      </w:tabs>
      <w:jc w:val="right"/>
    </w:pPr>
    <w:rPr>
      <w:rFonts w:ascii="Calibri" w:hAnsi="Calibri"/>
      <w:sz w:val="19"/>
      <w:szCs w:val="19"/>
    </w:rPr>
  </w:style>
  <w:style w:type="character" w:customStyle="1" w:styleId="FooterChar">
    <w:name w:val="Footer Char"/>
    <w:basedOn w:val="DefaultParagraphFont"/>
    <w:link w:val="Footer"/>
    <w:uiPriority w:val="99"/>
    <w:rsid w:val="00C23971"/>
    <w:rPr>
      <w:rFonts w:ascii="Calibri" w:hAnsi="Calibri"/>
      <w:sz w:val="19"/>
      <w:szCs w:val="19"/>
    </w:rPr>
  </w:style>
  <w:style w:type="paragraph" w:customStyle="1" w:styleId="ESEBullet-Lev2">
    <w:name w:val="ESE Bullet - Lev2"/>
    <w:basedOn w:val="ESEBullet-Lev1"/>
    <w:qFormat/>
    <w:rsid w:val="006D1B5E"/>
    <w:pPr>
      <w:numPr>
        <w:numId w:val="6"/>
      </w:numPr>
      <w:tabs>
        <w:tab w:val="clear" w:pos="0"/>
        <w:tab w:val="left" w:pos="1080"/>
      </w:tabs>
    </w:pPr>
  </w:style>
  <w:style w:type="paragraph" w:customStyle="1" w:styleId="ESEBullet-Lev3">
    <w:name w:val="ESE Bullet - Lev3"/>
    <w:basedOn w:val="ESEBullet-Lev2"/>
    <w:qFormat/>
    <w:rsid w:val="006D1B5E"/>
    <w:pPr>
      <w:numPr>
        <w:numId w:val="2"/>
      </w:numPr>
      <w:tabs>
        <w:tab w:val="clear" w:pos="0"/>
        <w:tab w:val="clear" w:pos="1080"/>
        <w:tab w:val="left" w:pos="1440"/>
      </w:tabs>
    </w:pPr>
  </w:style>
  <w:style w:type="paragraph" w:customStyle="1" w:styleId="ESENumberswspacing">
    <w:name w:val="ESE Numbers w/ spacing"/>
    <w:basedOn w:val="Normal"/>
    <w:qFormat/>
    <w:rsid w:val="00765318"/>
    <w:pPr>
      <w:numPr>
        <w:numId w:val="4"/>
      </w:numPr>
      <w:spacing w:before="60" w:after="120"/>
    </w:pPr>
  </w:style>
  <w:style w:type="paragraph" w:styleId="TOC1">
    <w:name w:val="toc 1"/>
    <w:basedOn w:val="Normal"/>
    <w:next w:val="Normal"/>
    <w:uiPriority w:val="39"/>
    <w:rsid w:val="00F07325"/>
    <w:pPr>
      <w:tabs>
        <w:tab w:val="right" w:leader="dot" w:pos="9360"/>
      </w:tabs>
      <w:spacing w:before="240" w:after="120"/>
    </w:pPr>
    <w:rPr>
      <w:rFonts w:ascii="Calibri" w:hAnsi="Calibri"/>
      <w:b/>
      <w:sz w:val="20"/>
    </w:rPr>
  </w:style>
  <w:style w:type="character" w:styleId="Hyperlink">
    <w:name w:val="Hyperlink"/>
    <w:basedOn w:val="DefaultParagraphFont"/>
    <w:uiPriority w:val="99"/>
    <w:rsid w:val="00F13965"/>
    <w:rPr>
      <w:color w:val="0000FF"/>
      <w:u w:val="single"/>
    </w:rPr>
  </w:style>
  <w:style w:type="paragraph" w:styleId="TOC2">
    <w:name w:val="toc 2"/>
    <w:basedOn w:val="Normal"/>
    <w:next w:val="Normal"/>
    <w:semiHidden/>
    <w:rsid w:val="00F07325"/>
    <w:pPr>
      <w:spacing w:before="120"/>
      <w:ind w:left="245"/>
    </w:pPr>
    <w:rPr>
      <w:rFonts w:ascii="Calibri" w:hAnsi="Calibri"/>
      <w:sz w:val="19"/>
    </w:rPr>
  </w:style>
  <w:style w:type="paragraph" w:styleId="TOC3">
    <w:name w:val="toc 3"/>
    <w:basedOn w:val="Normal"/>
    <w:next w:val="Normal"/>
    <w:autoRedefine/>
    <w:uiPriority w:val="39"/>
    <w:rsid w:val="00F07325"/>
    <w:pPr>
      <w:ind w:left="480"/>
    </w:pPr>
    <w:rPr>
      <w:rFonts w:ascii="Calibri" w:hAnsi="Calibri"/>
      <w:sz w:val="19"/>
    </w:rPr>
  </w:style>
  <w:style w:type="paragraph" w:styleId="TOC4">
    <w:name w:val="toc 4"/>
    <w:basedOn w:val="Normal"/>
    <w:next w:val="Normal"/>
    <w:autoRedefine/>
    <w:semiHidden/>
    <w:rsid w:val="00F13965"/>
    <w:pPr>
      <w:ind w:left="720"/>
    </w:pPr>
  </w:style>
  <w:style w:type="paragraph" w:styleId="TOC5">
    <w:name w:val="toc 5"/>
    <w:basedOn w:val="Normal"/>
    <w:next w:val="Normal"/>
    <w:autoRedefine/>
    <w:semiHidden/>
    <w:rsid w:val="00F13965"/>
    <w:pPr>
      <w:ind w:left="960"/>
    </w:pPr>
  </w:style>
  <w:style w:type="paragraph" w:styleId="Header">
    <w:name w:val="header"/>
    <w:basedOn w:val="Normal"/>
    <w:semiHidden/>
    <w:rsid w:val="00832115"/>
    <w:pPr>
      <w:tabs>
        <w:tab w:val="center" w:pos="4320"/>
        <w:tab w:val="right" w:pos="8640"/>
      </w:tabs>
    </w:pPr>
  </w:style>
  <w:style w:type="table" w:customStyle="1" w:styleId="ESETablesGridStyle">
    <w:name w:val="ESE Tables Grid Style"/>
    <w:basedOn w:val="TableNormal"/>
    <w:rsid w:val="006D1B5E"/>
    <w:pPr>
      <w:jc w:val="center"/>
    </w:pPr>
    <w:rPr>
      <w:rFonts w:ascii="Arial Narrow" w:hAnsi="Arial Narrow"/>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43" w:type="dxa"/>
        <w:left w:w="115" w:type="dxa"/>
        <w:bottom w:w="43" w:type="dxa"/>
        <w:right w:w="115" w:type="dxa"/>
      </w:tblCellMar>
    </w:tblPr>
    <w:tcPr>
      <w:vAlign w:val="center"/>
    </w:tcPr>
    <w:tblStylePr w:type="firstRow">
      <w:rPr>
        <w:b/>
      </w:rPr>
      <w:tblPr>
        <w:tblCellMar>
          <w:top w:w="43" w:type="dxa"/>
          <w:left w:w="115" w:type="dxa"/>
          <w:bottom w:w="43" w:type="dxa"/>
          <w:right w:w="115" w:type="dxa"/>
        </w:tblCellMar>
      </w:tblPr>
      <w:tcPr>
        <w:tcBorders>
          <w:top w:val="single" w:sz="4" w:space="0" w:color="auto"/>
          <w:left w:val="single" w:sz="4" w:space="0" w:color="auto"/>
          <w:bottom w:val="single" w:sz="12" w:space="0" w:color="auto"/>
          <w:right w:val="single" w:sz="4" w:space="0" w:color="auto"/>
          <w:insideH w:val="nil"/>
          <w:insideV w:val="single" w:sz="4" w:space="0" w:color="auto"/>
          <w:tl2br w:val="nil"/>
          <w:tr2bl w:val="nil"/>
        </w:tcBorders>
      </w:tcPr>
    </w:tblStylePr>
    <w:tblStylePr w:type="firstCol">
      <w:pPr>
        <w:jc w:val="left"/>
      </w:pPr>
      <w:rPr>
        <w:rFonts w:ascii="Cambria" w:hAnsi="Cambria"/>
        <w:sz w:val="22"/>
      </w:rPr>
    </w:tblStylePr>
  </w:style>
  <w:style w:type="paragraph" w:customStyle="1" w:styleId="Extraspacingafter">
    <w:name w:val="Extra spacing after"/>
    <w:basedOn w:val="Normal"/>
    <w:semiHidden/>
    <w:rsid w:val="00FD69E2"/>
    <w:pPr>
      <w:spacing w:after="120"/>
    </w:pPr>
  </w:style>
  <w:style w:type="numbering" w:customStyle="1" w:styleId="ESEList-Numbers">
    <w:name w:val="ESE List - Numbers"/>
    <w:basedOn w:val="NoList"/>
    <w:rsid w:val="00FD69E2"/>
    <w:pPr>
      <w:numPr>
        <w:numId w:val="3"/>
      </w:numPr>
    </w:pPr>
  </w:style>
  <w:style w:type="numbering" w:customStyle="1" w:styleId="ESEList-Bullets">
    <w:name w:val="ESE List - Bullets"/>
    <w:basedOn w:val="NoList"/>
    <w:rsid w:val="006D1B5E"/>
    <w:pPr>
      <w:numPr>
        <w:numId w:val="5"/>
      </w:numPr>
    </w:pPr>
  </w:style>
  <w:style w:type="paragraph" w:styleId="BalloonText">
    <w:name w:val="Balloon Text"/>
    <w:basedOn w:val="Normal"/>
    <w:link w:val="BalloonTextChar"/>
    <w:rsid w:val="007860D8"/>
    <w:rPr>
      <w:rFonts w:ascii="Tahoma" w:hAnsi="Tahoma" w:cs="Tahoma"/>
      <w:sz w:val="16"/>
      <w:szCs w:val="16"/>
    </w:rPr>
  </w:style>
  <w:style w:type="character" w:customStyle="1" w:styleId="BalloonTextChar">
    <w:name w:val="Balloon Text Char"/>
    <w:basedOn w:val="DefaultParagraphFont"/>
    <w:link w:val="BalloonText"/>
    <w:rsid w:val="007860D8"/>
    <w:rPr>
      <w:rFonts w:ascii="Tahoma" w:hAnsi="Tahoma" w:cs="Tahoma"/>
      <w:sz w:val="16"/>
      <w:szCs w:val="16"/>
    </w:rPr>
  </w:style>
  <w:style w:type="paragraph" w:styleId="ListParagraph">
    <w:name w:val="List Paragraph"/>
    <w:basedOn w:val="Normal"/>
    <w:link w:val="ListParagraphChar"/>
    <w:uiPriority w:val="34"/>
    <w:qFormat/>
    <w:rsid w:val="0054324B"/>
    <w:pPr>
      <w:ind w:left="720"/>
      <w:contextualSpacing/>
    </w:pPr>
  </w:style>
  <w:style w:type="paragraph" w:styleId="FootnoteText">
    <w:name w:val="footnote text"/>
    <w:basedOn w:val="Normal"/>
    <w:link w:val="FootnoteTextChar"/>
    <w:semiHidden/>
    <w:unhideWhenUsed/>
    <w:rsid w:val="00854EEB"/>
    <w:rPr>
      <w:sz w:val="20"/>
      <w:szCs w:val="20"/>
    </w:rPr>
  </w:style>
  <w:style w:type="character" w:customStyle="1" w:styleId="FootnoteTextChar">
    <w:name w:val="Footnote Text Char"/>
    <w:basedOn w:val="DefaultParagraphFont"/>
    <w:link w:val="FootnoteText"/>
    <w:semiHidden/>
    <w:rsid w:val="00854EEB"/>
  </w:style>
  <w:style w:type="character" w:styleId="FootnoteReference">
    <w:name w:val="footnote reference"/>
    <w:basedOn w:val="DefaultParagraphFont"/>
    <w:semiHidden/>
    <w:unhideWhenUsed/>
    <w:rsid w:val="00854EEB"/>
    <w:rPr>
      <w:vertAlign w:val="superscript"/>
    </w:rPr>
  </w:style>
  <w:style w:type="table" w:styleId="TableGrid">
    <w:name w:val="Table Grid"/>
    <w:basedOn w:val="TableNormal"/>
    <w:uiPriority w:val="59"/>
    <w:rsid w:val="00304679"/>
    <w:pPr>
      <w:spacing w:after="200" w:line="276" w:lineRule="auto"/>
    </w:pPr>
    <w:rPr>
      <w:rFonts w:asciiTheme="minorHAnsi" w:eastAsiaTheme="minorEastAsia" w:hAnsiTheme="minorHAnsi" w:cstheme="minorBidi"/>
      <w:sz w:val="22"/>
      <w:szCs w:val="22"/>
      <w:lang w:bidi="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522A11"/>
    <w:rPr>
      <w:rFonts w:asciiTheme="minorHAnsi" w:eastAsiaTheme="minorEastAsia" w:hAnsiTheme="minorHAnsi" w:cstheme="minorBidi"/>
      <w:sz w:val="22"/>
      <w:szCs w:val="22"/>
      <w:lang w:bidi="en-US"/>
    </w:rPr>
  </w:style>
  <w:style w:type="character" w:customStyle="1" w:styleId="NoSpacingChar">
    <w:name w:val="No Spacing Char"/>
    <w:basedOn w:val="DefaultParagraphFont"/>
    <w:link w:val="NoSpacing"/>
    <w:uiPriority w:val="1"/>
    <w:rsid w:val="00522A11"/>
    <w:rPr>
      <w:rFonts w:asciiTheme="minorHAnsi" w:eastAsiaTheme="minorEastAsia" w:hAnsiTheme="minorHAnsi" w:cstheme="minorBidi"/>
      <w:sz w:val="22"/>
      <w:szCs w:val="22"/>
      <w:lang w:bidi="en-US"/>
    </w:rPr>
  </w:style>
  <w:style w:type="paragraph" w:customStyle="1" w:styleId="Headings2">
    <w:name w:val="Headings 2"/>
    <w:basedOn w:val="NoSpacing"/>
    <w:link w:val="Headings2Char"/>
    <w:qFormat/>
    <w:rsid w:val="00522A11"/>
    <w:rPr>
      <w:rFonts w:ascii="Cambria" w:eastAsia="Calibri" w:hAnsi="Cambria"/>
      <w:b/>
      <w:color w:val="365F91" w:themeColor="accent1" w:themeShade="BF"/>
      <w:sz w:val="26"/>
      <w:szCs w:val="26"/>
    </w:rPr>
  </w:style>
  <w:style w:type="character" w:customStyle="1" w:styleId="Headings2Char">
    <w:name w:val="Headings 2 Char"/>
    <w:basedOn w:val="NoSpacingChar"/>
    <w:link w:val="Headings2"/>
    <w:rsid w:val="00522A11"/>
    <w:rPr>
      <w:rFonts w:ascii="Cambria" w:eastAsia="Calibri" w:hAnsi="Cambria" w:cstheme="minorBidi"/>
      <w:b/>
      <w:color w:val="365F91" w:themeColor="accent1" w:themeShade="BF"/>
      <w:sz w:val="26"/>
      <w:szCs w:val="26"/>
      <w:lang w:bidi="en-US"/>
    </w:rPr>
  </w:style>
  <w:style w:type="paragraph" w:styleId="EndnoteText">
    <w:name w:val="endnote text"/>
    <w:basedOn w:val="Normal"/>
    <w:link w:val="EndnoteTextChar"/>
    <w:semiHidden/>
    <w:unhideWhenUsed/>
    <w:rsid w:val="00F136C6"/>
    <w:rPr>
      <w:sz w:val="20"/>
      <w:szCs w:val="20"/>
    </w:rPr>
  </w:style>
  <w:style w:type="character" w:customStyle="1" w:styleId="EndnoteTextChar">
    <w:name w:val="Endnote Text Char"/>
    <w:basedOn w:val="DefaultParagraphFont"/>
    <w:link w:val="EndnoteText"/>
    <w:semiHidden/>
    <w:rsid w:val="00F136C6"/>
  </w:style>
  <w:style w:type="character" w:styleId="EndnoteReference">
    <w:name w:val="endnote reference"/>
    <w:basedOn w:val="DefaultParagraphFont"/>
    <w:semiHidden/>
    <w:unhideWhenUsed/>
    <w:rsid w:val="00F136C6"/>
    <w:rPr>
      <w:vertAlign w:val="superscript"/>
    </w:rPr>
  </w:style>
  <w:style w:type="character" w:customStyle="1" w:styleId="ListParagraphChar">
    <w:name w:val="List Paragraph Char"/>
    <w:basedOn w:val="DefaultParagraphFont"/>
    <w:link w:val="ListParagraph"/>
    <w:uiPriority w:val="34"/>
    <w:rsid w:val="0071398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0763732">
      <w:bodyDiv w:val="1"/>
      <w:marLeft w:val="0"/>
      <w:marRight w:val="0"/>
      <w:marTop w:val="0"/>
      <w:marBottom w:val="0"/>
      <w:divBdr>
        <w:top w:val="none" w:sz="0" w:space="0" w:color="auto"/>
        <w:left w:val="none" w:sz="0" w:space="0" w:color="auto"/>
        <w:bottom w:val="none" w:sz="0" w:space="0" w:color="auto"/>
        <w:right w:val="none" w:sz="0" w:space="0" w:color="auto"/>
      </w:divBdr>
    </w:div>
    <w:div w:id="1264731683">
      <w:bodyDiv w:val="1"/>
      <w:marLeft w:val="0"/>
      <w:marRight w:val="0"/>
      <w:marTop w:val="0"/>
      <w:marBottom w:val="0"/>
      <w:divBdr>
        <w:top w:val="none" w:sz="0" w:space="0" w:color="auto"/>
        <w:left w:val="none" w:sz="0" w:space="0" w:color="auto"/>
        <w:bottom w:val="none" w:sz="0" w:space="0" w:color="auto"/>
        <w:right w:val="none" w:sz="0" w:space="0" w:color="auto"/>
      </w:divBdr>
    </w:div>
    <w:div w:id="1320184829">
      <w:bodyDiv w:val="1"/>
      <w:marLeft w:val="0"/>
      <w:marRight w:val="0"/>
      <w:marTop w:val="0"/>
      <w:marBottom w:val="0"/>
      <w:divBdr>
        <w:top w:val="none" w:sz="0" w:space="0" w:color="auto"/>
        <w:left w:val="none" w:sz="0" w:space="0" w:color="auto"/>
        <w:bottom w:val="none" w:sz="0" w:space="0" w:color="auto"/>
        <w:right w:val="none" w:sz="0" w:space="0" w:color="auto"/>
      </w:divBdr>
    </w:div>
    <w:div w:id="1360548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file1\template\DOE%20Common\DOE%20Reports\General%20Repor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DESE-231-10333</_dlc_DocId>
    <_dlc_DocIdUrl xmlns="733efe1c-5bbe-4968-87dc-d400e65c879f">
      <Url>https://sharepoint.doemass.org/ese/webteam/cps/_layouts/DocIdRedir.aspx?ID=DESE-231-10333</Url>
      <Description>DESE-231-10333</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db14d5a15a6272794a98152cb28a7888">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80a37097b52b28be21717519038f1a9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B54277-7F8B-43B0-BEC3-1D396F3F5E7F}">
  <ds:schemaRefs>
    <ds:schemaRef ds:uri="http://schemas.microsoft.com/office/2006/documentManagement/types"/>
    <ds:schemaRef ds:uri="http://purl.org/dc/dcmitype/"/>
    <ds:schemaRef ds:uri="http://schemas.openxmlformats.org/package/2006/metadata/core-properties"/>
    <ds:schemaRef ds:uri="http://purl.org/dc/terms/"/>
    <ds:schemaRef ds:uri="http://schemas.microsoft.com/office/infopath/2007/PartnerControls"/>
    <ds:schemaRef ds:uri="http://schemas.microsoft.com/office/2006/metadata/properties"/>
    <ds:schemaRef ds:uri="http://purl.org/dc/elements/1.1/"/>
    <ds:schemaRef ds:uri="0a4e05da-b9bc-4326-ad73-01ef31b95567"/>
    <ds:schemaRef ds:uri="http://www.w3.org/XML/1998/namespace"/>
    <ds:schemaRef ds:uri="733efe1c-5bbe-4968-87dc-d400e65c879f"/>
  </ds:schemaRefs>
</ds:datastoreItem>
</file>

<file path=customXml/itemProps2.xml><?xml version="1.0" encoding="utf-8"?>
<ds:datastoreItem xmlns:ds="http://schemas.openxmlformats.org/officeDocument/2006/customXml" ds:itemID="{A1B71FED-DC26-4BCA-8695-F303F828A363}">
  <ds:schemaRefs>
    <ds:schemaRef ds:uri="http://schemas.microsoft.com/sharepoint/events"/>
  </ds:schemaRefs>
</ds:datastoreItem>
</file>

<file path=customXml/itemProps3.xml><?xml version="1.0" encoding="utf-8"?>
<ds:datastoreItem xmlns:ds="http://schemas.openxmlformats.org/officeDocument/2006/customXml" ds:itemID="{CB77E8D1-EC4C-4E3D-9E3E-2A1BED8C5EC8}">
  <ds:schemaRefs>
    <ds:schemaRef ds:uri="http://schemas.microsoft.com/sharepoint/v3/contenttype/forms"/>
  </ds:schemaRefs>
</ds:datastoreItem>
</file>

<file path=customXml/itemProps4.xml><?xml version="1.0" encoding="utf-8"?>
<ds:datastoreItem xmlns:ds="http://schemas.openxmlformats.org/officeDocument/2006/customXml" ds:itemID="{2C770F26-36BE-41B0-B61F-6CDB6CA853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A5C008F-430D-4278-943A-90FE58E61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Report.dotx</Template>
  <TotalTime>1</TotalTime>
  <Pages>12</Pages>
  <Words>4240</Words>
  <Characters>27024</Characters>
  <Application>Microsoft Office Word</Application>
  <DocSecurity>0</DocSecurity>
  <Lines>225</Lines>
  <Paragraphs>62</Paragraphs>
  <ScaleCrop>false</ScaleCrop>
  <HeadingPairs>
    <vt:vector size="2" baseType="variant">
      <vt:variant>
        <vt:lpstr>Title</vt:lpstr>
      </vt:variant>
      <vt:variant>
        <vt:i4>1</vt:i4>
      </vt:variant>
    </vt:vector>
  </HeadingPairs>
  <TitlesOfParts>
    <vt:vector size="1" baseType="lpstr">
      <vt:lpstr>Commonwealth of Massachusetts Virtual School Performance Criteria</vt:lpstr>
    </vt:vector>
  </TitlesOfParts>
  <Company/>
  <LinksUpToDate>false</LinksUpToDate>
  <CharactersWithSpaces>31202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 Virtual School Performance Criteria, October 2014</dc:title>
  <dc:creator>ESE</dc:creator>
  <cp:lastModifiedBy>ESE</cp:lastModifiedBy>
  <cp:revision>2</cp:revision>
  <cp:lastPrinted>2014-08-22T17:02:00Z</cp:lastPrinted>
  <dcterms:created xsi:type="dcterms:W3CDTF">2014-10-17T21:01:00Z</dcterms:created>
  <dcterms:modified xsi:type="dcterms:W3CDTF">2014-10-17T21:01:00Z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Oct 17 2014</vt:lpwstr>
  </property>
  <property fmtid="{D5CDD505-2E9C-101B-9397-08002B2CF9AE}" pid="3" name="ContentTypeId">
    <vt:lpwstr>0x010100524261BFE874874F899C38CF9C771BFF</vt:lpwstr>
  </property>
  <property fmtid="{D5CDD505-2E9C-101B-9397-08002B2CF9AE}" pid="4" name="_dlc_DocIdItemGuid">
    <vt:lpwstr>a70904f8-bc82-416c-8b26-d4ca18af696e</vt:lpwstr>
  </property>
</Properties>
</file>