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7371B" w:rsidRDefault="00E05718" w:rsidP="00AB02A8">
      <w:pPr>
        <w:pStyle w:val="Normal1"/>
        <w:widowControl w:val="0"/>
        <w:spacing w:after="120" w:line="240" w:lineRule="auto"/>
        <w:jc w:val="center"/>
      </w:pPr>
      <w:bookmarkStart w:id="0" w:name="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Level 5 Schools 2015–16 Quarter 3 Report: Morgan Full Service Community School</w:t>
      </w:r>
    </w:p>
    <w:tbl>
      <w:tblPr>
        <w:tblStyle w:val="a"/>
        <w:tblW w:w="9590" w:type="dxa"/>
        <w:tblInd w:w="-21" w:type="dxa"/>
        <w:tblLayout w:type="fixed"/>
        <w:tblLook w:val="0400"/>
      </w:tblPr>
      <w:tblGrid>
        <w:gridCol w:w="2637"/>
        <w:gridCol w:w="2429"/>
        <w:gridCol w:w="2675"/>
        <w:gridCol w:w="1849"/>
      </w:tblGrid>
      <w:tr w:rsidR="0077371B">
        <w:tc>
          <w:tcPr>
            <w:tcW w:w="5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School Information</w:t>
            </w:r>
          </w:p>
        </w:tc>
        <w:tc>
          <w:tcPr>
            <w:tcW w:w="45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Student Enrollment and Demographics</w:t>
            </w:r>
          </w:p>
        </w:tc>
      </w:tr>
      <w:tr w:rsidR="0077371B">
        <w:tc>
          <w:tcPr>
            <w:tcW w:w="2637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Location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Holyoke, Massachusetts</w:t>
            </w:r>
          </w:p>
        </w:tc>
        <w:tc>
          <w:tcPr>
            <w:tcW w:w="26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Total SY 2015–16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Enrollment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382</w:t>
            </w:r>
          </w:p>
        </w:tc>
      </w:tr>
      <w:tr w:rsidR="007737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Current Status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Level 5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SWDs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18%</w:t>
            </w:r>
          </w:p>
        </w:tc>
      </w:tr>
      <w:tr w:rsidR="007737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Receiver Name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Dr. Stephen Zrike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ELLs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39%</w:t>
            </w:r>
          </w:p>
        </w:tc>
      </w:tr>
      <w:tr w:rsidR="007737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Year Designated Level 5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2013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Percentage Black 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7737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Year Designated Level 4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2010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Latino/Hispanic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93%</w:t>
            </w:r>
          </w:p>
        </w:tc>
      </w:tr>
      <w:tr w:rsidR="0077371B"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Grade Span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PK–8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Asian</w:t>
            </w:r>
          </w:p>
        </w:tc>
        <w:tc>
          <w:tcPr>
            <w:tcW w:w="18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0%</w:t>
            </w:r>
          </w:p>
        </w:tc>
      </w:tr>
      <w:tr w:rsidR="0077371B"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Number of Full-Time Staff in SY 2015–16</w:t>
            </w:r>
          </w:p>
        </w:tc>
        <w:tc>
          <w:tcPr>
            <w:tcW w:w="2429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White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3%</w:t>
            </w:r>
          </w:p>
        </w:tc>
      </w:tr>
      <w:tr w:rsidR="0077371B"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77371B" w:rsidP="00AB02A8">
            <w:pPr>
              <w:pStyle w:val="Normal1"/>
              <w:widowControl w:val="0"/>
              <w:spacing w:after="0" w:line="240" w:lineRule="auto"/>
            </w:pPr>
          </w:p>
        </w:tc>
        <w:tc>
          <w:tcPr>
            <w:tcW w:w="2429" w:type="dxa"/>
            <w:tcBorders>
              <w:top w:val="nil"/>
              <w:left w:val="nil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77371B" w:rsidP="00AB02A8">
            <w:pPr>
              <w:pStyle w:val="Normal1"/>
              <w:spacing w:before="40" w:after="40" w:line="240" w:lineRule="auto"/>
            </w:pPr>
          </w:p>
          <w:p w:rsidR="0077371B" w:rsidRDefault="0077371B" w:rsidP="00AB02A8">
            <w:pPr>
              <w:pStyle w:val="Normal1"/>
              <w:spacing w:before="40" w:after="40" w:line="240" w:lineRule="auto"/>
              <w:jc w:val="center"/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Percentage Multirace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</w:rPr>
              <w:t>1%</w:t>
            </w:r>
          </w:p>
        </w:tc>
      </w:tr>
      <w:tr w:rsidR="0077371B"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Priority Areas</w:t>
            </w:r>
          </w:p>
        </w:tc>
      </w:tr>
      <w:tr w:rsidR="0077371B">
        <w:trPr>
          <w:trHeight w:val="1800"/>
        </w:trPr>
        <w:tc>
          <w:tcPr>
            <w:tcW w:w="9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  <w:vAlign w:val="center"/>
          </w:tcPr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Area 1: </w:t>
            </w:r>
            <w:r>
              <w:rPr>
                <w:rFonts w:ascii="Times New Roman" w:eastAsia="Times New Roman" w:hAnsi="Times New Roman" w:cs="Times New Roman"/>
              </w:rPr>
              <w:t>Recruitment and development of professional talent.</w:t>
            </w:r>
          </w:p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Area 2: </w:t>
            </w:r>
            <w:r>
              <w:rPr>
                <w:rFonts w:ascii="Times New Roman" w:eastAsia="Times New Roman" w:hAnsi="Times New Roman" w:cs="Times New Roman"/>
              </w:rPr>
              <w:t>Systems to support professional learning and responsiveness in practice.</w:t>
            </w:r>
          </w:p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Area 3: </w:t>
            </w:r>
            <w:r>
              <w:rPr>
                <w:rFonts w:ascii="Times New Roman" w:eastAsia="Times New Roman" w:hAnsi="Times New Roman" w:cs="Times New Roman"/>
              </w:rPr>
              <w:t>Creating a Center of Excellence for science, technology, engineering, and mathematics (STEM).</w:t>
            </w:r>
          </w:p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Area 4: </w:t>
            </w:r>
            <w:r>
              <w:rPr>
                <w:rFonts w:ascii="Times New Roman" w:eastAsia="Times New Roman" w:hAnsi="Times New Roman" w:cs="Times New Roman"/>
              </w:rPr>
              <w:t>Targeted and aligned resources.</w:t>
            </w:r>
          </w:p>
          <w:p w:rsidR="0077371B" w:rsidRDefault="00E05718" w:rsidP="00AB02A8">
            <w:pPr>
              <w:pStyle w:val="Normal1"/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Priority Area 5: </w:t>
            </w:r>
            <w:r>
              <w:rPr>
                <w:rFonts w:ascii="Times New Roman" w:eastAsia="Times New Roman" w:hAnsi="Times New Roman" w:cs="Times New Roman"/>
              </w:rPr>
              <w:t>Enhancing and sustaining family and community engagement.</w:t>
            </w:r>
          </w:p>
        </w:tc>
      </w:tr>
    </w:tbl>
    <w:p w:rsidR="00567E32" w:rsidRPr="00567E32" w:rsidRDefault="00567E32" w:rsidP="00AB02A8">
      <w:pPr>
        <w:pStyle w:val="Normal1"/>
        <w:widowControl w:val="0"/>
        <w:tabs>
          <w:tab w:val="center" w:pos="468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7E32"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z w:val="24"/>
          <w:szCs w:val="24"/>
        </w:rPr>
        <w:t>tent provided by Receiver Stephen Zrike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1B" w:rsidRDefault="00E05718" w:rsidP="00AB02A8">
      <w:pPr>
        <w:pStyle w:val="Normal1"/>
        <w:widowControl w:val="0"/>
        <w:tabs>
          <w:tab w:val="center" w:pos="4680"/>
        </w:tabs>
        <w:spacing w:before="120"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Executive Summary</w:t>
      </w:r>
    </w:p>
    <w:p w:rsidR="00567E32" w:rsidRPr="007E2C9E" w:rsidRDefault="00567E32" w:rsidP="00567E32">
      <w:pPr>
        <w:pStyle w:val="BodyText"/>
        <w:rPr>
          <w:i/>
          <w:noProof w:val="0"/>
        </w:rPr>
      </w:pPr>
      <w:r>
        <w:rPr>
          <w:i/>
          <w:noProof w:val="0"/>
        </w:rPr>
        <w:t xml:space="preserve">A brief summary </w:t>
      </w:r>
      <w:r w:rsidRPr="007E2C9E">
        <w:rPr>
          <w:i/>
          <w:noProof w:val="0"/>
        </w:rPr>
        <w:t xml:space="preserve">of the turnaround efforts that have taken place in the </w:t>
      </w:r>
      <w:r>
        <w:rPr>
          <w:i/>
          <w:noProof w:val="0"/>
        </w:rPr>
        <w:t>third</w:t>
      </w:r>
      <w:r w:rsidRPr="007E2C9E">
        <w:rPr>
          <w:i/>
          <w:noProof w:val="0"/>
        </w:rPr>
        <w:t xml:space="preserve"> quarter, from </w:t>
      </w:r>
      <w:r>
        <w:rPr>
          <w:i/>
        </w:rPr>
        <w:t>January</w:t>
      </w:r>
      <w:r w:rsidRPr="00D237E2">
        <w:rPr>
          <w:i/>
        </w:rPr>
        <w:t xml:space="preserve"> 201</w:t>
      </w:r>
      <w:r>
        <w:rPr>
          <w:i/>
        </w:rPr>
        <w:t>6</w:t>
      </w:r>
      <w:r w:rsidRPr="00D237E2">
        <w:rPr>
          <w:i/>
        </w:rPr>
        <w:t xml:space="preserve"> through </w:t>
      </w:r>
      <w:r>
        <w:rPr>
          <w:i/>
        </w:rPr>
        <w:t>March</w:t>
      </w:r>
      <w:r w:rsidRPr="00D237E2">
        <w:rPr>
          <w:i/>
        </w:rPr>
        <w:t xml:space="preserve"> 201</w:t>
      </w:r>
      <w:r>
        <w:rPr>
          <w:i/>
        </w:rPr>
        <w:t>6.</w:t>
      </w:r>
    </w:p>
    <w:p w:rsidR="0077371B" w:rsidRDefault="00E05718" w:rsidP="00AB02A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Talent Development: </w:t>
      </w:r>
      <w:r w:rsidR="00F22A4A" w:rsidRPr="007A2588">
        <w:rPr>
          <w:rFonts w:ascii="Times New Roman" w:eastAsia="Times New Roman" w:hAnsi="Times New Roman" w:cs="Times New Roman"/>
          <w:sz w:val="24"/>
          <w:szCs w:val="24"/>
        </w:rPr>
        <w:t>In order to</w:t>
      </w:r>
      <w:r w:rsidR="00F22A4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continually improve the professionalism of the Morgan faculty, </w:t>
      </w:r>
      <w:r>
        <w:rPr>
          <w:rFonts w:ascii="Times New Roman" w:eastAsia="Times New Roman" w:hAnsi="Times New Roman" w:cs="Times New Roman"/>
          <w:sz w:val="24"/>
          <w:szCs w:val="24"/>
        </w:rPr>
        <w:t>the Morgan Full Service Community School (</w:t>
      </w:r>
      <w:r w:rsidR="0006176C">
        <w:rPr>
          <w:rFonts w:ascii="Times New Roman" w:eastAsia="Times New Roman" w:hAnsi="Times New Roman" w:cs="Times New Roman"/>
          <w:sz w:val="24"/>
          <w:szCs w:val="24"/>
        </w:rPr>
        <w:t>Morgan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leadership </w:t>
      </w:r>
      <w:r w:rsidR="00207EEF">
        <w:rPr>
          <w:rFonts w:ascii="Times New Roman" w:eastAsia="Times New Roman" w:hAnsi="Times New Roman" w:cs="Times New Roman"/>
          <w:sz w:val="24"/>
          <w:szCs w:val="24"/>
        </w:rPr>
        <w:t>team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developing plans for peer observat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>ions</w:t>
      </w:r>
      <w:r w:rsidR="006E5E2B">
        <w:rPr>
          <w:rFonts w:ascii="Times New Roman" w:eastAsia="Times New Roman" w:hAnsi="Times New Roman" w:cs="Times New Roman"/>
          <w:sz w:val="24"/>
          <w:szCs w:val="24"/>
        </w:rPr>
        <w:t xml:space="preserve"> of classroom instruction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2D7A">
        <w:rPr>
          <w:rFonts w:ascii="Times New Roman" w:eastAsia="Times New Roman" w:hAnsi="Times New Roman" w:cs="Times New Roman"/>
          <w:sz w:val="24"/>
          <w:szCs w:val="24"/>
        </w:rPr>
        <w:t>The instructional leadership team (</w:t>
      </w:r>
      <w:r>
        <w:rPr>
          <w:rFonts w:ascii="Times New Roman" w:eastAsia="Times New Roman" w:hAnsi="Times New Roman" w:cs="Times New Roman"/>
          <w:sz w:val="24"/>
          <w:szCs w:val="24"/>
        </w:rPr>
        <w:t>ILT</w:t>
      </w:r>
      <w:r w:rsidR="003E2D7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oversee this process to embed it as a professional system for instructional improvement.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 w:rsidR="00997B1E">
        <w:rPr>
          <w:rFonts w:ascii="Times New Roman" w:eastAsia="Times New Roman" w:hAnsi="Times New Roman" w:cs="Times New Roman"/>
          <w:sz w:val="24"/>
          <w:szCs w:val="24"/>
        </w:rPr>
        <w:t xml:space="preserve">tion, all Morgan staff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="00997B1E"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receive frequent feedback and coaching to improve teaching practice as it a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ffe</w:t>
      </w:r>
      <w:r>
        <w:rPr>
          <w:rFonts w:ascii="Times New Roman" w:eastAsia="Times New Roman" w:hAnsi="Times New Roman" w:cs="Times New Roman"/>
          <w:sz w:val="24"/>
          <w:szCs w:val="24"/>
        </w:rPr>
        <w:t>cts student outcomes.</w:t>
      </w:r>
    </w:p>
    <w:p w:rsidR="0077371B" w:rsidRDefault="00E05718" w:rsidP="00AB02A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Core Instruction and Intervention: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Morgan leadership has increased and tweaked </w:t>
      </w:r>
      <w:r w:rsidR="006E5E2B">
        <w:rPr>
          <w:rFonts w:ascii="Times New Roman" w:eastAsia="Times New Roman" w:hAnsi="Times New Roman" w:cs="Times New Roman"/>
          <w:sz w:val="24"/>
          <w:szCs w:val="24"/>
        </w:rPr>
        <w:t xml:space="preserve">teachers’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>
        <w:rPr>
          <w:rFonts w:ascii="Times New Roman" w:eastAsia="Times New Roman" w:hAnsi="Times New Roman" w:cs="Times New Roman"/>
          <w:sz w:val="24"/>
          <w:szCs w:val="24"/>
        </w:rPr>
        <w:t>professional development time to leverage standards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based planning using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 xml:space="preserve"> core instructional resources.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has been a 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particular emphasis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backward planning and developing lessons in a logical sequence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was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>need for the teachers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 xml:space="preserve">identified in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>classroom observations and lesson plan review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ddition, the ILT and teachers have continued to refine the intervention block to identify and plan for specific instructional needs to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>advance student learning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1B" w:rsidRDefault="00E05718" w:rsidP="00AB02A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Enrichment and Targeted </w:t>
      </w:r>
      <w:r w:rsidR="0019394B">
        <w:rPr>
          <w:rFonts w:ascii="Times New Roman" w:eastAsia="Times New Roman" w:hAnsi="Times New Roman" w:cs="Times New Roman"/>
          <w:b/>
          <w:sz w:val="24"/>
          <w:szCs w:val="24"/>
        </w:rPr>
        <w:t>Resources: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Principal Lingsch and her leadership team </w:t>
      </w:r>
      <w:r w:rsidR="003E2D7A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6E5E2B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06176C">
        <w:rPr>
          <w:rFonts w:ascii="Times New Roman" w:eastAsia="Times New Roman" w:hAnsi="Times New Roman" w:cs="Times New Roman"/>
          <w:sz w:val="24"/>
          <w:szCs w:val="24"/>
        </w:rPr>
        <w:t xml:space="preserve">office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staff to expand their arsenal of specialized resources and interventions to better address the needs of 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students with disabilities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z w:val="24"/>
          <w:szCs w:val="24"/>
        </w:rPr>
        <w:t>ddition, they have chosen a small set of high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leverage 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sheltered English instruction (</w:t>
      </w:r>
      <w:r>
        <w:rPr>
          <w:rFonts w:ascii="Times New Roman" w:eastAsia="Times New Roman" w:hAnsi="Times New Roman" w:cs="Times New Roman"/>
          <w:sz w:val="24"/>
          <w:szCs w:val="24"/>
        </w:rPr>
        <w:t>SEI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strategies, aligned to their instructional focus,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use as a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focus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classroom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>observations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feedback. Morgan has developed a weekly enrichment block for students to diversify their 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educational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through offerings such as crochet, filmmaking, storytelling, American Sign Language, and recycled art</w:t>
      </w:r>
      <w:r w:rsidR="00AB02A8">
        <w:rPr>
          <w:rFonts w:ascii="Times New Roman" w:eastAsia="Times New Roman" w:hAnsi="Times New Roman" w:cs="Times New Roman"/>
          <w:sz w:val="24"/>
          <w:szCs w:val="24"/>
        </w:rPr>
        <w:t>. It is currently taking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on Fridays</w:t>
      </w:r>
      <w:r w:rsidR="00AD1A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plans to expand and integrate enrichment more broadly next year.</w:t>
      </w:r>
      <w:r w:rsidR="00A838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1B" w:rsidRDefault="00E05718" w:rsidP="00AB02A8">
      <w:pPr>
        <w:pStyle w:val="Normal1"/>
        <w:widowControl w:val="0"/>
        <w:tabs>
          <w:tab w:val="center" w:pos="4680"/>
        </w:tabs>
        <w:spacing w:before="240" w:after="12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Updates on Priority Areas</w:t>
      </w:r>
    </w:p>
    <w:p w:rsidR="0077371B" w:rsidRDefault="00E05718" w:rsidP="00AB02A8">
      <w:pPr>
        <w:pStyle w:val="Normal1"/>
        <w:widowControl w:val="0"/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Priority Area 1: </w:t>
      </w:r>
      <w:r>
        <w:rPr>
          <w:rFonts w:ascii="Times New Roman" w:eastAsia="Times New Roman" w:hAnsi="Times New Roman" w:cs="Times New Roman"/>
          <w:sz w:val="24"/>
          <w:szCs w:val="24"/>
        </w:rPr>
        <w:t>Recruitment and development of professional talent.</w:t>
      </w:r>
    </w:p>
    <w:p w:rsidR="0077371B" w:rsidRDefault="0077371B" w:rsidP="00AB02A8">
      <w:pPr>
        <w:pStyle w:val="Normal1"/>
        <w:widowControl w:val="0"/>
        <w:spacing w:after="0" w:line="240" w:lineRule="auto"/>
      </w:pPr>
    </w:p>
    <w:p w:rsidR="0077371B" w:rsidRDefault="00E05718" w:rsidP="00AB02A8">
      <w:pPr>
        <w:pStyle w:val="Normal1"/>
        <w:widowControl w:val="0"/>
        <w:spacing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 xml:space="preserve">Morgan’s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Panorama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Climate and Culture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urvey 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collects anonymous data from students, teachers, school staff</w:t>
      </w:r>
      <w:r w:rsidR="00EB36E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and parents about perceptions of school safety, school climate, student support</w:t>
      </w:r>
      <w:r w:rsidR="00EB36E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,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and cultural competence. These </w:t>
      </w:r>
      <w:r w:rsidR="00EB36E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data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have been analyzed </w:t>
      </w:r>
      <w:r w:rsidR="003254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by</w:t>
      </w:r>
      <w:r w:rsidR="00325431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the Morgan Culture and Climate Leadership Team</w:t>
      </w:r>
      <w:r w:rsidR="00793607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r w:rsidR="0032543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in collaboration with</w:t>
      </w:r>
      <w:r w:rsidR="00EB36E2" w:rsidRPr="00102E8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the full faculty. </w:t>
      </w:r>
      <w:r w:rsidR="00EB36E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data indicate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made significant progress on all indicators in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capable and collaborative teaching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domain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eastAsia="Times New Roman" w:hAnsi="Times New Roman" w:cs="Times New Roman"/>
          <w:sz w:val="24"/>
          <w:szCs w:val="24"/>
        </w:rPr>
        <w:t>the last three administrations</w:t>
      </w:r>
      <w:r w:rsidR="00F22A4A">
        <w:rPr>
          <w:rFonts w:ascii="Times New Roman" w:eastAsia="Times New Roman" w:hAnsi="Times New Roman" w:cs="Times New Roman"/>
          <w:sz w:val="24"/>
          <w:szCs w:val="24"/>
        </w:rPr>
        <w:t xml:space="preserve"> of the survey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 a review of these data, the leadership team determined a need to begin a strategy of peer classroom observations</w:t>
      </w:r>
      <w:r w:rsidR="00E34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to share instructional strategies and develop instructional improvement throughout the school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content planning teams (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 xml:space="preserve">English language arts </w:t>
      </w:r>
      <w:r>
        <w:rPr>
          <w:rFonts w:ascii="Times New Roman" w:eastAsia="Times New Roman" w:hAnsi="Times New Roman" w:cs="Times New Roman"/>
          <w:sz w:val="24"/>
          <w:szCs w:val="24"/>
        </w:rPr>
        <w:t>PK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</w:t>
      </w:r>
      <w:r w:rsidR="00C91E68">
        <w:rPr>
          <w:rFonts w:ascii="Times New Roman" w:eastAsia="Times New Roman" w:hAnsi="Times New Roman" w:cs="Times New Roman"/>
          <w:sz w:val="24"/>
          <w:szCs w:val="24"/>
        </w:rPr>
        <w:t>English language arts</w:t>
      </w:r>
      <w:r>
        <w:rPr>
          <w:rFonts w:ascii="Times New Roman" w:eastAsia="Times New Roman" w:hAnsi="Times New Roman" w:cs="Times New Roman"/>
          <w:sz w:val="24"/>
          <w:szCs w:val="24"/>
        </w:rPr>
        <w:t>/SS 5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8, 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m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ath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ematics and s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8) have scheduled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time for teams to participate in </w:t>
      </w:r>
      <w:r>
        <w:rPr>
          <w:rFonts w:ascii="Times New Roman" w:eastAsia="Times New Roman" w:hAnsi="Times New Roman" w:cs="Times New Roman"/>
          <w:sz w:val="24"/>
          <w:szCs w:val="24"/>
        </w:rPr>
        <w:t>monthly peer observations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Next steps include ILT members calibrating a protocol and report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 xml:space="preserve">ing on the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peer 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 xml:space="preserve">observations in order to </w:t>
      </w:r>
      <w:r>
        <w:rPr>
          <w:rFonts w:ascii="Times New Roman" w:eastAsia="Times New Roman" w:hAnsi="Times New Roman" w:cs="Times New Roman"/>
          <w:sz w:val="24"/>
          <w:szCs w:val="24"/>
        </w:rPr>
        <w:t>create an embedded system for instructional improvement.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>The areas of strength identified on the survey include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adequate time for teachers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>to examine student work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>opportunities to try new ideas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 implement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ation of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 instructional strategies that meet diverse needs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 administrator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feedback on teaching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,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>teachers feel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 prepared for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 xml:space="preserve">age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 xml:space="preserve">level </w:t>
      </w:r>
      <w:r w:rsidR="00EB36E2" w:rsidRPr="00EB36E2">
        <w:rPr>
          <w:rFonts w:ascii="Times New Roman" w:eastAsia="Times New Roman" w:hAnsi="Times New Roman" w:cs="Times New Roman"/>
          <w:sz w:val="24"/>
          <w:szCs w:val="24"/>
        </w:rPr>
        <w:t>and subject they teach.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Ongoing observation and feedback continues through various modes: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 and </w:t>
      </w:r>
      <w:r w:rsidR="001164E6">
        <w:rPr>
          <w:rFonts w:ascii="Times New Roman" w:eastAsia="Times New Roman" w:hAnsi="Times New Roman" w:cs="Times New Roman"/>
          <w:sz w:val="24"/>
          <w:szCs w:val="24"/>
        </w:rPr>
        <w:t>assistant principal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formal observations as a way to provide 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>ongoing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feedback to improve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instructional </w:t>
      </w:r>
      <w:r>
        <w:rPr>
          <w:rFonts w:ascii="Times New Roman" w:eastAsia="Times New Roman" w:hAnsi="Times New Roman" w:cs="Times New Roman"/>
          <w:sz w:val="24"/>
          <w:szCs w:val="24"/>
        </w:rPr>
        <w:t>practice.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irectors (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English language learners [ELL]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English language 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umanities, 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arly </w:t>
      </w:r>
      <w:r w:rsidR="00E96437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hildhood, and STEM) use a combination of formal feedback and coaching cycles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to target</w:t>
      </w:r>
      <w:r w:rsidR="007042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 cohort</w:t>
      </w:r>
      <w:r w:rsidR="0070424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teachers in their designated content areas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 in order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provide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feedback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aimed at improving instructional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practice.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There are regular check-ins with administration to coordinate and communicate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the work of the district directors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Administrators,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irectors, 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oaches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outside partners conduct monthly learning walks to identify schoolwide trends across content areas and inform next steps for data analysis, professional development</w:t>
      </w:r>
      <w:r w:rsidR="00B84575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coaching. </w:t>
      </w:r>
    </w:p>
    <w:p w:rsidR="00B84575" w:rsidRDefault="00B84575" w:rsidP="00AB02A8">
      <w:pPr>
        <w:pStyle w:val="Normal1"/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The school’s mathematics coach is working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collaboratively with the district STEM director to provide coaching to one of Morgan’s new math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ematics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teachers</w:t>
      </w:r>
      <w:r w:rsidR="00565A3B">
        <w:rPr>
          <w:rFonts w:ascii="Times New Roman" w:eastAsia="Times New Roman" w:hAnsi="Times New Roman" w:cs="Times New Roman"/>
          <w:sz w:val="24"/>
          <w:szCs w:val="24"/>
        </w:rPr>
        <w:t xml:space="preserve"> that is struggling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>. T</w:t>
      </w:r>
      <w:r w:rsidR="00207EEF">
        <w:rPr>
          <w:rFonts w:ascii="Times New Roman" w:eastAsia="Times New Roman" w:hAnsi="Times New Roman" w:cs="Times New Roman"/>
          <w:sz w:val="24"/>
          <w:szCs w:val="24"/>
        </w:rPr>
        <w:t>his cycle includes a detailed six-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>week plan that has a slow gradual release of math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ematics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3B">
        <w:rPr>
          <w:rFonts w:ascii="Times New Roman" w:eastAsia="Times New Roman" w:hAnsi="Times New Roman" w:cs="Times New Roman"/>
          <w:sz w:val="24"/>
          <w:szCs w:val="24"/>
        </w:rPr>
        <w:t>instruction from the coach to the teacher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>. The school’s math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ematics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coach is providing guidance to the teacher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and the district director is providing feedback to the coach. </w:t>
      </w:r>
      <w:r w:rsidR="00207EEF">
        <w:rPr>
          <w:rFonts w:ascii="Times New Roman" w:eastAsia="Times New Roman" w:hAnsi="Times New Roman" w:cs="Times New Roman"/>
          <w:sz w:val="24"/>
          <w:szCs w:val="24"/>
        </w:rPr>
        <w:t>The coach and STEM director then debrief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D6F9F">
        <w:rPr>
          <w:rFonts w:ascii="Times New Roman" w:eastAsia="Times New Roman" w:hAnsi="Times New Roman" w:cs="Times New Roman"/>
          <w:sz w:val="24"/>
          <w:szCs w:val="24"/>
        </w:rPr>
        <w:t xml:space="preserve">administration.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Challenge:</w:t>
      </w:r>
      <w:r w:rsidR="00C3005F">
        <w:rPr>
          <w:rFonts w:ascii="Times New Roman" w:eastAsia="Times New Roman" w:hAnsi="Times New Roman" w:cs="Times New Roman"/>
          <w:sz w:val="24"/>
          <w:szCs w:val="24"/>
        </w:rPr>
        <w:t xml:space="preserve"> Although Morgan has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many systems in place to provide teachers with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feedback and support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for improving instruction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well as a system to analyze data regular</w:t>
      </w:r>
      <w:r w:rsidR="00793607">
        <w:rPr>
          <w:rFonts w:ascii="Times New Roman" w:eastAsia="Times New Roman" w:hAnsi="Times New Roman" w:cs="Times New Roman"/>
          <w:sz w:val="24"/>
          <w:szCs w:val="24"/>
        </w:rPr>
        <w:t>ly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>, further refinements are needed</w:t>
      </w:r>
      <w:r w:rsidR="0070424C">
        <w:rPr>
          <w:rFonts w:ascii="Times New Roman" w:eastAsia="Times New Roman" w:hAnsi="Times New Roman" w:cs="Times New Roman"/>
          <w:sz w:val="24"/>
          <w:szCs w:val="24"/>
        </w:rPr>
        <w:t xml:space="preserve"> to elevate instruction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 xml:space="preserve"> to close the gap in students’ performance levels as rapidly as possible</w:t>
      </w:r>
      <w:r w:rsidR="00C3005F">
        <w:rPr>
          <w:rFonts w:ascii="Times New Roman" w:eastAsia="Times New Roman" w:hAnsi="Times New Roman" w:cs="Times New Roman"/>
          <w:sz w:val="24"/>
          <w:szCs w:val="24"/>
        </w:rPr>
        <w:t>. Morgan will continue to monitor</w:t>
      </w:r>
      <w:r w:rsidR="00DB0C24">
        <w:rPr>
          <w:rFonts w:ascii="Times New Roman" w:eastAsia="Times New Roman" w:hAnsi="Times New Roman" w:cs="Times New Roman"/>
          <w:sz w:val="24"/>
          <w:szCs w:val="24"/>
        </w:rPr>
        <w:t xml:space="preserve"> its</w:t>
      </w:r>
      <w:r w:rsidR="00C3005F">
        <w:rPr>
          <w:rFonts w:ascii="Times New Roman" w:eastAsia="Times New Roman" w:hAnsi="Times New Roman" w:cs="Times New Roman"/>
          <w:sz w:val="24"/>
          <w:szCs w:val="24"/>
        </w:rPr>
        <w:t xml:space="preserve"> their work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partners and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district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directors to make revisions, midcourse corrections,</w:t>
      </w:r>
      <w:r w:rsidR="00C3005F">
        <w:rPr>
          <w:rFonts w:ascii="Times New Roman" w:eastAsia="Times New Roman" w:hAnsi="Times New Roman" w:cs="Times New Roman"/>
          <w:sz w:val="24"/>
          <w:szCs w:val="24"/>
        </w:rPr>
        <w:t xml:space="preserve"> and adjustments to improve instructional delivery and outcomes for students.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1B" w:rsidRDefault="00E05718" w:rsidP="00AB02A8">
      <w:pPr>
        <w:pStyle w:val="Normal1"/>
        <w:widowControl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Priority Area 2: </w:t>
      </w:r>
      <w:r>
        <w:rPr>
          <w:rFonts w:ascii="Times New Roman" w:eastAsia="Times New Roman" w:hAnsi="Times New Roman" w:cs="Times New Roman"/>
          <w:sz w:val="24"/>
          <w:szCs w:val="24"/>
        </w:rPr>
        <w:t>Systems to support professional learning and responsiveness in practice.</w:t>
      </w:r>
    </w:p>
    <w:p w:rsidR="0077371B" w:rsidRPr="00233ECF" w:rsidRDefault="00E05718" w:rsidP="00AB02A8">
      <w:pPr>
        <w:pStyle w:val="Normal1"/>
        <w:widowControl w:val="0"/>
        <w:spacing w:before="120" w:after="0" w:line="240" w:lineRule="auto"/>
        <w:ind w:left="720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Highlight: </w:t>
      </w:r>
      <w:r w:rsidR="00CC42F7">
        <w:rPr>
          <w:rFonts w:ascii="Times New Roman" w:eastAsia="Times New Roman" w:hAnsi="Times New Roman" w:cs="Times New Roman"/>
          <w:sz w:val="24"/>
          <w:szCs w:val="24"/>
        </w:rPr>
        <w:t>Morgan staff and leadership have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increased and tweaked the 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 xml:space="preserve">daily </w:t>
      </w:r>
      <w:r w:rsidR="00CC42F7">
        <w:rPr>
          <w:rFonts w:ascii="Times New Roman" w:eastAsia="Times New Roman" w:hAnsi="Times New Roman" w:cs="Times New Roman"/>
          <w:sz w:val="24"/>
          <w:szCs w:val="24"/>
        </w:rPr>
        <w:t xml:space="preserve">morning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time to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focus time on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standards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based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instructional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planning. </w:t>
      </w:r>
      <w:r>
        <w:rPr>
          <w:rFonts w:ascii="Times New Roman" w:eastAsia="Times New Roman" w:hAnsi="Times New Roman" w:cs="Times New Roman"/>
          <w:sz w:val="24"/>
          <w:szCs w:val="24"/>
        </w:rPr>
        <w:t>Coaches are coplanning w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ith teams throughout the week.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coaches are meeting with teams on Wednesdays to determine the standard and objective </w:t>
      </w:r>
      <w:r w:rsidR="00B6478F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CC42F7">
        <w:rPr>
          <w:rFonts w:ascii="Times New Roman" w:eastAsia="Times New Roman" w:hAnsi="Times New Roman" w:cs="Times New Roman"/>
          <w:sz w:val="24"/>
          <w:szCs w:val="24"/>
        </w:rPr>
        <w:t>the following week using their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core instructional resources (Reach for Reading, Envisions, Glencoe, </w:t>
      </w:r>
      <w:r w:rsidR="00233ECF">
        <w:rPr>
          <w:rFonts w:ascii="Times New Roman" w:eastAsia="Times New Roman" w:hAnsi="Times New Roman" w:cs="Times New Roman"/>
          <w:sz w:val="24"/>
          <w:szCs w:val="24"/>
        </w:rPr>
        <w:t>and Expeditionary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Learning). Planning continues on Thursdays and F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ridays in small content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area</w:t>
      </w:r>
      <w:r w:rsidR="00B6478F">
        <w:rPr>
          <w:rFonts w:ascii="Times New Roman" w:eastAsia="Times New Roman" w:hAnsi="Times New Roman" w:cs="Times New Roman"/>
          <w:sz w:val="24"/>
          <w:szCs w:val="24"/>
        </w:rPr>
        <w:t xml:space="preserve"> team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work is led by ILT members, including coaches and administrators. </w:t>
      </w:r>
      <w:r w:rsidR="00CC42F7">
        <w:rPr>
          <w:rFonts w:ascii="Times New Roman" w:eastAsia="Times New Roman" w:hAnsi="Times New Roman" w:cs="Times New Roman"/>
          <w:sz w:val="24"/>
          <w:szCs w:val="24"/>
        </w:rPr>
        <w:t>As part of this process, teachers</w:t>
      </w:r>
      <w:r w:rsidR="00E10E7B">
        <w:rPr>
          <w:rFonts w:ascii="Times New Roman" w:eastAsia="Times New Roman" w:hAnsi="Times New Roman" w:cs="Times New Roman"/>
          <w:sz w:val="24"/>
          <w:szCs w:val="24"/>
        </w:rPr>
        <w:t xml:space="preserve"> are continuing to drill down to planning for rigorous student tasks and instructional supports to </w:t>
      </w:r>
      <w:r w:rsidR="007645B0">
        <w:rPr>
          <w:rFonts w:ascii="Times New Roman" w:eastAsia="Times New Roman" w:hAnsi="Times New Roman" w:cs="Times New Roman"/>
          <w:sz w:val="24"/>
          <w:szCs w:val="24"/>
        </w:rPr>
        <w:t xml:space="preserve">address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>students’ needs</w:t>
      </w:r>
      <w:r w:rsidR="00233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71B" w:rsidRPr="007A2588" w:rsidRDefault="00E05718" w:rsidP="007A7DC0">
      <w:pPr>
        <w:pStyle w:val="Normal1"/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 xml:space="preserve"> Significant progress has been made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A7DC0">
        <w:rPr>
          <w:rFonts w:ascii="Times New Roman" w:eastAsia="Times New Roman" w:hAnsi="Times New Roman" w:cs="Times New Roman"/>
          <w:sz w:val="24"/>
          <w:szCs w:val="24"/>
        </w:rPr>
        <w:t>improving the structure of the school’s intervention block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Middle school completed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its </w:t>
      </w:r>
      <w:r w:rsidR="00134C63">
        <w:rPr>
          <w:rFonts w:ascii="Times New Roman" w:eastAsia="Times New Roman" w:hAnsi="Times New Roman" w:cs="Times New Roman"/>
          <w:sz w:val="24"/>
          <w:szCs w:val="24"/>
        </w:rPr>
        <w:t xml:space="preserve">fourth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of data analys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e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s in February. 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Data has informed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4C63">
        <w:rPr>
          <w:rFonts w:ascii="Times New Roman" w:eastAsia="Times New Roman" w:hAnsi="Times New Roman" w:cs="Times New Roman"/>
          <w:sz w:val="24"/>
          <w:szCs w:val="24"/>
        </w:rPr>
        <w:t xml:space="preserve">fifth </w:t>
      </w:r>
      <w:r>
        <w:rPr>
          <w:rFonts w:ascii="Times New Roman" w:eastAsia="Times New Roman" w:hAnsi="Times New Roman" w:cs="Times New Roman"/>
          <w:sz w:val="24"/>
          <w:szCs w:val="24"/>
        </w:rPr>
        <w:t>round of middle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school interventions to include the following instructional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foci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Algebra 1 course, debate, Lexia Strategies, Focused Mathematics Readers, JogNog for Science,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lose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eading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trategies to identify author’s purpose, compare and contrast texts</w:t>
      </w:r>
      <w:r w:rsidR="00134C6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explain reasoning on text-based evidence.</w:t>
      </w:r>
    </w:p>
    <w:p w:rsidR="00A95F72" w:rsidRDefault="00895510" w:rsidP="00AB02A8">
      <w:pPr>
        <w:pStyle w:val="Normal1"/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>ddition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rades K</w:t>
      </w:r>
      <w:r w:rsidR="00134C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5, teachers and staff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continue to implement and i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mprove the use of Lexia Core 5.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 Using initial data, they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identified inconsistent use of program components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>which negatively a</w:t>
      </w:r>
      <w:r>
        <w:rPr>
          <w:rFonts w:ascii="Times New Roman" w:eastAsia="Times New Roman" w:hAnsi="Times New Roman" w:cs="Times New Roman"/>
          <w:sz w:val="24"/>
          <w:szCs w:val="24"/>
        </w:rPr>
        <w:t>ffe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cted some of the growth. In order to improve </w:t>
      </w:r>
      <w:r>
        <w:rPr>
          <w:rFonts w:ascii="Times New Roman" w:eastAsia="Times New Roman" w:hAnsi="Times New Roman" w:cs="Times New Roman"/>
          <w:sz w:val="24"/>
          <w:szCs w:val="24"/>
        </w:rPr>
        <w:t>consistency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, building leaders 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>developed an intentional tracking tool for teachers to use to maximize the use o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f the program for all students.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431">
        <w:rPr>
          <w:rFonts w:ascii="Times New Roman" w:eastAsia="Times New Roman" w:hAnsi="Times New Roman" w:cs="Times New Roman"/>
          <w:sz w:val="24"/>
          <w:szCs w:val="24"/>
        </w:rPr>
        <w:t>Morgan has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seen an increase in February’s Lexia data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indicating </w:t>
      </w:r>
      <w:r w:rsidR="006E655E">
        <w:rPr>
          <w:rFonts w:ascii="Times New Roman" w:eastAsia="Times New Roman" w:hAnsi="Times New Roman" w:cs="Times New Roman"/>
          <w:sz w:val="24"/>
          <w:szCs w:val="24"/>
        </w:rPr>
        <w:t>an increase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="006E655E">
        <w:rPr>
          <w:rFonts w:ascii="Times New Roman" w:eastAsia="Times New Roman" w:hAnsi="Times New Roman" w:cs="Times New Roman"/>
          <w:sz w:val="24"/>
          <w:szCs w:val="24"/>
        </w:rPr>
        <w:t>age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of students</w:t>
      </w:r>
      <w:r w:rsidR="006E655E">
        <w:rPr>
          <w:rFonts w:ascii="Times New Roman" w:eastAsia="Times New Roman" w:hAnsi="Times New Roman" w:cs="Times New Roman"/>
          <w:sz w:val="24"/>
          <w:szCs w:val="24"/>
        </w:rPr>
        <w:t xml:space="preserve"> that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will meet the end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year benchmark,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5A3B">
        <w:rPr>
          <w:rFonts w:ascii="Times New Roman" w:eastAsia="Times New Roman" w:hAnsi="Times New Roman" w:cs="Times New Roman"/>
          <w:sz w:val="24"/>
          <w:szCs w:val="24"/>
        </w:rPr>
        <w:t xml:space="preserve">an increase in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>the percentage of students identified as at low risk for failure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00565A3B">
        <w:rPr>
          <w:rFonts w:ascii="Times New Roman" w:eastAsia="Times New Roman" w:hAnsi="Times New Roman" w:cs="Times New Roman"/>
          <w:sz w:val="24"/>
          <w:szCs w:val="24"/>
        </w:rPr>
        <w:t xml:space="preserve"> a decrease in the percentage of students at</w:t>
      </w:r>
      <w:r w:rsidR="00A95F72">
        <w:rPr>
          <w:rFonts w:ascii="Times New Roman" w:eastAsia="Times New Roman" w:hAnsi="Times New Roman" w:cs="Times New Roman"/>
          <w:sz w:val="24"/>
          <w:szCs w:val="24"/>
        </w:rPr>
        <w:t xml:space="preserve"> high risk for failure. A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 xml:space="preserve"> small cohort of students in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rades 3</w:t>
      </w:r>
      <w:r w:rsidR="00134C6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19394B">
        <w:rPr>
          <w:rFonts w:ascii="Times New Roman" w:eastAsia="Times New Roman" w:hAnsi="Times New Roman" w:cs="Times New Roman"/>
          <w:sz w:val="24"/>
          <w:szCs w:val="24"/>
        </w:rPr>
        <w:t>5 has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gained maximum fluency in addition and subtrac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Reflex program.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 They have advanced to the multiplication/division fluency </w:t>
      </w:r>
      <w:r w:rsidR="00486C93">
        <w:rPr>
          <w:rFonts w:ascii="Times New Roman" w:eastAsia="Times New Roman" w:hAnsi="Times New Roman" w:cs="Times New Roman"/>
          <w:sz w:val="24"/>
          <w:szCs w:val="24"/>
        </w:rPr>
        <w:t xml:space="preserve">unit </w:t>
      </w:r>
      <w:r w:rsidR="00E05718">
        <w:rPr>
          <w:rFonts w:ascii="Times New Roman" w:eastAsia="Times New Roman" w:hAnsi="Times New Roman" w:cs="Times New Roman"/>
          <w:sz w:val="24"/>
          <w:szCs w:val="24"/>
        </w:rPr>
        <w:t xml:space="preserve">within the program.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ILT planning revealed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new teachers had difficulty utilizing the many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English language arts </w:t>
      </w:r>
      <w:r>
        <w:rPr>
          <w:rFonts w:ascii="Times New Roman" w:eastAsia="Times New Roman" w:hAnsi="Times New Roman" w:cs="Times New Roman"/>
          <w:sz w:val="24"/>
          <w:szCs w:val="24"/>
        </w:rPr>
        <w:t>resources (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English language arts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cope and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equence, pacing guide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unit assessments, formative assessment guides) to explicitly backward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plan all identified standards in a l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ogical sequence. As a result, leaders have adjusted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monthly planning meetings to include an in-depth session for explicit backward planning in both the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PK–4 and 5–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English language arts </w:t>
      </w:r>
      <w:r>
        <w:rPr>
          <w:rFonts w:ascii="Times New Roman" w:eastAsia="Times New Roman" w:hAnsi="Times New Roman" w:cs="Times New Roman"/>
          <w:sz w:val="24"/>
          <w:szCs w:val="24"/>
        </w:rPr>
        <w:t>cohorts.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Challenge: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 In January, leaders and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identified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three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 critical area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 of weakness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 or need among students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from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560AE">
        <w:rPr>
          <w:rFonts w:ascii="Times New Roman" w:eastAsia="Times New Roman" w:hAnsi="Times New Roman" w:cs="Times New Roman"/>
          <w:sz w:val="24"/>
          <w:szCs w:val="24"/>
        </w:rPr>
        <w:t>Net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m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ath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ematics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G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rades 5–7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: (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>1)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number systems (14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below the network),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>2)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fractions (10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below the network), and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(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>3)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ratios and proportions (10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 xml:space="preserve"> percent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below the network)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0B88">
        <w:rPr>
          <w:rFonts w:ascii="Times New Roman" w:eastAsia="Times New Roman" w:hAnsi="Times New Roman" w:cs="Times New Roman"/>
          <w:sz w:val="24"/>
          <w:szCs w:val="24"/>
        </w:rPr>
        <w:t>Morgan partnered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Blueprint Math Fellows to set up tutor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ing for these targeted grades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 and areas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utoring was delayed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, however, by</w:t>
      </w:r>
      <w:r w:rsidR="0006176C">
        <w:rPr>
          <w:rFonts w:ascii="Times New Roman" w:eastAsia="Times New Roman" w:hAnsi="Times New Roman" w:cs="Times New Roman"/>
          <w:sz w:val="24"/>
          <w:szCs w:val="24"/>
        </w:rPr>
        <w:t xml:space="preserve"> challenges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tutor recruit</w:t>
      </w:r>
      <w:r w:rsidR="0006176C">
        <w:rPr>
          <w:rFonts w:ascii="Times New Roman" w:eastAsia="Times New Roman" w:hAnsi="Times New Roman" w:cs="Times New Roman"/>
          <w:sz w:val="24"/>
          <w:szCs w:val="24"/>
        </w:rPr>
        <w:t>ment</w:t>
      </w:r>
      <w:r w:rsidR="0089551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the services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began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March 9.</w:t>
      </w:r>
    </w:p>
    <w:p w:rsidR="0077371B" w:rsidRDefault="00E05718" w:rsidP="00AB02A8">
      <w:pPr>
        <w:pStyle w:val="Normal1"/>
        <w:widowControl w:val="0"/>
        <w:spacing w:before="12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Priority Area 3: </w:t>
      </w:r>
      <w:r>
        <w:rPr>
          <w:rFonts w:ascii="Times New Roman" w:eastAsia="Times New Roman" w:hAnsi="Times New Roman" w:cs="Times New Roman"/>
          <w:sz w:val="24"/>
          <w:szCs w:val="24"/>
        </w:rPr>
        <w:t>Creating a Center of Excellence for science, technology, engineering, and mathematics (STEM).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</w:t>
      </w:r>
      <w:r w:rsidRPr="0088746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As part of a n</w:t>
      </w:r>
      <w:r>
        <w:rPr>
          <w:rFonts w:ascii="Times New Roman" w:eastAsia="Times New Roman" w:hAnsi="Times New Roman" w:cs="Times New Roman"/>
          <w:sz w:val="24"/>
          <w:szCs w:val="24"/>
        </w:rPr>
        <w:t>ew partnership with the National Science in Education Association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Scientist Evan Palmer-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oung from UMASS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Amherst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will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cience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mbassador 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to Morgan </w:t>
      </w:r>
      <w:r>
        <w:rPr>
          <w:rFonts w:ascii="Times New Roman" w:eastAsia="Times New Roman" w:hAnsi="Times New Roman" w:cs="Times New Roman"/>
          <w:sz w:val="24"/>
          <w:szCs w:val="24"/>
        </w:rPr>
        <w:t>classroom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He is working with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rades 6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 on invasive species and their evolution tied to climate change and the environment</w:t>
      </w:r>
      <w:r w:rsidR="00570B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irector and ILT member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currently participating in the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Department of Ele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mentary and Secondary Education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 xml:space="preserve"> Massachusetts Focus Academy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course </w:t>
      </w:r>
      <w:r w:rsidRPr="00887460">
        <w:rPr>
          <w:rFonts w:ascii="Times New Roman" w:eastAsia="Times New Roman" w:hAnsi="Times New Roman" w:cs="Times New Roman"/>
          <w:sz w:val="24"/>
          <w:szCs w:val="24"/>
        </w:rPr>
        <w:t xml:space="preserve">Learner Variability </w:t>
      </w:r>
      <w:r w:rsidR="00B83A62" w:rsidRPr="00887460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887460">
        <w:rPr>
          <w:rFonts w:ascii="Times New Roman" w:eastAsia="Times New Roman" w:hAnsi="Times New Roman" w:cs="Times New Roman"/>
          <w:sz w:val="24"/>
          <w:szCs w:val="24"/>
        </w:rPr>
        <w:t>hrough Universal Design</w:t>
      </w:r>
      <w:r w:rsidRPr="00B83A6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variability and how it applies in content areas) and will lead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professional development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ILT once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finished.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Initial STEM fair planning began with all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rades K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570B88">
        <w:rPr>
          <w:rFonts w:ascii="Times New Roman" w:eastAsia="Times New Roman" w:hAnsi="Times New Roman" w:cs="Times New Roman"/>
          <w:sz w:val="24"/>
          <w:szCs w:val="24"/>
        </w:rPr>
        <w:t xml:space="preserve"> Teachers and leaders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 xml:space="preserve"> updated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STEM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handbook with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timeline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teachers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rades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All students in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rades 3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have chosen their topics. Topics had to be real-world problems in one of the four main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 xml:space="preserve">science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domains: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arth,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hysical, and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technology/</w:t>
      </w:r>
      <w:r>
        <w:rPr>
          <w:rFonts w:ascii="Times New Roman" w:eastAsia="Times New Roman" w:hAnsi="Times New Roman" w:cs="Times New Roman"/>
          <w:sz w:val="24"/>
          <w:szCs w:val="24"/>
        </w:rPr>
        <w:t>engineering.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Challenge: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Core instruction for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English language arts </w:t>
      </w:r>
      <w:r>
        <w:rPr>
          <w:rFonts w:ascii="Times New Roman" w:eastAsia="Times New Roman" w:hAnsi="Times New Roman" w:cs="Times New Roman"/>
          <w:sz w:val="24"/>
          <w:szCs w:val="24"/>
        </w:rPr>
        <w:t>and mathematics continue to be a major area of focus</w:t>
      </w:r>
      <w:r w:rsidR="00570B88">
        <w:rPr>
          <w:rFonts w:ascii="Times New Roman" w:eastAsia="Times New Roman" w:hAnsi="Times New Roman" w:cs="Times New Roman"/>
          <w:sz w:val="24"/>
          <w:szCs w:val="24"/>
        </w:rPr>
        <w:t xml:space="preserve"> for school leaders and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70B88">
        <w:rPr>
          <w:rFonts w:ascii="Times New Roman" w:eastAsia="Times New Roman" w:hAnsi="Times New Roman" w:cs="Times New Roman"/>
          <w:sz w:val="24"/>
          <w:szCs w:val="24"/>
        </w:rPr>
        <w:t>ILT.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STEM key strategies are not a current schoolwide priority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all grade levels are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, however,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integrating STEM challenges weekly, biweekly, or monthly into classroom practice and showing improvement in the design process. 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>Between 67</w:t>
      </w:r>
      <w:r w:rsidR="00B83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>90</w:t>
      </w:r>
      <w:r w:rsidR="00B83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percent </w:t>
      </w:r>
      <w:r w:rsidR="00AE6030">
        <w:rPr>
          <w:rFonts w:ascii="Times New Roman" w:eastAsia="Times New Roman" w:hAnsi="Times New Roman" w:cs="Times New Roman"/>
          <w:color w:val="auto"/>
          <w:sz w:val="24"/>
          <w:szCs w:val="24"/>
        </w:rPr>
        <w:t>o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f students </w:t>
      </w:r>
      <w:r w:rsidR="00AE6030">
        <w:rPr>
          <w:rFonts w:ascii="Times New Roman" w:eastAsia="Times New Roman" w:hAnsi="Times New Roman" w:cs="Times New Roman"/>
          <w:color w:val="auto"/>
          <w:sz w:val="24"/>
          <w:szCs w:val="24"/>
        </w:rPr>
        <w:t>across</w:t>
      </w:r>
      <w:r w:rsidR="00AE6030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>all grades have score</w:t>
      </w:r>
      <w:r w:rsidR="00B83A6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either a 3 or </w:t>
      </w:r>
      <w:r w:rsidR="00B83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 </w:t>
      </w:r>
      <w:r w:rsidR="00A95F72" w:rsidRPr="00A95F72">
        <w:rPr>
          <w:rFonts w:ascii="Times New Roman" w:eastAsia="Times New Roman" w:hAnsi="Times New Roman" w:cs="Times New Roman"/>
          <w:color w:val="auto"/>
          <w:sz w:val="24"/>
          <w:szCs w:val="24"/>
        </w:rPr>
        <w:t>4 on the last STEM challenge rubric.</w:t>
      </w:r>
      <w:r w:rsidR="00A95F7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77371B" w:rsidRDefault="00E05718" w:rsidP="00AB02A8">
      <w:pPr>
        <w:pStyle w:val="Normal1"/>
        <w:widowControl w:val="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Priority Area 4: </w:t>
      </w:r>
      <w:r>
        <w:rPr>
          <w:rFonts w:ascii="Times New Roman" w:eastAsia="Times New Roman" w:hAnsi="Times New Roman" w:cs="Times New Roman"/>
          <w:sz w:val="24"/>
          <w:szCs w:val="24"/>
        </w:rPr>
        <w:t>Targeted and aligned resources.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irector and </w:t>
      </w:r>
      <w:r w:rsidR="009168EC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dministrators are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 xml:space="preserve">conducting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weekly classroom 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observations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 holding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debrief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 sessions with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using a small set of focus elements from the SEI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>smart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card that are aligned to the school’s instructional focus. This has both provided teachers with focused feedback on high leverage SEI strategies and informed the ongoing professional development for 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all English as a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s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 xml:space="preserve">econd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l</w:t>
      </w:r>
      <w:r w:rsidR="00EB36E2">
        <w:rPr>
          <w:rFonts w:ascii="Times New Roman" w:eastAsia="Times New Roman" w:hAnsi="Times New Roman" w:cs="Times New Roman"/>
          <w:sz w:val="24"/>
          <w:szCs w:val="24"/>
        </w:rPr>
        <w:t>anguage and special education 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Highlight: </w:t>
      </w:r>
      <w:r>
        <w:rPr>
          <w:rFonts w:ascii="Times New Roman" w:eastAsia="Times New Roman" w:hAnsi="Times New Roman" w:cs="Times New Roman"/>
          <w:sz w:val="24"/>
          <w:szCs w:val="24"/>
        </w:rPr>
        <w:t>As a result of participating in the district’s full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day training, the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Morgan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team identified the lack of enrichment opportunities for students as an area of need. A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>s a first step for this year, Morgan has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instit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 xml:space="preserve">uted Enrichment Fridays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during which 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>teachers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use the intervention block for the following act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>ivities led by Morgan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teachers: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crochet, Amherst Cinema filmmaking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, storytelling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/story acting,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American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ign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Language, no</w:t>
      </w:r>
      <w:r>
        <w:rPr>
          <w:rFonts w:ascii="Times New Roman" w:eastAsia="Times New Roman" w:hAnsi="Times New Roman" w:cs="Times New Roman"/>
          <w:sz w:val="24"/>
          <w:szCs w:val="24"/>
        </w:rPr>
        <w:t>-bake recip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es, and recycled art projects. 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 xml:space="preserve">The plan is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improve and expand this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 xml:space="preserve">learning experience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the goal of increasing student voice and choice in enrichment activities.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part of problem solving </w:t>
      </w:r>
      <w:r w:rsidR="009427FF">
        <w:rPr>
          <w:rFonts w:ascii="Times New Roman" w:eastAsia="Times New Roman" w:hAnsi="Times New Roman" w:cs="Times New Roman"/>
          <w:sz w:val="24"/>
          <w:szCs w:val="24"/>
        </w:rPr>
        <w:t xml:space="preserve">to meet 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>the individual needs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students, 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 xml:space="preserve">Morgan leaders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worked with the district to provide specialized training opportunities for special education teachers. </w:t>
      </w:r>
      <w:r w:rsidR="007A2588">
        <w:rPr>
          <w:rFonts w:ascii="Times New Roman" w:eastAsia="Times New Roman" w:hAnsi="Times New Roman" w:cs="Times New Roman"/>
          <w:sz w:val="24"/>
          <w:szCs w:val="24"/>
        </w:rPr>
        <w:t>Morgan began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 using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Sonday 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System guides for </w:t>
      </w:r>
      <w:r w:rsidR="001D5D12" w:rsidRPr="001D5D12">
        <w:rPr>
          <w:rFonts w:ascii="Times New Roman" w:eastAsia="Times New Roman" w:hAnsi="Times New Roman" w:cs="Times New Roman"/>
          <w:sz w:val="24"/>
          <w:szCs w:val="24"/>
        </w:rPr>
        <w:t>beginning reading, writing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5D12" w:rsidRPr="001D5D12">
        <w:rPr>
          <w:rFonts w:ascii="Times New Roman" w:eastAsia="Times New Roman" w:hAnsi="Times New Roman" w:cs="Times New Roman"/>
          <w:sz w:val="24"/>
          <w:szCs w:val="24"/>
        </w:rPr>
        <w:t xml:space="preserve"> and spelling instruction 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1D5D12" w:rsidRPr="001D5D12">
        <w:rPr>
          <w:rFonts w:ascii="Times New Roman" w:eastAsia="Times New Roman" w:hAnsi="Times New Roman" w:cs="Times New Roman"/>
          <w:sz w:val="24"/>
          <w:szCs w:val="24"/>
        </w:rPr>
        <w:t>reading intervention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The system 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>is being used for small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group special education intervention in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G</w:t>
      </w:r>
      <w:r w:rsidR="001D5D12">
        <w:rPr>
          <w:rFonts w:ascii="Times New Roman" w:eastAsia="Times New Roman" w:hAnsi="Times New Roman" w:cs="Times New Roman"/>
          <w:sz w:val="24"/>
          <w:szCs w:val="24"/>
        </w:rPr>
        <w:t xml:space="preserve">rades 6 and 7. Morgan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continue to integrate resources </w:t>
      </w:r>
      <w:r w:rsidR="00E37E85">
        <w:rPr>
          <w:rFonts w:ascii="Times New Roman" w:eastAsia="Times New Roman" w:hAnsi="Times New Roman" w:cs="Times New Roman"/>
          <w:sz w:val="24"/>
          <w:szCs w:val="24"/>
        </w:rPr>
        <w:t xml:space="preserve">that address specialized instructional targets </w:t>
      </w:r>
      <w:r>
        <w:rPr>
          <w:rFonts w:ascii="Times New Roman" w:eastAsia="Times New Roman" w:hAnsi="Times New Roman" w:cs="Times New Roman"/>
          <w:sz w:val="24"/>
          <w:szCs w:val="24"/>
        </w:rPr>
        <w:t>as needed.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Challenge: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Although </w:t>
      </w:r>
      <w:r w:rsidR="002B614A">
        <w:rPr>
          <w:rFonts w:ascii="Times New Roman" w:eastAsia="Times New Roman" w:hAnsi="Times New Roman" w:cs="Times New Roman"/>
          <w:sz w:val="24"/>
          <w:szCs w:val="24"/>
        </w:rPr>
        <w:t xml:space="preserve">Morgan teachers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the foundations for specialized training, there is a gap in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D74D35">
        <w:rPr>
          <w:rFonts w:ascii="Times New Roman" w:eastAsia="Times New Roman" w:hAnsi="Times New Roman" w:cs="Times New Roman"/>
          <w:sz w:val="24"/>
          <w:szCs w:val="24"/>
        </w:rPr>
        <w:t xml:space="preserve">staff’s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knowledge base and repertoire to close the gaps of both </w:t>
      </w:r>
      <w:r w:rsidR="002B614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ELL and special education students. </w:t>
      </w:r>
      <w:r w:rsidR="002B614A">
        <w:rPr>
          <w:rFonts w:ascii="Times New Roman" w:eastAsia="Times New Roman" w:hAnsi="Times New Roman" w:cs="Times New Roman"/>
          <w:sz w:val="24"/>
          <w:szCs w:val="24"/>
        </w:rPr>
        <w:t xml:space="preserve">Morgan staff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continue to work with the appropriate </w:t>
      </w:r>
      <w:r w:rsidR="00876828">
        <w:rPr>
          <w:rFonts w:ascii="Times New Roman" w:eastAsia="Times New Roman" w:hAnsi="Times New Roman" w:cs="Times New Roman"/>
          <w:sz w:val="24"/>
          <w:szCs w:val="24"/>
        </w:rPr>
        <w:t xml:space="preserve">district </w:t>
      </w:r>
      <w:r>
        <w:rPr>
          <w:rFonts w:ascii="Times New Roman" w:eastAsia="Times New Roman" w:hAnsi="Times New Roman" w:cs="Times New Roman"/>
          <w:sz w:val="24"/>
          <w:szCs w:val="24"/>
        </w:rPr>
        <w:t>directors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 xml:space="preserve"> and coaches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improve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the staff’s knowledge base and repertoire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1B" w:rsidRDefault="00E05718" w:rsidP="00AB02A8">
      <w:pPr>
        <w:pStyle w:val="Normal1"/>
        <w:widowControl w:val="0"/>
        <w:spacing w:before="240"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Priority Area 5: </w:t>
      </w:r>
      <w:r>
        <w:rPr>
          <w:rFonts w:ascii="Times New Roman" w:eastAsia="Times New Roman" w:hAnsi="Times New Roman" w:cs="Times New Roman"/>
          <w:sz w:val="24"/>
          <w:szCs w:val="24"/>
        </w:rPr>
        <w:t>Enhancing and sustaining family and community engagement.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 w:rsidR="005A0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Parent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Child Home Program is a 23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week program in a tw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o-year cycle that services low-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income families. It targets the young children in these homes, as early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16 months to 3.6 years of age, before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the children </w:t>
      </w:r>
      <w:r>
        <w:rPr>
          <w:rFonts w:ascii="Times New Roman" w:eastAsia="Times New Roman" w:hAnsi="Times New Roman" w:cs="Times New Roman"/>
          <w:sz w:val="24"/>
          <w:szCs w:val="24"/>
        </w:rPr>
        <w:t>enter pre</w:t>
      </w:r>
      <w:r w:rsidR="00B4161E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indergarten. Home visitors visit the families twice a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week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provide educational toys, books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resources to build school readiness through playing and reading. </w:t>
      </w:r>
      <w:r w:rsidR="002B614A">
        <w:rPr>
          <w:rFonts w:ascii="Times New Roman" w:eastAsia="Times New Roman" w:hAnsi="Times New Roman" w:cs="Times New Roman"/>
          <w:sz w:val="24"/>
          <w:szCs w:val="24"/>
        </w:rPr>
        <w:t>Morgan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currently serving 10</w:t>
      </w:r>
      <w:r w:rsidR="00876828">
        <w:rPr>
          <w:rFonts w:ascii="Times New Roman" w:eastAsia="Times New Roman" w:hAnsi="Times New Roman" w:cs="Times New Roman"/>
          <w:sz w:val="24"/>
          <w:szCs w:val="24"/>
        </w:rPr>
        <w:t xml:space="preserve"> families of students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who will eventually attend Morgan</w:t>
      </w:r>
      <w:r w:rsidR="00807428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PK program.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Highlight: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567E32">
        <w:rPr>
          <w:rFonts w:ascii="Times New Roman" w:eastAsia="Times New Roman" w:hAnsi="Times New Roman" w:cs="Times New Roman"/>
          <w:sz w:val="24"/>
          <w:szCs w:val="24"/>
        </w:rPr>
        <w:t xml:space="preserve">English for Speakers of Other Languages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class has been offered to all Morgan families. The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course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run by 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7D2E14">
        <w:rPr>
          <w:rFonts w:ascii="TimesNewRomanPSMT" w:hAnsi="TimesNewRomanPSMT" w:cs="TimesNewRomanPSMT"/>
          <w:sz w:val="24"/>
          <w:szCs w:val="24"/>
        </w:rPr>
        <w:t xml:space="preserve">Valley Opportunity Council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an extension of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their partnership with Morgan.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course is designed to teach the ELL families the necessary English </w:t>
      </w:r>
      <w:r w:rsidR="00B4161E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anguage skills so they are able to support their child’s academics and further their own education. Currently there 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are six families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participating in this cohort. </w:t>
      </w:r>
    </w:p>
    <w:p w:rsidR="0077371B" w:rsidRDefault="00E05718" w:rsidP="00AB02A8">
      <w:pPr>
        <w:pStyle w:val="Normal1"/>
        <w:widowControl w:val="0"/>
        <w:spacing w:before="120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Highlight: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Parent 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>Volunteer Program is part of Morgan’s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161E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amily </w:t>
      </w:r>
      <w:r w:rsidR="00B4161E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ngagement efforts to increase and sustain family 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>involvement at the school</w:t>
      </w:r>
      <w:r>
        <w:rPr>
          <w:rFonts w:ascii="Times New Roman" w:eastAsia="Times New Roman" w:hAnsi="Times New Roman" w:cs="Times New Roman"/>
          <w:sz w:val="24"/>
          <w:szCs w:val="24"/>
        </w:rPr>
        <w:t>. The goal of t</w:t>
      </w:r>
      <w:r w:rsidR="008A6A44">
        <w:rPr>
          <w:rFonts w:ascii="Times New Roman" w:eastAsia="Times New Roman" w:hAnsi="Times New Roman" w:cs="Times New Roman"/>
          <w:sz w:val="24"/>
          <w:szCs w:val="24"/>
        </w:rPr>
        <w:t>he program is to recruit parent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leaders to become active participants in the school's family engagement work. This creates opportunities for parents to be part of the daily culture </w:t>
      </w:r>
      <w:r w:rsidR="00B4161E">
        <w:rPr>
          <w:rFonts w:ascii="Times New Roman" w:eastAsia="Times New Roman" w:hAnsi="Times New Roman" w:cs="Times New Roman"/>
          <w:sz w:val="24"/>
          <w:szCs w:val="24"/>
        </w:rPr>
        <w:t xml:space="preserve">of the school, 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they are given roles and responsibilities, trainings to develop new skills, and resources to be able to support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learning at school and at home.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are currently 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active parents in </w:t>
      </w:r>
      <w:r w:rsidR="00AE6030">
        <w:rPr>
          <w:rFonts w:ascii="Times New Roman" w:eastAsia="Times New Roman" w:hAnsi="Times New Roman" w:cs="Times New Roman"/>
          <w:sz w:val="24"/>
          <w:szCs w:val="24"/>
        </w:rPr>
        <w:t xml:space="preserve">Morgan’s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volunteer program. </w:t>
      </w:r>
    </w:p>
    <w:p w:rsidR="0077371B" w:rsidRDefault="00E05718" w:rsidP="00567E32">
      <w:pPr>
        <w:pStyle w:val="Normal1"/>
        <w:spacing w:before="120" w:line="240" w:lineRule="auto"/>
        <w:ind w:left="72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Challenge: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Morgan offers various programs and opportunities for families to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participate 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 xml:space="preserve">in the school 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regular</w:t>
      </w:r>
      <w:r w:rsidR="00B83A62">
        <w:rPr>
          <w:rFonts w:ascii="Times New Roman" w:eastAsia="Times New Roman" w:hAnsi="Times New Roman" w:cs="Times New Roman"/>
          <w:sz w:val="24"/>
          <w:szCs w:val="24"/>
        </w:rPr>
        <w:t>ly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 xml:space="preserve"> It is evident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 w:rsidR="00876828">
        <w:rPr>
          <w:rFonts w:ascii="Times New Roman" w:eastAsia="Times New Roman" w:hAnsi="Times New Roman" w:cs="Times New Roman"/>
          <w:sz w:val="24"/>
          <w:szCs w:val="24"/>
        </w:rPr>
        <w:t>attendance is higher for the activities that focus on building school culture and lower for the academically focused events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>The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continue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attract the same small g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 xml:space="preserve">roup of parents for the </w:t>
      </w:r>
      <w:r w:rsidR="00876828">
        <w:rPr>
          <w:rFonts w:ascii="Times New Roman" w:eastAsia="Times New Roman" w:hAnsi="Times New Roman" w:cs="Times New Roman"/>
          <w:sz w:val="24"/>
          <w:szCs w:val="24"/>
        </w:rPr>
        <w:t>academically focused opportunities</w:t>
      </w:r>
      <w:r w:rsidR="00D17D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7EFA">
        <w:rPr>
          <w:rFonts w:ascii="Times New Roman" w:eastAsia="Times New Roman" w:hAnsi="Times New Roman" w:cs="Times New Roman"/>
          <w:sz w:val="24"/>
          <w:szCs w:val="24"/>
        </w:rPr>
        <w:t xml:space="preserve"> Staff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continue to work through the Full Service Community School model to increase parent</w:t>
      </w:r>
      <w:r w:rsidR="007D2E14">
        <w:rPr>
          <w:rFonts w:ascii="Times New Roman" w:eastAsia="Times New Roman" w:hAnsi="Times New Roman" w:cs="Times New Roman"/>
          <w:sz w:val="24"/>
          <w:szCs w:val="24"/>
        </w:rPr>
        <w:t xml:space="preserve"> participation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academic arena. </w:t>
      </w:r>
    </w:p>
    <w:sectPr w:rsidR="0077371B" w:rsidSect="001A10BD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20F" w:rsidRDefault="006A020F">
      <w:pPr>
        <w:spacing w:after="0" w:line="240" w:lineRule="auto"/>
      </w:pPr>
      <w:r>
        <w:separator/>
      </w:r>
    </w:p>
  </w:endnote>
  <w:endnote w:type="continuationSeparator" w:id="0">
    <w:p w:rsidR="006A020F" w:rsidRDefault="006A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55E" w:rsidRDefault="006E655E" w:rsidP="00AB02A8">
    <w:pPr>
      <w:pStyle w:val="Normal1"/>
      <w:tabs>
        <w:tab w:val="right" w:pos="9360"/>
      </w:tabs>
      <w:spacing w:after="0" w:line="240" w:lineRule="auto"/>
    </w:pPr>
    <w:r>
      <w:rPr>
        <w:rFonts w:ascii="Times New Roman" w:eastAsia="Times New Roman" w:hAnsi="Times New Roman" w:cs="Times New Roman"/>
        <w:sz w:val="20"/>
        <w:szCs w:val="20"/>
      </w:rPr>
      <w:t>Level 5 Schools Quarterly Report</w:t>
    </w:r>
    <w:r>
      <w:rPr>
        <w:rFonts w:ascii="Times New Roman" w:eastAsia="Times New Roman" w:hAnsi="Times New Roman" w:cs="Times New Roman"/>
        <w:sz w:val="20"/>
        <w:szCs w:val="20"/>
      </w:rPr>
      <w:tab/>
      <w:t>Morgan Full Service Community School—</w:t>
    </w:r>
    <w:r w:rsidR="004F057B" w:rsidRPr="00AB02A8">
      <w:rPr>
        <w:rFonts w:ascii="Times New Roman" w:hAnsi="Times New Roman" w:cs="Times New Roman"/>
        <w:sz w:val="20"/>
        <w:szCs w:val="20"/>
      </w:rPr>
      <w:fldChar w:fldCharType="begin"/>
    </w:r>
    <w:r w:rsidRPr="00AB02A8">
      <w:rPr>
        <w:rFonts w:ascii="Times New Roman" w:hAnsi="Times New Roman" w:cs="Times New Roman"/>
        <w:sz w:val="20"/>
        <w:szCs w:val="20"/>
      </w:rPr>
      <w:instrText>PAGE</w:instrText>
    </w:r>
    <w:r w:rsidR="004F057B" w:rsidRPr="00AB02A8">
      <w:rPr>
        <w:rFonts w:ascii="Times New Roman" w:hAnsi="Times New Roman" w:cs="Times New Roman"/>
        <w:sz w:val="20"/>
        <w:szCs w:val="20"/>
      </w:rPr>
      <w:fldChar w:fldCharType="separate"/>
    </w:r>
    <w:r w:rsidR="001B7671">
      <w:rPr>
        <w:rFonts w:ascii="Times New Roman" w:hAnsi="Times New Roman" w:cs="Times New Roman"/>
        <w:noProof/>
        <w:sz w:val="20"/>
        <w:szCs w:val="20"/>
      </w:rPr>
      <w:t>1</w:t>
    </w:r>
    <w:r w:rsidR="004F057B" w:rsidRPr="00AB02A8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20F" w:rsidRDefault="006A020F">
      <w:pPr>
        <w:spacing w:after="0" w:line="240" w:lineRule="auto"/>
      </w:pPr>
      <w:r>
        <w:separator/>
      </w:r>
    </w:p>
  </w:footnote>
  <w:footnote w:type="continuationSeparator" w:id="0">
    <w:p w:rsidR="006A020F" w:rsidRDefault="006A0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16B78"/>
    <w:multiLevelType w:val="hybridMultilevel"/>
    <w:tmpl w:val="6C14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77371B"/>
    <w:rsid w:val="00046D42"/>
    <w:rsid w:val="0006176C"/>
    <w:rsid w:val="000D4B34"/>
    <w:rsid w:val="00102E84"/>
    <w:rsid w:val="001164E6"/>
    <w:rsid w:val="00120987"/>
    <w:rsid w:val="00134C63"/>
    <w:rsid w:val="001443EA"/>
    <w:rsid w:val="00171DDD"/>
    <w:rsid w:val="0019394B"/>
    <w:rsid w:val="001A10BD"/>
    <w:rsid w:val="001A7798"/>
    <w:rsid w:val="001B7671"/>
    <w:rsid w:val="001B7E2B"/>
    <w:rsid w:val="001C0D6F"/>
    <w:rsid w:val="001D5D12"/>
    <w:rsid w:val="001D6F9F"/>
    <w:rsid w:val="00207EEF"/>
    <w:rsid w:val="00233ECF"/>
    <w:rsid w:val="00254F9B"/>
    <w:rsid w:val="002560AE"/>
    <w:rsid w:val="002724EB"/>
    <w:rsid w:val="00290DFF"/>
    <w:rsid w:val="00296937"/>
    <w:rsid w:val="002B614A"/>
    <w:rsid w:val="002C7288"/>
    <w:rsid w:val="002D2E2E"/>
    <w:rsid w:val="00314744"/>
    <w:rsid w:val="003251D1"/>
    <w:rsid w:val="00325431"/>
    <w:rsid w:val="003D7B33"/>
    <w:rsid w:val="003E2D7A"/>
    <w:rsid w:val="00486C93"/>
    <w:rsid w:val="004E4EE3"/>
    <w:rsid w:val="004F057B"/>
    <w:rsid w:val="004F3665"/>
    <w:rsid w:val="004F3D1B"/>
    <w:rsid w:val="004F74F9"/>
    <w:rsid w:val="00536AB0"/>
    <w:rsid w:val="00565A3B"/>
    <w:rsid w:val="00567E32"/>
    <w:rsid w:val="00570B88"/>
    <w:rsid w:val="00573F28"/>
    <w:rsid w:val="005A062A"/>
    <w:rsid w:val="005A26D9"/>
    <w:rsid w:val="005B1989"/>
    <w:rsid w:val="005D19E9"/>
    <w:rsid w:val="00607B9B"/>
    <w:rsid w:val="00677219"/>
    <w:rsid w:val="006A020F"/>
    <w:rsid w:val="006C4FBC"/>
    <w:rsid w:val="006E5E2B"/>
    <w:rsid w:val="006E655E"/>
    <w:rsid w:val="00704211"/>
    <w:rsid w:val="0070424C"/>
    <w:rsid w:val="00711658"/>
    <w:rsid w:val="007145B8"/>
    <w:rsid w:val="00725C50"/>
    <w:rsid w:val="007645B0"/>
    <w:rsid w:val="00770142"/>
    <w:rsid w:val="0077371B"/>
    <w:rsid w:val="00775B22"/>
    <w:rsid w:val="00793517"/>
    <w:rsid w:val="00793607"/>
    <w:rsid w:val="007A2588"/>
    <w:rsid w:val="007A7DC0"/>
    <w:rsid w:val="007B4752"/>
    <w:rsid w:val="007D2E14"/>
    <w:rsid w:val="007E1910"/>
    <w:rsid w:val="00807428"/>
    <w:rsid w:val="0082355D"/>
    <w:rsid w:val="00876828"/>
    <w:rsid w:val="00887460"/>
    <w:rsid w:val="00895510"/>
    <w:rsid w:val="00895B27"/>
    <w:rsid w:val="008A1BB8"/>
    <w:rsid w:val="008A6A44"/>
    <w:rsid w:val="008B7C08"/>
    <w:rsid w:val="008F3835"/>
    <w:rsid w:val="009168EC"/>
    <w:rsid w:val="0092786C"/>
    <w:rsid w:val="009427FF"/>
    <w:rsid w:val="00943858"/>
    <w:rsid w:val="00951AE8"/>
    <w:rsid w:val="00997B1E"/>
    <w:rsid w:val="009B5B95"/>
    <w:rsid w:val="009F1A43"/>
    <w:rsid w:val="00A469AD"/>
    <w:rsid w:val="00A838F9"/>
    <w:rsid w:val="00A95F72"/>
    <w:rsid w:val="00AA6047"/>
    <w:rsid w:val="00AB02A8"/>
    <w:rsid w:val="00AB7905"/>
    <w:rsid w:val="00AD1A69"/>
    <w:rsid w:val="00AD5DE4"/>
    <w:rsid w:val="00AE6030"/>
    <w:rsid w:val="00AF1032"/>
    <w:rsid w:val="00B4161E"/>
    <w:rsid w:val="00B46E92"/>
    <w:rsid w:val="00B6478F"/>
    <w:rsid w:val="00B83A62"/>
    <w:rsid w:val="00B84575"/>
    <w:rsid w:val="00BB314B"/>
    <w:rsid w:val="00BB35BC"/>
    <w:rsid w:val="00BF3F40"/>
    <w:rsid w:val="00C07C82"/>
    <w:rsid w:val="00C3005F"/>
    <w:rsid w:val="00C91E68"/>
    <w:rsid w:val="00CB57C0"/>
    <w:rsid w:val="00CC221C"/>
    <w:rsid w:val="00CC42F7"/>
    <w:rsid w:val="00CD2823"/>
    <w:rsid w:val="00D17DCC"/>
    <w:rsid w:val="00D20341"/>
    <w:rsid w:val="00D74D35"/>
    <w:rsid w:val="00D84875"/>
    <w:rsid w:val="00DB0C24"/>
    <w:rsid w:val="00E00563"/>
    <w:rsid w:val="00E04B59"/>
    <w:rsid w:val="00E05718"/>
    <w:rsid w:val="00E10E7B"/>
    <w:rsid w:val="00E23F6B"/>
    <w:rsid w:val="00E260EA"/>
    <w:rsid w:val="00E345EE"/>
    <w:rsid w:val="00E37E85"/>
    <w:rsid w:val="00E37EFA"/>
    <w:rsid w:val="00E852A8"/>
    <w:rsid w:val="00E940DB"/>
    <w:rsid w:val="00E96437"/>
    <w:rsid w:val="00EA37ED"/>
    <w:rsid w:val="00EB36E2"/>
    <w:rsid w:val="00F22A4A"/>
    <w:rsid w:val="00F32E96"/>
    <w:rsid w:val="00FB7C79"/>
    <w:rsid w:val="00FD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96"/>
  </w:style>
  <w:style w:type="paragraph" w:styleId="Heading1">
    <w:name w:val="heading 1"/>
    <w:basedOn w:val="Normal1"/>
    <w:next w:val="Normal1"/>
    <w:rsid w:val="00F32E96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F32E96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F32E96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F32E96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F32E96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F32E96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32E96"/>
  </w:style>
  <w:style w:type="paragraph" w:styleId="Title">
    <w:name w:val="Title"/>
    <w:basedOn w:val="Normal1"/>
    <w:next w:val="Normal1"/>
    <w:rsid w:val="00F32E9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F32E9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F32E96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2A8"/>
  </w:style>
  <w:style w:type="paragraph" w:styleId="Footer">
    <w:name w:val="footer"/>
    <w:basedOn w:val="Normal"/>
    <w:link w:val="FooterChar"/>
    <w:uiPriority w:val="99"/>
    <w:unhideWhenUsed/>
    <w:rsid w:val="00AB0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2A8"/>
  </w:style>
  <w:style w:type="character" w:styleId="CommentReference">
    <w:name w:val="annotation reference"/>
    <w:basedOn w:val="DefaultParagraphFont"/>
    <w:uiPriority w:val="99"/>
    <w:semiHidden/>
    <w:unhideWhenUsed/>
    <w:rsid w:val="00B84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4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4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3D1B"/>
    <w:pPr>
      <w:ind w:left="720"/>
      <w:contextualSpacing/>
    </w:pPr>
    <w:rPr>
      <w:rFonts w:asciiTheme="minorHAnsi" w:eastAsiaTheme="minorEastAsia" w:hAnsiTheme="minorHAnsi" w:cs="Times New Roman"/>
      <w:color w:val="auto"/>
    </w:rPr>
  </w:style>
  <w:style w:type="paragraph" w:styleId="BodyText">
    <w:name w:val="Body Text"/>
    <w:basedOn w:val="Normal"/>
    <w:link w:val="BodyTextChar"/>
    <w:rsid w:val="00567E32"/>
    <w:pPr>
      <w:spacing w:after="240" w:line="240" w:lineRule="auto"/>
    </w:pPr>
    <w:rPr>
      <w:rFonts w:ascii="Times New Roman" w:eastAsia="Times New Roman" w:hAnsi="Times New Roman" w:cs="Times New Roman"/>
      <w:noProof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67E32"/>
    <w:rPr>
      <w:rFonts w:ascii="Times New Roman" w:eastAsia="Times New Roman" w:hAnsi="Times New Roman" w:cs="Times New Roman"/>
      <w:noProof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DESE-231-24412</_dlc_DocId>
    <_dlc_DocIdUrl xmlns="733efe1c-5bbe-4968-87dc-d400e65c879f">
      <Url>https://sharepoint.doemass.org/ese/webteam/cps/_layouts/DocIdRedir.aspx?ID=DESE-231-24412</Url>
      <Description>DESE-231-24412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52F56B-C7EE-42B0-9804-44ABCF9E2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EC6DD-ADAA-4727-8F80-A645E10C31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723B6CD-20F4-4395-BEC4-A5B636FA6E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381FD2-C949-4F77-8694-692CC7CC7B51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B169B99B-C73E-44F0-B0FC-87AF3CAB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2274</Words>
  <Characters>13080</Characters>
  <Application>Microsoft Office Word</Application>
  <DocSecurity>0</DocSecurity>
  <Lines>229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5, Attachment 4, Morgan Quarter 3 Report_Final</vt:lpstr>
    </vt:vector>
  </TitlesOfParts>
  <Company/>
  <LinksUpToDate>false</LinksUpToDate>
  <CharactersWithSpaces>15267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5, Attachment 4, Morgan Quarter 3 Report_Final</dc:title>
  <dc:creator>ESE</dc:creator>
  <cp:lastModifiedBy>dzou</cp:lastModifiedBy>
  <cp:revision>3</cp:revision>
  <cp:lastPrinted>2016-04-13T16:51:00Z</cp:lastPrinted>
  <dcterms:created xsi:type="dcterms:W3CDTF">2016-04-13T18:44:00Z</dcterms:created>
  <dcterms:modified xsi:type="dcterms:W3CDTF">2016-04-19T20:11:00Z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19 2016</vt:lpwstr>
  </property>
</Properties>
</file>