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DA36F" w14:textId="77777777" w:rsidR="00D43802" w:rsidRDefault="00D43802" w:rsidP="00D43802">
      <w:pPr>
        <w:spacing w:after="240"/>
        <w:rPr>
          <w:sz w:val="22"/>
        </w:rPr>
      </w:pPr>
      <w:bookmarkStart w:id="0" w:name="_GoBack"/>
      <w:bookmarkEnd w:id="0"/>
      <w:r>
        <w:rPr>
          <w:sz w:val="22"/>
        </w:rPr>
        <w:t xml:space="preserve">The information provided in the following tables and graphs provide an overview of the academic performance, student enrollment demographics, student attrition rates, and financial history of the charter school of interest. </w:t>
      </w:r>
      <w:r w:rsidRPr="000F7E33">
        <w:rPr>
          <w:color w:val="000000"/>
          <w:sz w:val="22"/>
          <w:szCs w:val="22"/>
        </w:rPr>
        <w:t>All data displayed in these graphs is derived from ESE District and School Profiles (</w:t>
      </w:r>
      <w:hyperlink r:id="rId12" w:tgtFrame="_blank" w:history="1">
        <w:r w:rsidRPr="000F7E33">
          <w:rPr>
            <w:rStyle w:val="hyperlinkchar"/>
            <w:color w:val="0000FF"/>
            <w:sz w:val="22"/>
            <w:szCs w:val="22"/>
            <w:u w:val="single"/>
          </w:rPr>
          <w:t>http://profiles.doe.mass.edu/</w:t>
        </w:r>
      </w:hyperlink>
      <w:r w:rsidRPr="000F7E33">
        <w:rPr>
          <w:color w:val="000000"/>
          <w:sz w:val="22"/>
          <w:szCs w:val="22"/>
        </w:rPr>
        <w:t>).</w:t>
      </w:r>
    </w:p>
    <w:p w14:paraId="01F3B02C" w14:textId="77777777" w:rsidR="00D43802" w:rsidRPr="003116C3" w:rsidRDefault="00D43802" w:rsidP="00D43802">
      <w:pPr>
        <w:spacing w:after="240"/>
        <w:rPr>
          <w:sz w:val="20"/>
          <w:szCs w:val="22"/>
        </w:rPr>
      </w:pPr>
      <w:r>
        <w:rPr>
          <w:sz w:val="22"/>
        </w:rPr>
        <w:t xml:space="preserve">The </w:t>
      </w:r>
      <w:r w:rsidRPr="009330EE">
        <w:rPr>
          <w:bCs/>
          <w:sz w:val="22"/>
        </w:rPr>
        <w:t>charter</w:t>
      </w:r>
      <w:r w:rsidRPr="003116C3">
        <w:rPr>
          <w:b/>
          <w:bCs/>
          <w:sz w:val="22"/>
        </w:rPr>
        <w:t xml:space="preserve"> </w:t>
      </w:r>
      <w:r w:rsidRPr="009330EE">
        <w:rPr>
          <w:bCs/>
          <w:sz w:val="22"/>
        </w:rPr>
        <w:t>accountability table</w:t>
      </w:r>
      <w:r>
        <w:rPr>
          <w:sz w:val="22"/>
        </w:rPr>
        <w:t xml:space="preserve"> </w:t>
      </w:r>
      <w:r w:rsidRPr="003116C3">
        <w:rPr>
          <w:sz w:val="22"/>
        </w:rPr>
        <w:t xml:space="preserve">provides several sets of data relative to </w:t>
      </w:r>
      <w:r w:rsidRPr="0043421E">
        <w:rPr>
          <w:bCs/>
          <w:color w:val="000000"/>
          <w:sz w:val="22"/>
          <w:szCs w:val="22"/>
        </w:rPr>
        <w:t xml:space="preserve">Massachusetts Comprehensive Assessment System </w:t>
      </w:r>
      <w:r>
        <w:rPr>
          <w:bCs/>
          <w:color w:val="000000"/>
          <w:sz w:val="22"/>
          <w:szCs w:val="22"/>
        </w:rPr>
        <w:t xml:space="preserve">test </w:t>
      </w:r>
      <w:r w:rsidRPr="0043421E">
        <w:rPr>
          <w:bCs/>
          <w:color w:val="000000"/>
          <w:sz w:val="22"/>
          <w:szCs w:val="22"/>
        </w:rPr>
        <w:t>(</w:t>
      </w:r>
      <w:r w:rsidRPr="0043421E">
        <w:rPr>
          <w:color w:val="000000"/>
          <w:sz w:val="22"/>
        </w:rPr>
        <w:t xml:space="preserve">MCAS) </w:t>
      </w:r>
      <w:r w:rsidRPr="003116C3">
        <w:rPr>
          <w:sz w:val="22"/>
        </w:rPr>
        <w:t>performance</w:t>
      </w:r>
      <w:r>
        <w:rPr>
          <w:sz w:val="22"/>
        </w:rPr>
        <w:t xml:space="preserve"> for the most recent five years. Performance measures </w:t>
      </w:r>
      <w:r w:rsidRPr="003116C3">
        <w:rPr>
          <w:sz w:val="22"/>
        </w:rPr>
        <w:t xml:space="preserve">are </w:t>
      </w:r>
      <w:r>
        <w:rPr>
          <w:sz w:val="22"/>
        </w:rPr>
        <w:t xml:space="preserve">displayed for all students and the high needs subgroup, including the </w:t>
      </w:r>
      <w:r w:rsidRPr="003116C3">
        <w:rPr>
          <w:sz w:val="22"/>
        </w:rPr>
        <w:t>percent of students scoring proficient or advanced (P/A)</w:t>
      </w:r>
      <w:r>
        <w:rPr>
          <w:sz w:val="22"/>
        </w:rPr>
        <w:t>, and warning or failing (W/F);</w:t>
      </w:r>
      <w:r w:rsidRPr="003116C3">
        <w:rPr>
          <w:sz w:val="22"/>
        </w:rPr>
        <w:t xml:space="preserve"> the com</w:t>
      </w:r>
      <w:r>
        <w:rPr>
          <w:sz w:val="22"/>
        </w:rPr>
        <w:t xml:space="preserve">posite performance index (CPI); </w:t>
      </w:r>
      <w:r w:rsidRPr="003116C3">
        <w:rPr>
          <w:sz w:val="22"/>
        </w:rPr>
        <w:t>and the student growth percentile (SGP). The school’s accountabil</w:t>
      </w:r>
      <w:r>
        <w:rPr>
          <w:sz w:val="22"/>
        </w:rPr>
        <w:t>ity level, percentile, English Language A</w:t>
      </w:r>
      <w:r w:rsidRPr="003116C3">
        <w:rPr>
          <w:sz w:val="22"/>
        </w:rPr>
        <w:t>rts (ELA) and math</w:t>
      </w:r>
      <w:r>
        <w:rPr>
          <w:sz w:val="22"/>
        </w:rPr>
        <w:t>ematics</w:t>
      </w:r>
      <w:r w:rsidRPr="003116C3">
        <w:rPr>
          <w:sz w:val="22"/>
        </w:rPr>
        <w:t xml:space="preserve"> percentiles for </w:t>
      </w:r>
      <w:r>
        <w:rPr>
          <w:sz w:val="22"/>
        </w:rPr>
        <w:t>all students</w:t>
      </w:r>
      <w:r w:rsidRPr="003116C3">
        <w:rPr>
          <w:sz w:val="22"/>
        </w:rPr>
        <w:t xml:space="preserve"> and targeted subgroups, and </w:t>
      </w:r>
      <w:r>
        <w:rPr>
          <w:sz w:val="22"/>
        </w:rPr>
        <w:t xml:space="preserve">the </w:t>
      </w:r>
      <w:r w:rsidRPr="003116C3">
        <w:rPr>
          <w:sz w:val="22"/>
        </w:rPr>
        <w:t>cumulative progress and performance index (PPI) for the aggregate and targeted subgroups are shown</w:t>
      </w:r>
      <w:r>
        <w:rPr>
          <w:sz w:val="22"/>
        </w:rPr>
        <w:t>,</w:t>
      </w:r>
      <w:r w:rsidRPr="003116C3">
        <w:rPr>
          <w:sz w:val="22"/>
        </w:rPr>
        <w:t xml:space="preserve"> if available (this depends on the size and the age of the</w:t>
      </w:r>
      <w:r>
        <w:rPr>
          <w:sz w:val="22"/>
        </w:rPr>
        <w:t xml:space="preserve"> school). When applicable, the 4-year and 5</w:t>
      </w:r>
      <w:r w:rsidRPr="003116C3">
        <w:rPr>
          <w:sz w:val="22"/>
        </w:rPr>
        <w:t xml:space="preserve">-year graduation rates </w:t>
      </w:r>
      <w:r>
        <w:rPr>
          <w:sz w:val="22"/>
        </w:rPr>
        <w:t>and</w:t>
      </w:r>
      <w:r w:rsidRPr="003116C3">
        <w:rPr>
          <w:sz w:val="22"/>
        </w:rPr>
        <w:t xml:space="preserve"> </w:t>
      </w:r>
      <w:r>
        <w:rPr>
          <w:sz w:val="22"/>
        </w:rPr>
        <w:t>the annual dropout rate are</w:t>
      </w:r>
      <w:r w:rsidRPr="003116C3">
        <w:rPr>
          <w:sz w:val="22"/>
        </w:rPr>
        <w:t xml:space="preserve"> provided. </w:t>
      </w:r>
      <w:r>
        <w:rPr>
          <w:sz w:val="22"/>
        </w:rPr>
        <w:t>D</w:t>
      </w:r>
      <w:r w:rsidRPr="003116C3">
        <w:rPr>
          <w:sz w:val="22"/>
        </w:rPr>
        <w:t>etailed definitions of accountability terms</w:t>
      </w:r>
      <w:r>
        <w:rPr>
          <w:sz w:val="22"/>
        </w:rPr>
        <w:t xml:space="preserve"> can be found at</w:t>
      </w:r>
      <w:r w:rsidRPr="003116C3">
        <w:rPr>
          <w:sz w:val="22"/>
        </w:rPr>
        <w:t xml:space="preserve">: </w:t>
      </w:r>
      <w:hyperlink r:id="rId13" w:anchor="AccountabilityInformation" w:history="1">
        <w:r w:rsidRPr="003116C3">
          <w:rPr>
            <w:rStyle w:val="Hyperlink"/>
            <w:sz w:val="22"/>
          </w:rPr>
          <w:t>http://profiles.doe.mass.edu/accountability/report/aboutdata.aspx#AccountabilityInformation</w:t>
        </w:r>
      </w:hyperlink>
      <w:r w:rsidRPr="003116C3">
        <w:rPr>
          <w:sz w:val="22"/>
        </w:rPr>
        <w:t>.</w:t>
      </w:r>
    </w:p>
    <w:p w14:paraId="7CBA2919" w14:textId="77777777" w:rsidR="00D43802" w:rsidRPr="000F7E33" w:rsidRDefault="00D43802" w:rsidP="00D43802">
      <w:pPr>
        <w:spacing w:after="240"/>
        <w:rPr>
          <w:color w:val="000000"/>
          <w:sz w:val="22"/>
          <w:szCs w:val="22"/>
        </w:rPr>
      </w:pPr>
      <w:r>
        <w:rPr>
          <w:sz w:val="22"/>
          <w:szCs w:val="22"/>
        </w:rPr>
        <w:t xml:space="preserve">The </w:t>
      </w:r>
      <w:r w:rsidRPr="000F7E33">
        <w:rPr>
          <w:color w:val="000000"/>
          <w:sz w:val="22"/>
          <w:szCs w:val="22"/>
        </w:rPr>
        <w:t xml:space="preserve">longitudinal demographic comparison </w:t>
      </w:r>
      <w:r w:rsidRPr="000F7E33">
        <w:rPr>
          <w:sz w:val="22"/>
          <w:szCs w:val="22"/>
        </w:rPr>
        <w:t xml:space="preserve">data presented in the </w:t>
      </w:r>
      <w:r>
        <w:rPr>
          <w:color w:val="000000"/>
          <w:sz w:val="22"/>
          <w:szCs w:val="22"/>
        </w:rPr>
        <w:t xml:space="preserve">graphs of student enrollment </w:t>
      </w:r>
      <w:r w:rsidRPr="000F7E33">
        <w:rPr>
          <w:sz w:val="22"/>
          <w:szCs w:val="22"/>
        </w:rPr>
        <w:t xml:space="preserve">is intended to provide context for the charter school’s recruitment and retention efforts. </w:t>
      </w:r>
      <w:r w:rsidRPr="000F7E33">
        <w:rPr>
          <w:color w:val="000000"/>
          <w:sz w:val="22"/>
          <w:szCs w:val="22"/>
        </w:rPr>
        <w:t>The set of displayed comparison schools includes the charter school of interest, and all of the public schools in the charter school’s region that serve at least one grade level of students which overlaps with the grade levels served by the charter school.</w:t>
      </w:r>
      <w:r w:rsidRPr="000F7E33">
        <w:rPr>
          <w:rStyle w:val="FootnoteReference"/>
          <w:color w:val="000000"/>
          <w:sz w:val="22"/>
          <w:szCs w:val="22"/>
        </w:rPr>
        <w:footnoteReference w:id="1"/>
      </w:r>
      <w:r w:rsidRPr="000F7E33">
        <w:rPr>
          <w:color w:val="000000"/>
          <w:sz w:val="22"/>
          <w:szCs w:val="22"/>
        </w:rPr>
        <w:t xml:space="preserve"> The </w:t>
      </w:r>
      <w:r>
        <w:rPr>
          <w:color w:val="000000"/>
          <w:sz w:val="22"/>
          <w:szCs w:val="22"/>
        </w:rPr>
        <w:t xml:space="preserve">graphs </w:t>
      </w:r>
      <w:r w:rsidRPr="000F7E33">
        <w:rPr>
          <w:color w:val="000000"/>
          <w:sz w:val="22"/>
          <w:szCs w:val="22"/>
        </w:rPr>
        <w:t xml:space="preserve">provide comparison enrollment percentages for four different subgroups of students: </w:t>
      </w:r>
      <w:r>
        <w:rPr>
          <w:color w:val="000000"/>
          <w:sz w:val="22"/>
          <w:szCs w:val="22"/>
        </w:rPr>
        <w:t xml:space="preserve">low income, students with disabilities, </w:t>
      </w:r>
      <w:r w:rsidRPr="000F7E33">
        <w:rPr>
          <w:color w:val="000000"/>
          <w:sz w:val="22"/>
          <w:szCs w:val="22"/>
        </w:rPr>
        <w:t xml:space="preserve">English language learners, </w:t>
      </w:r>
      <w:r>
        <w:rPr>
          <w:color w:val="000000"/>
          <w:sz w:val="22"/>
          <w:szCs w:val="22"/>
        </w:rPr>
        <w:t xml:space="preserve">and </w:t>
      </w:r>
      <w:r w:rsidRPr="000F7E33">
        <w:rPr>
          <w:color w:val="000000"/>
          <w:sz w:val="22"/>
          <w:szCs w:val="22"/>
        </w:rPr>
        <w:t>First language not English. Each line on the graph represents the percentage of total sch</w:t>
      </w:r>
      <w:r>
        <w:rPr>
          <w:color w:val="000000"/>
          <w:sz w:val="22"/>
          <w:szCs w:val="22"/>
        </w:rPr>
        <w:t xml:space="preserve">ool enrollment </w:t>
      </w:r>
      <w:r w:rsidRPr="000F7E33">
        <w:rPr>
          <w:color w:val="000000"/>
          <w:sz w:val="22"/>
          <w:szCs w:val="22"/>
        </w:rPr>
        <w:t>for a given school or set of schools</w:t>
      </w:r>
      <w:r w:rsidRPr="00185F09">
        <w:rPr>
          <w:color w:val="000000"/>
          <w:sz w:val="22"/>
          <w:szCs w:val="22"/>
        </w:rPr>
        <w:t xml:space="preserve"> </w:t>
      </w:r>
      <w:r>
        <w:rPr>
          <w:color w:val="000000"/>
          <w:sz w:val="22"/>
          <w:szCs w:val="22"/>
        </w:rPr>
        <w:t>during the most recent five years</w:t>
      </w:r>
      <w:r w:rsidRPr="000F7E33">
        <w:rPr>
          <w:color w:val="000000"/>
          <w:sz w:val="22"/>
          <w:szCs w:val="22"/>
        </w:rPr>
        <w:t xml:space="preserve">. If available, data listed is displayed longitudinally across </w:t>
      </w:r>
      <w:r w:rsidRPr="000F7E33">
        <w:rPr>
          <w:sz w:val="22"/>
          <w:szCs w:val="22"/>
        </w:rPr>
        <w:t>multiple</w:t>
      </w:r>
      <w:r w:rsidRPr="000F7E33">
        <w:rPr>
          <w:color w:val="000000"/>
          <w:sz w:val="22"/>
          <w:szCs w:val="22"/>
        </w:rPr>
        <w:t xml:space="preserve"> years in line graph form, with: </w:t>
      </w:r>
    </w:p>
    <w:p w14:paraId="0CC7AF3B" w14:textId="77777777" w:rsidR="00D43802" w:rsidRPr="000F7E33" w:rsidRDefault="00D43802" w:rsidP="00D43802">
      <w:pPr>
        <w:pStyle w:val="ListParagraph"/>
        <w:numPr>
          <w:ilvl w:val="0"/>
          <w:numId w:val="1"/>
        </w:numPr>
        <w:ind w:left="900"/>
        <w:contextualSpacing/>
        <w:rPr>
          <w:color w:val="000000"/>
          <w:sz w:val="22"/>
          <w:szCs w:val="22"/>
        </w:rPr>
      </w:pPr>
      <w:r w:rsidRPr="000F7E33">
        <w:rPr>
          <w:sz w:val="22"/>
          <w:szCs w:val="22"/>
        </w:rPr>
        <w:t xml:space="preserve">a solid </w:t>
      </w:r>
      <w:r w:rsidRPr="000F7E33">
        <w:rPr>
          <w:b/>
          <w:sz w:val="22"/>
          <w:szCs w:val="22"/>
        </w:rPr>
        <w:t>bold black</w:t>
      </w:r>
      <w:r w:rsidRPr="000F7E33">
        <w:rPr>
          <w:color w:val="1F497D" w:themeColor="dark2"/>
          <w:sz w:val="22"/>
          <w:szCs w:val="22"/>
        </w:rPr>
        <w:t xml:space="preserve"> </w:t>
      </w:r>
      <w:r w:rsidRPr="000F7E33">
        <w:rPr>
          <w:color w:val="000000"/>
          <w:sz w:val="22"/>
          <w:szCs w:val="22"/>
        </w:rPr>
        <w:t xml:space="preserve">line representing subgroup enrollment in the charter school of </w:t>
      </w:r>
      <w:proofErr w:type="gramStart"/>
      <w:r w:rsidRPr="000F7E33">
        <w:rPr>
          <w:color w:val="000000"/>
          <w:sz w:val="22"/>
          <w:szCs w:val="22"/>
        </w:rPr>
        <w:t>interest;</w:t>
      </w:r>
      <w:proofErr w:type="gramEnd"/>
    </w:p>
    <w:p w14:paraId="639A1A50" w14:textId="77777777" w:rsidR="00D43802" w:rsidRDefault="00D43802" w:rsidP="00D43802">
      <w:pPr>
        <w:pStyle w:val="ListParagraph"/>
        <w:numPr>
          <w:ilvl w:val="0"/>
          <w:numId w:val="1"/>
        </w:numPr>
        <w:ind w:left="900"/>
        <w:contextualSpacing/>
        <w:rPr>
          <w:color w:val="000000"/>
          <w:sz w:val="22"/>
          <w:szCs w:val="22"/>
        </w:rPr>
      </w:pPr>
      <w:r w:rsidRPr="000F7E33">
        <w:rPr>
          <w:sz w:val="22"/>
          <w:szCs w:val="22"/>
        </w:rPr>
        <w:t xml:space="preserve">a solid </w:t>
      </w:r>
      <w:r w:rsidRPr="000F7E33">
        <w:rPr>
          <w:b/>
          <w:color w:val="92D050"/>
          <w:sz w:val="22"/>
          <w:szCs w:val="22"/>
        </w:rPr>
        <w:t>green</w:t>
      </w:r>
      <w:r w:rsidRPr="000F7E33">
        <w:rPr>
          <w:color w:val="000000"/>
          <w:sz w:val="22"/>
          <w:szCs w:val="22"/>
        </w:rPr>
        <w:t xml:space="preserve"> line for the statewide </w:t>
      </w:r>
      <w:proofErr w:type="gramStart"/>
      <w:r w:rsidRPr="000F7E33">
        <w:rPr>
          <w:color w:val="000000"/>
          <w:sz w:val="22"/>
          <w:szCs w:val="22"/>
        </w:rPr>
        <w:t>average;</w:t>
      </w:r>
      <w:proofErr w:type="gramEnd"/>
    </w:p>
    <w:p w14:paraId="29F04B87" w14:textId="77777777" w:rsidR="00D43802" w:rsidRPr="000F7E33" w:rsidRDefault="00D43802" w:rsidP="00D43802">
      <w:pPr>
        <w:pStyle w:val="ListParagraph"/>
        <w:numPr>
          <w:ilvl w:val="0"/>
          <w:numId w:val="1"/>
        </w:numPr>
        <w:ind w:left="900"/>
        <w:contextualSpacing/>
        <w:rPr>
          <w:color w:val="000000"/>
          <w:sz w:val="22"/>
          <w:szCs w:val="22"/>
        </w:rPr>
      </w:pPr>
      <w:r>
        <w:rPr>
          <w:sz w:val="22"/>
          <w:szCs w:val="22"/>
        </w:rPr>
        <w:t xml:space="preserve">a solid </w:t>
      </w:r>
      <w:r w:rsidRPr="003116C3">
        <w:rPr>
          <w:b/>
          <w:color w:val="365F91" w:themeColor="accent1" w:themeShade="BF"/>
          <w:sz w:val="22"/>
          <w:szCs w:val="22"/>
        </w:rPr>
        <w:t>blue</w:t>
      </w:r>
      <w:r>
        <w:rPr>
          <w:sz w:val="22"/>
          <w:szCs w:val="22"/>
        </w:rPr>
        <w:t xml:space="preserve"> line for the comparison district average (current or </w:t>
      </w:r>
      <w:r w:rsidRPr="00513F46">
        <w:rPr>
          <w:b/>
          <w:sz w:val="22"/>
          <w:szCs w:val="22"/>
        </w:rPr>
        <w:t>proposed</w:t>
      </w:r>
      <w:r>
        <w:rPr>
          <w:sz w:val="22"/>
          <w:szCs w:val="22"/>
        </w:rPr>
        <w:t xml:space="preserve"> district, as applicable</w:t>
      </w:r>
      <w:proofErr w:type="gramStart"/>
      <w:r>
        <w:rPr>
          <w:sz w:val="22"/>
          <w:szCs w:val="22"/>
        </w:rPr>
        <w:t>);</w:t>
      </w:r>
      <w:proofErr w:type="gramEnd"/>
    </w:p>
    <w:p w14:paraId="028E3311" w14:textId="77777777" w:rsidR="00D43802" w:rsidRPr="000F7E33" w:rsidRDefault="00D43802" w:rsidP="00D43802">
      <w:pPr>
        <w:pStyle w:val="ListParagraph"/>
        <w:numPr>
          <w:ilvl w:val="0"/>
          <w:numId w:val="1"/>
        </w:numPr>
        <w:ind w:left="900"/>
        <w:contextualSpacing/>
        <w:rPr>
          <w:color w:val="000000"/>
          <w:sz w:val="22"/>
          <w:szCs w:val="22"/>
        </w:rPr>
      </w:pPr>
      <w:r w:rsidRPr="000F7E33">
        <w:rPr>
          <w:color w:val="000000"/>
          <w:sz w:val="22"/>
          <w:szCs w:val="22"/>
        </w:rPr>
        <w:t>a dotted</w:t>
      </w:r>
      <w:r w:rsidRPr="000F7E33">
        <w:rPr>
          <w:b/>
          <w:color w:val="FFC000"/>
          <w:sz w:val="22"/>
          <w:szCs w:val="22"/>
        </w:rPr>
        <w:t xml:space="preserve"> orang</w:t>
      </w:r>
      <w:r w:rsidRPr="00762555">
        <w:rPr>
          <w:b/>
          <w:color w:val="FFC000"/>
          <w:sz w:val="22"/>
          <w:szCs w:val="22"/>
        </w:rPr>
        <w:t>e</w:t>
      </w:r>
      <w:r w:rsidRPr="000F7E33">
        <w:rPr>
          <w:color w:val="000000"/>
          <w:sz w:val="22"/>
          <w:szCs w:val="22"/>
        </w:rPr>
        <w:t xml:space="preserve"> line for the median</w:t>
      </w:r>
      <w:r w:rsidRPr="000F7E33">
        <w:rPr>
          <w:rStyle w:val="FootnoteReference"/>
          <w:color w:val="000000"/>
          <w:sz w:val="22"/>
          <w:szCs w:val="22"/>
        </w:rPr>
        <w:footnoteReference w:id="2"/>
      </w:r>
      <w:r w:rsidRPr="000F7E33">
        <w:rPr>
          <w:color w:val="000000"/>
          <w:sz w:val="22"/>
          <w:szCs w:val="22"/>
        </w:rPr>
        <w:t xml:space="preserve"> enrollment percentage of </w:t>
      </w:r>
      <w:r>
        <w:rPr>
          <w:color w:val="000000"/>
          <w:sz w:val="22"/>
          <w:szCs w:val="22"/>
        </w:rPr>
        <w:t>all c</w:t>
      </w:r>
      <w:r w:rsidRPr="000F7E33">
        <w:rPr>
          <w:color w:val="000000"/>
          <w:sz w:val="22"/>
          <w:szCs w:val="22"/>
        </w:rPr>
        <w:t xml:space="preserve">omparison </w:t>
      </w:r>
      <w:proofErr w:type="gramStart"/>
      <w:r w:rsidRPr="000F7E33">
        <w:rPr>
          <w:color w:val="000000"/>
          <w:sz w:val="22"/>
          <w:szCs w:val="22"/>
        </w:rPr>
        <w:t>schools;</w:t>
      </w:r>
      <w:proofErr w:type="gramEnd"/>
      <w:r w:rsidRPr="000F7E33">
        <w:rPr>
          <w:color w:val="000000"/>
          <w:sz w:val="22"/>
          <w:szCs w:val="22"/>
        </w:rPr>
        <w:t xml:space="preserve"> </w:t>
      </w:r>
    </w:p>
    <w:p w14:paraId="2449CF6C" w14:textId="77777777" w:rsidR="00D43802" w:rsidRPr="000F7E33" w:rsidRDefault="00D43802" w:rsidP="00D43802">
      <w:pPr>
        <w:pStyle w:val="ListParagraph"/>
        <w:numPr>
          <w:ilvl w:val="0"/>
          <w:numId w:val="1"/>
        </w:numPr>
        <w:ind w:left="900"/>
        <w:contextualSpacing/>
        <w:rPr>
          <w:color w:val="000000"/>
          <w:sz w:val="22"/>
          <w:szCs w:val="22"/>
        </w:rPr>
      </w:pPr>
      <w:r w:rsidRPr="000F7E33">
        <w:rPr>
          <w:color w:val="000000"/>
          <w:sz w:val="22"/>
          <w:szCs w:val="22"/>
        </w:rPr>
        <w:t xml:space="preserve">a dotted </w:t>
      </w:r>
      <w:r w:rsidRPr="000F7E33">
        <w:rPr>
          <w:b/>
          <w:color w:val="F79646" w:themeColor="accent6"/>
          <w:sz w:val="22"/>
          <w:szCs w:val="22"/>
        </w:rPr>
        <w:t>dark orange</w:t>
      </w:r>
      <w:r w:rsidRPr="000F7E33">
        <w:rPr>
          <w:b/>
          <w:color w:val="000000"/>
          <w:sz w:val="22"/>
          <w:szCs w:val="22"/>
        </w:rPr>
        <w:t xml:space="preserve"> </w:t>
      </w:r>
      <w:r w:rsidRPr="000F7E33">
        <w:rPr>
          <w:color w:val="000000"/>
          <w:sz w:val="22"/>
          <w:szCs w:val="22"/>
        </w:rPr>
        <w:t>line for the first quartile</w:t>
      </w:r>
      <w:r w:rsidRPr="000F7E33">
        <w:rPr>
          <w:rStyle w:val="FootnoteReference"/>
          <w:color w:val="000000"/>
          <w:sz w:val="22"/>
          <w:szCs w:val="22"/>
        </w:rPr>
        <w:footnoteReference w:id="3"/>
      </w:r>
      <w:r w:rsidRPr="000F7E33">
        <w:rPr>
          <w:color w:val="000000"/>
          <w:sz w:val="22"/>
          <w:szCs w:val="22"/>
        </w:rPr>
        <w:t xml:space="preserve"> enrollment percentage of </w:t>
      </w:r>
      <w:r>
        <w:rPr>
          <w:color w:val="000000"/>
          <w:sz w:val="22"/>
          <w:szCs w:val="22"/>
        </w:rPr>
        <w:t>all</w:t>
      </w:r>
      <w:r w:rsidRPr="000F7E33">
        <w:rPr>
          <w:color w:val="000000"/>
          <w:sz w:val="22"/>
          <w:szCs w:val="22"/>
        </w:rPr>
        <w:t xml:space="preserve"> comparison </w:t>
      </w:r>
      <w:proofErr w:type="gramStart"/>
      <w:r w:rsidRPr="000F7E33">
        <w:rPr>
          <w:color w:val="000000"/>
          <w:sz w:val="22"/>
          <w:szCs w:val="22"/>
        </w:rPr>
        <w:t>schools;</w:t>
      </w:r>
      <w:proofErr w:type="gramEnd"/>
      <w:r w:rsidRPr="000F7E33">
        <w:rPr>
          <w:color w:val="000000"/>
          <w:sz w:val="22"/>
          <w:szCs w:val="22"/>
        </w:rPr>
        <w:t xml:space="preserve"> </w:t>
      </w:r>
    </w:p>
    <w:p w14:paraId="3EA71736" w14:textId="77777777" w:rsidR="00D43802" w:rsidRDefault="00D43802" w:rsidP="00D43802">
      <w:pPr>
        <w:pStyle w:val="ListParagraph"/>
        <w:numPr>
          <w:ilvl w:val="0"/>
          <w:numId w:val="1"/>
        </w:numPr>
        <w:ind w:left="900"/>
        <w:contextualSpacing/>
        <w:rPr>
          <w:color w:val="000000"/>
          <w:sz w:val="22"/>
          <w:szCs w:val="22"/>
        </w:rPr>
      </w:pPr>
      <w:r w:rsidRPr="000F7E33">
        <w:rPr>
          <w:color w:val="000000"/>
          <w:sz w:val="22"/>
          <w:szCs w:val="22"/>
        </w:rPr>
        <w:t xml:space="preserve">a dotted </w:t>
      </w:r>
      <w:r w:rsidRPr="000F7E33">
        <w:rPr>
          <w:b/>
          <w:color w:val="FF0000"/>
          <w:sz w:val="22"/>
          <w:szCs w:val="22"/>
        </w:rPr>
        <w:t>red</w:t>
      </w:r>
      <w:r w:rsidRPr="000F7E33">
        <w:rPr>
          <w:color w:val="000000"/>
          <w:sz w:val="22"/>
          <w:szCs w:val="22"/>
        </w:rPr>
        <w:t xml:space="preserve"> line for the comparison index</w:t>
      </w:r>
      <w:r w:rsidRPr="000F7E33">
        <w:rPr>
          <w:rStyle w:val="FootnoteReference"/>
          <w:color w:val="000000"/>
          <w:sz w:val="22"/>
          <w:szCs w:val="22"/>
        </w:rPr>
        <w:footnoteReference w:id="4"/>
      </w:r>
      <w:r w:rsidRPr="000F7E33">
        <w:rPr>
          <w:color w:val="000000"/>
          <w:sz w:val="22"/>
          <w:szCs w:val="22"/>
        </w:rPr>
        <w:t xml:space="preserve">; </w:t>
      </w:r>
    </w:p>
    <w:p w14:paraId="2B324D35" w14:textId="77777777" w:rsidR="00D43802" w:rsidRPr="000F7E33" w:rsidRDefault="00D43802" w:rsidP="00D43802">
      <w:pPr>
        <w:pStyle w:val="ListParagraph"/>
        <w:numPr>
          <w:ilvl w:val="0"/>
          <w:numId w:val="1"/>
        </w:numPr>
        <w:ind w:left="900"/>
        <w:contextualSpacing/>
        <w:rPr>
          <w:color w:val="000000"/>
          <w:sz w:val="22"/>
          <w:szCs w:val="22"/>
        </w:rPr>
      </w:pPr>
      <w:r>
        <w:rPr>
          <w:color w:val="000000"/>
          <w:sz w:val="22"/>
          <w:szCs w:val="22"/>
        </w:rPr>
        <w:t xml:space="preserve">a dotted </w:t>
      </w:r>
      <w:r w:rsidRPr="000A12C8">
        <w:rPr>
          <w:b/>
          <w:color w:val="D99594" w:themeColor="accent2" w:themeTint="99"/>
          <w:sz w:val="22"/>
          <w:szCs w:val="22"/>
        </w:rPr>
        <w:t>pink</w:t>
      </w:r>
      <w:r>
        <w:rPr>
          <w:color w:val="000000"/>
          <w:sz w:val="22"/>
          <w:szCs w:val="22"/>
        </w:rPr>
        <w:t xml:space="preserve"> line for the Gap Narrowing Target (GNT)</w:t>
      </w:r>
      <w:r>
        <w:rPr>
          <w:rStyle w:val="FootnoteReference"/>
          <w:color w:val="000000"/>
          <w:sz w:val="22"/>
          <w:szCs w:val="22"/>
        </w:rPr>
        <w:footnoteReference w:id="5"/>
      </w:r>
      <w:r>
        <w:rPr>
          <w:color w:val="000000"/>
          <w:sz w:val="22"/>
          <w:szCs w:val="22"/>
        </w:rPr>
        <w:t xml:space="preserve">; </w:t>
      </w:r>
      <w:r w:rsidRPr="000F7E33">
        <w:rPr>
          <w:color w:val="000000"/>
          <w:sz w:val="22"/>
          <w:szCs w:val="22"/>
        </w:rPr>
        <w:t>and</w:t>
      </w:r>
    </w:p>
    <w:p w14:paraId="43C8B4E2" w14:textId="77777777" w:rsidR="00D43802" w:rsidRPr="00EA2D1E" w:rsidRDefault="00D43802" w:rsidP="00D43802">
      <w:pPr>
        <w:pStyle w:val="ListParagraph"/>
        <w:numPr>
          <w:ilvl w:val="0"/>
          <w:numId w:val="1"/>
        </w:numPr>
        <w:spacing w:after="240"/>
        <w:ind w:left="907"/>
        <w:rPr>
          <w:color w:val="000000"/>
          <w:sz w:val="22"/>
          <w:szCs w:val="22"/>
        </w:rPr>
      </w:pPr>
      <w:r w:rsidRPr="000F7E33">
        <w:rPr>
          <w:sz w:val="22"/>
          <w:szCs w:val="22"/>
        </w:rPr>
        <w:t>solid</w:t>
      </w:r>
      <w:r>
        <w:rPr>
          <w:color w:val="BFBFBF" w:themeColor="background1" w:themeShade="BF"/>
          <w:sz w:val="22"/>
          <w:szCs w:val="22"/>
        </w:rPr>
        <w:t xml:space="preserve"> </w:t>
      </w:r>
      <w:r w:rsidRPr="00C8653A">
        <w:rPr>
          <w:b/>
          <w:color w:val="A6A6A6" w:themeColor="background1" w:themeShade="A6"/>
          <w:sz w:val="22"/>
          <w:szCs w:val="22"/>
        </w:rPr>
        <w:t>gray</w:t>
      </w:r>
      <w:r w:rsidRPr="000F7E33">
        <w:rPr>
          <w:color w:val="000000"/>
          <w:sz w:val="22"/>
          <w:szCs w:val="22"/>
        </w:rPr>
        <w:t xml:space="preserve"> lines for enrollment percentage in each individual comparison school (darker gray for charter schools, and lighter gray for district schools).</w:t>
      </w:r>
    </w:p>
    <w:p w14:paraId="05D018A6" w14:textId="77777777" w:rsidR="00D43802" w:rsidRDefault="00D43802" w:rsidP="00D43802">
      <w:pPr>
        <w:pBdr>
          <w:top w:val="single" w:sz="4" w:space="1" w:color="auto"/>
          <w:left w:val="single" w:sz="4" w:space="4" w:color="auto"/>
          <w:bottom w:val="single" w:sz="4" w:space="1" w:color="auto"/>
          <w:right w:val="single" w:sz="4" w:space="4" w:color="auto"/>
        </w:pBdr>
        <w:rPr>
          <w:color w:val="000000"/>
          <w:sz w:val="22"/>
          <w:szCs w:val="22"/>
        </w:rPr>
      </w:pPr>
      <w:r>
        <w:rPr>
          <w:b/>
        </w:rPr>
        <w:t xml:space="preserve"> </w:t>
      </w:r>
      <w:r w:rsidRPr="00E63522">
        <w:rPr>
          <w:b/>
        </w:rPr>
        <w:t xml:space="preserve">Student enrollment of </w:t>
      </w:r>
      <w:r>
        <w:rPr>
          <w:b/>
        </w:rPr>
        <w:t xml:space="preserve">two comparison </w:t>
      </w:r>
      <w:r w:rsidRPr="00E63522">
        <w:rPr>
          <w:b/>
        </w:rPr>
        <w:t>district</w:t>
      </w:r>
      <w:r>
        <w:rPr>
          <w:b/>
        </w:rPr>
        <w:t>s</w:t>
      </w:r>
      <w:r w:rsidRPr="00E63522">
        <w:rPr>
          <w:b/>
        </w:rPr>
        <w:t xml:space="preserve"> has been included in the analysis</w:t>
      </w:r>
      <w:r>
        <w:rPr>
          <w:b/>
        </w:rPr>
        <w:t xml:space="preserve"> due to Proven Provider requirements.</w:t>
      </w:r>
    </w:p>
    <w:p w14:paraId="1B4E43EA" w14:textId="77777777" w:rsidR="00D43802" w:rsidRDefault="00D43802" w:rsidP="00D43802">
      <w:pPr>
        <w:spacing w:after="240"/>
        <w:rPr>
          <w:sz w:val="22"/>
          <w:szCs w:val="22"/>
        </w:rPr>
      </w:pPr>
      <w:r>
        <w:rPr>
          <w:color w:val="000000"/>
          <w:sz w:val="22"/>
          <w:szCs w:val="22"/>
        </w:rPr>
        <w:lastRenderedPageBreak/>
        <w:t xml:space="preserve">Student </w:t>
      </w:r>
      <w:r w:rsidRPr="000F7E33">
        <w:rPr>
          <w:sz w:val="22"/>
          <w:szCs w:val="22"/>
        </w:rPr>
        <w:t>attrition rates</w:t>
      </w:r>
      <w:r w:rsidRPr="000F7E33">
        <w:rPr>
          <w:rStyle w:val="FootnoteReference"/>
          <w:sz w:val="22"/>
          <w:szCs w:val="22"/>
        </w:rPr>
        <w:footnoteReference w:id="6"/>
      </w:r>
      <w:r w:rsidRPr="000F7E33">
        <w:rPr>
          <w:sz w:val="22"/>
          <w:szCs w:val="22"/>
        </w:rPr>
        <w:t xml:space="preserve"> </w:t>
      </w:r>
      <w:r>
        <w:rPr>
          <w:sz w:val="22"/>
          <w:szCs w:val="22"/>
        </w:rPr>
        <w:t>are provided for all students and</w:t>
      </w:r>
      <w:r w:rsidRPr="000F7E33">
        <w:rPr>
          <w:sz w:val="22"/>
          <w:szCs w:val="22"/>
        </w:rPr>
        <w:t xml:space="preserve"> for the high needs</w:t>
      </w:r>
      <w:r w:rsidRPr="000F7E33">
        <w:rPr>
          <w:rStyle w:val="FootnoteReference"/>
          <w:sz w:val="22"/>
          <w:szCs w:val="22"/>
        </w:rPr>
        <w:footnoteReference w:id="7"/>
      </w:r>
      <w:r w:rsidRPr="000F7E33">
        <w:rPr>
          <w:sz w:val="22"/>
          <w:szCs w:val="22"/>
        </w:rPr>
        <w:t xml:space="preserve"> subgroup. Please note that district percentages are not included since attrition at the district-level cannot be reasonably compared to attrition at the school-level. </w:t>
      </w:r>
    </w:p>
    <w:p w14:paraId="249036E9" w14:textId="77777777" w:rsidR="00D43802" w:rsidRPr="00CB2813" w:rsidRDefault="00D43802" w:rsidP="00D43802">
      <w:pPr>
        <w:spacing w:after="240"/>
      </w:pPr>
      <w:r>
        <w:rPr>
          <w:sz w:val="22"/>
          <w:szCs w:val="22"/>
        </w:rPr>
        <w:t>The 5-year financial summary is intended to provide financial context for the charter school’s organizational viability. The definitions of the financial metrics displayed are provided with the summary.</w:t>
      </w:r>
    </w:p>
    <w:p w14:paraId="4B974663" w14:textId="77777777" w:rsidR="00731874" w:rsidRPr="00731874" w:rsidRDefault="00731874" w:rsidP="00D43802">
      <w:pPr>
        <w:rPr>
          <w:i/>
          <w:iCs/>
          <w:color w:val="000000"/>
          <w:sz w:val="22"/>
          <w:szCs w:val="22"/>
        </w:rPr>
      </w:pPr>
      <w:r w:rsidRPr="00731874">
        <w:rPr>
          <w:b/>
          <w:i/>
        </w:rPr>
        <w:t>I</w:t>
      </w:r>
      <w:r w:rsidR="00D43802" w:rsidRPr="00731874">
        <w:rPr>
          <w:b/>
          <w:i/>
        </w:rPr>
        <w:t>mportant Notes:</w:t>
      </w:r>
      <w:r w:rsidR="00D43802" w:rsidRPr="00731874">
        <w:rPr>
          <w:i/>
          <w:iCs/>
          <w:color w:val="000000"/>
          <w:sz w:val="22"/>
          <w:szCs w:val="22"/>
        </w:rPr>
        <w:t xml:space="preserve"> </w:t>
      </w:r>
    </w:p>
    <w:p w14:paraId="05741138" w14:textId="77777777" w:rsidR="00D43802" w:rsidRPr="00904753" w:rsidRDefault="00D43802" w:rsidP="00D43802">
      <w:pPr>
        <w:spacing w:after="240"/>
        <w:rPr>
          <w:iCs/>
          <w:color w:val="000000"/>
          <w:sz w:val="22"/>
          <w:szCs w:val="22"/>
        </w:rPr>
      </w:pPr>
      <w:r w:rsidRPr="00904753">
        <w:rPr>
          <w:iCs/>
          <w:color w:val="000000"/>
          <w:sz w:val="22"/>
          <w:szCs w:val="22"/>
        </w:rPr>
        <w:t xml:space="preserve">New statutory provisions related to Criterion 2 were established in 2010. </w:t>
      </w:r>
      <w:r w:rsidRPr="00904753">
        <w:rPr>
          <w:color w:val="000000"/>
          <w:sz w:val="22"/>
          <w:szCs w:val="22"/>
        </w:rPr>
        <w:t xml:space="preserve">Though comparisons of subgroup enrollment data in a charter school to that of other public schools in a geographic area can provide some information regarding comparability of student populations, it is presented for reference only and primarily to determine trends within the charter school itself and to guide further inquiry. The subgroup composition of a charter school is </w:t>
      </w:r>
      <w:r w:rsidRPr="00904753">
        <w:rPr>
          <w:color w:val="000000"/>
          <w:sz w:val="22"/>
          <w:szCs w:val="22"/>
          <w:u w:val="single"/>
        </w:rPr>
        <w:t>not</w:t>
      </w:r>
      <w:r w:rsidRPr="00904753">
        <w:rPr>
          <w:color w:val="000000"/>
          <w:sz w:val="22"/>
          <w:szCs w:val="22"/>
        </w:rPr>
        <w:t xml:space="preserve"> required to be a mirror image of the schools in its sending districts and region. The Department urges extreme caution in drawing any conclusions regarding comparability of subgroup populations between districts and schools based on aggregate statistics alone. Students choose to enroll or are assigned to the schools in a geographic region due to a variety of reasons and factors, including: the random lottery admissions requirement for charter schools, district assignment and programmatic placement decisions, parent choice, uneven distribution of families within a geographic region due to housing or wealth distribution patterns, and natural population variation, among many others. In specific caution should be used for special education enrollment data, as new research by Dr. Thomas Hehir (Harvard Graduate School of Education) and Associates </w:t>
      </w:r>
      <w:hyperlink r:id="rId14" w:history="1">
        <w:r w:rsidRPr="00D20FF4">
          <w:rPr>
            <w:rStyle w:val="Hyperlink"/>
            <w:sz w:val="22"/>
            <w:szCs w:val="22"/>
          </w:rPr>
          <w:t>(</w:t>
        </w:r>
        <w:r w:rsidRPr="00D20FF4">
          <w:rPr>
            <w:rStyle w:val="Hyperlink"/>
            <w:i/>
            <w:iCs/>
            <w:sz w:val="22"/>
            <w:szCs w:val="22"/>
          </w:rPr>
          <w:t>Review of Special Education in the Commonwealth of Massachusetts: A Synthesis Report (August 2014</w:t>
        </w:r>
        <w:r w:rsidRPr="00D20FF4">
          <w:rPr>
            <w:rStyle w:val="Hyperlink"/>
            <w:sz w:val="22"/>
            <w:szCs w:val="22"/>
          </w:rPr>
          <w:t>)</w:t>
        </w:r>
      </w:hyperlink>
      <w:r w:rsidRPr="00904753">
        <w:rPr>
          <w:color w:val="000000"/>
          <w:sz w:val="22"/>
          <w:szCs w:val="22"/>
        </w:rPr>
        <w:t xml:space="preserve"> found that low-income students were identified as eligible for special education services at substantially higher rates than non-low-income students and that across districts with similar demographic characteristics, district behavior differed for special education identification, placement, and performance. Finally, it is also important to note that it may take time for a charter school’s recruitment and retention efforts to be reflected in the aggregate demographic percentages given sibling preference for admission and a limited number of entry grades.</w:t>
      </w:r>
    </w:p>
    <w:p w14:paraId="50C54F3C" w14:textId="77777777" w:rsidR="00A12CF5" w:rsidRDefault="00D43802" w:rsidP="00526189">
      <w:pPr>
        <w:sectPr w:rsidR="00A12CF5" w:rsidSect="009330EE">
          <w:headerReference w:type="default" r:id="rId15"/>
          <w:footerReference w:type="default" r:id="rId16"/>
          <w:headerReference w:type="first" r:id="rId17"/>
          <w:footerReference w:type="first" r:id="rId18"/>
          <w:pgSz w:w="15840" w:h="12240" w:orient="landscape"/>
          <w:pgMar w:top="432" w:right="720" w:bottom="432" w:left="720" w:header="432" w:footer="432" w:gutter="0"/>
          <w:cols w:space="720"/>
          <w:docGrid w:linePitch="360"/>
        </w:sectPr>
      </w:pPr>
      <w:r w:rsidRPr="00904753">
        <w:rPr>
          <w:color w:val="000000"/>
          <w:sz w:val="22"/>
          <w:szCs w:val="22"/>
        </w:rPr>
        <w:t xml:space="preserve">Charter schools </w:t>
      </w:r>
      <w:r w:rsidRPr="00904753">
        <w:rPr>
          <w:color w:val="000000"/>
          <w:sz w:val="22"/>
          <w:szCs w:val="22"/>
          <w:u w:val="single"/>
        </w:rPr>
        <w:t>are</w:t>
      </w:r>
      <w:r w:rsidRPr="00904753">
        <w:rPr>
          <w:color w:val="000000"/>
          <w:sz w:val="22"/>
          <w:szCs w:val="22"/>
        </w:rPr>
        <w:t xml:space="preserve">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towards recruit and retain students in targeted subgroups, whether the school has enhanced its plan as necessary, and the annual attrition of students. </w:t>
      </w:r>
      <w:r w:rsidRPr="00904753">
        <w:rPr>
          <w:iCs/>
          <w:color w:val="000000"/>
          <w:sz w:val="22"/>
          <w:szCs w:val="22"/>
        </w:rPr>
        <w:t>As specified in regulation, charter schools were first required to implement recruitment and retention plans in 2011-2012. One of the Department’s key priorities with respect to charter schools is to continue to utilize new tools and processes for robustly assessing this criterion, and to support schools in meeting this criterion.</w:t>
      </w:r>
    </w:p>
    <w:p w14:paraId="3C7D8BFC" w14:textId="77777777" w:rsidR="008471F3" w:rsidRDefault="00BD1119" w:rsidP="003116C3">
      <w:pPr>
        <w:ind w:left="-180"/>
        <w:sectPr w:rsidR="008471F3" w:rsidSect="009330EE">
          <w:headerReference w:type="default" r:id="rId19"/>
          <w:pgSz w:w="15840" w:h="12240" w:orient="landscape"/>
          <w:pgMar w:top="432" w:right="720" w:bottom="432" w:left="720" w:header="432" w:footer="432" w:gutter="0"/>
          <w:cols w:space="720"/>
          <w:docGrid w:linePitch="360"/>
        </w:sectPr>
      </w:pPr>
      <w:r w:rsidRPr="00BD1119">
        <w:rPr>
          <w:noProof/>
          <w:lang w:eastAsia="zh-CN" w:bidi="km-KH"/>
        </w:rPr>
        <w:lastRenderedPageBreak/>
        <w:drawing>
          <wp:inline distT="0" distB="0" distL="0" distR="0" wp14:anchorId="502D04F5" wp14:editId="6A2409A3">
            <wp:extent cx="9144000" cy="5687570"/>
            <wp:effectExtent l="19050" t="0" r="0" b="0"/>
            <wp:docPr id="6" name="Picture 1" descr="Charter Accountability Table for Pioneer Valley Chinese Immersion Charter School. &#10;CHART can be assessed, here: http://www.doe.mass.edu/charter/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9144000" cy="5687570"/>
                    </a:xfrm>
                    <a:prstGeom prst="rect">
                      <a:avLst/>
                    </a:prstGeom>
                    <a:noFill/>
                    <a:ln w="9525">
                      <a:noFill/>
                      <a:miter lim="800000"/>
                      <a:headEnd/>
                      <a:tailEnd/>
                    </a:ln>
                  </pic:spPr>
                </pic:pic>
              </a:graphicData>
            </a:graphic>
          </wp:inline>
        </w:drawing>
      </w:r>
    </w:p>
    <w:p w14:paraId="37701E8F" w14:textId="77777777" w:rsidR="001A082D" w:rsidRDefault="00901134" w:rsidP="00764966">
      <w:pPr>
        <w:ind w:left="-90"/>
      </w:pPr>
      <w:r w:rsidRPr="00901134">
        <w:rPr>
          <w:noProof/>
          <w:lang w:eastAsia="zh-CN" w:bidi="km-KH"/>
        </w:rPr>
        <w:lastRenderedPageBreak/>
        <w:drawing>
          <wp:inline distT="0" distB="0" distL="0" distR="0" wp14:anchorId="03929BDE" wp14:editId="2A724B79">
            <wp:extent cx="9148701" cy="3586348"/>
            <wp:effectExtent l="19050" t="0" r="0" b="0"/>
            <wp:docPr id="2"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9150607" cy="3587095"/>
                    </a:xfrm>
                    <a:prstGeom prst="rect">
                      <a:avLst/>
                    </a:prstGeom>
                  </pic:spPr>
                </pic:pic>
              </a:graphicData>
            </a:graphic>
          </wp:inline>
        </w:drawing>
      </w:r>
      <w:r w:rsidRPr="00901134">
        <w:rPr>
          <w:noProof/>
          <w:lang w:eastAsia="zh-CN" w:bidi="km-KH"/>
        </w:rPr>
        <w:drawing>
          <wp:inline distT="0" distB="0" distL="0" distR="0" wp14:anchorId="7DC620CB" wp14:editId="34E502A9">
            <wp:extent cx="9148701" cy="3028208"/>
            <wp:effectExtent l="19050" t="0" r="0" b="0"/>
            <wp:docPr id="3"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174724" cy="3036821"/>
                    </a:xfrm>
                    <a:prstGeom prst="rect">
                      <a:avLst/>
                    </a:prstGeom>
                  </pic:spPr>
                </pic:pic>
              </a:graphicData>
            </a:graphic>
          </wp:inline>
        </w:drawing>
      </w:r>
    </w:p>
    <w:p w14:paraId="63512FE2" w14:textId="77777777" w:rsidR="00901134" w:rsidRDefault="00901134">
      <w:r w:rsidRPr="00901134">
        <w:rPr>
          <w:noProof/>
          <w:lang w:eastAsia="zh-CN" w:bidi="km-KH"/>
        </w:rPr>
        <w:lastRenderedPageBreak/>
        <w:drawing>
          <wp:inline distT="0" distB="0" distL="0" distR="0" wp14:anchorId="50A3CB0F" wp14:editId="36B1EB19">
            <wp:extent cx="9089319" cy="605642"/>
            <wp:effectExtent l="19050" t="0" r="0" b="0"/>
            <wp:docPr id="4"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091216" cy="605768"/>
                    </a:xfrm>
                    <a:prstGeom prst="rect">
                      <a:avLst/>
                    </a:prstGeom>
                  </pic:spPr>
                </pic:pic>
              </a:graphicData>
            </a:graphic>
          </wp:inline>
        </w:drawing>
      </w:r>
      <w:r w:rsidRPr="00901134">
        <w:rPr>
          <w:noProof/>
          <w:lang w:eastAsia="zh-CN" w:bidi="km-KH"/>
        </w:rPr>
        <w:drawing>
          <wp:inline distT="0" distB="0" distL="0" distR="0" wp14:anchorId="6294E018" wp14:editId="0465D389">
            <wp:extent cx="9089322" cy="2992581"/>
            <wp:effectExtent l="19050" t="0" r="0" b="0"/>
            <wp:docPr id="5"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9104318" cy="2997518"/>
                    </a:xfrm>
                    <a:prstGeom prst="rect">
                      <a:avLst/>
                    </a:prstGeom>
                  </pic:spPr>
                </pic:pic>
              </a:graphicData>
            </a:graphic>
          </wp:inline>
        </w:drawing>
      </w:r>
      <w:r w:rsidRPr="00901134">
        <w:rPr>
          <w:noProof/>
          <w:lang w:eastAsia="zh-CN" w:bidi="km-KH"/>
        </w:rPr>
        <w:drawing>
          <wp:inline distT="0" distB="0" distL="0" distR="0" wp14:anchorId="5170E7F0" wp14:editId="737ED2BA">
            <wp:extent cx="9089323" cy="3004457"/>
            <wp:effectExtent l="19050" t="0" r="0" b="0"/>
            <wp:docPr id="7"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9091216" cy="3005083"/>
                    </a:xfrm>
                    <a:prstGeom prst="rect">
                      <a:avLst/>
                    </a:prstGeom>
                  </pic:spPr>
                </pic:pic>
              </a:graphicData>
            </a:graphic>
          </wp:inline>
        </w:drawing>
      </w:r>
      <w:r>
        <w:br w:type="page"/>
      </w:r>
    </w:p>
    <w:p w14:paraId="3CA6EC6F" w14:textId="77777777" w:rsidR="00901134" w:rsidRDefault="00901134" w:rsidP="00901134">
      <w:pPr>
        <w:ind w:left="-90"/>
      </w:pPr>
      <w:r w:rsidRPr="00901134">
        <w:rPr>
          <w:noProof/>
          <w:lang w:eastAsia="zh-CN" w:bidi="km-KH"/>
        </w:rPr>
        <w:lastRenderedPageBreak/>
        <w:drawing>
          <wp:inline distT="0" distB="0" distL="0" distR="0" wp14:anchorId="63672307" wp14:editId="06B7AE52">
            <wp:extent cx="9187312" cy="3598223"/>
            <wp:effectExtent l="19050" t="0" r="0" b="0"/>
            <wp:docPr id="9"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9205604" cy="3605387"/>
                    </a:xfrm>
                    <a:prstGeom prst="rect">
                      <a:avLst/>
                    </a:prstGeom>
                  </pic:spPr>
                </pic:pic>
              </a:graphicData>
            </a:graphic>
          </wp:inline>
        </w:drawing>
      </w:r>
      <w:r w:rsidRPr="00901134">
        <w:rPr>
          <w:noProof/>
          <w:lang w:eastAsia="zh-CN" w:bidi="km-KH"/>
        </w:rPr>
        <w:drawing>
          <wp:inline distT="0" distB="0" distL="0" distR="0" wp14:anchorId="4FA72D0C" wp14:editId="5B77F41C">
            <wp:extent cx="9191757" cy="3051959"/>
            <wp:effectExtent l="19050" t="0" r="9393" b="0"/>
            <wp:docPr id="10"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9193670" cy="3052594"/>
                    </a:xfrm>
                    <a:prstGeom prst="rect">
                      <a:avLst/>
                    </a:prstGeom>
                  </pic:spPr>
                </pic:pic>
              </a:graphicData>
            </a:graphic>
          </wp:inline>
        </w:drawing>
      </w:r>
      <w:r w:rsidRPr="00901134">
        <w:rPr>
          <w:noProof/>
          <w:lang w:eastAsia="zh-CN" w:bidi="km-KH"/>
        </w:rPr>
        <w:lastRenderedPageBreak/>
        <w:drawing>
          <wp:inline distT="0" distB="0" distL="0" distR="0" wp14:anchorId="23DCAC57" wp14:editId="63CC5B19">
            <wp:extent cx="9184321" cy="522514"/>
            <wp:effectExtent l="19050" t="0" r="0" b="0"/>
            <wp:docPr id="11"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186239" cy="522623"/>
                    </a:xfrm>
                    <a:prstGeom prst="rect">
                      <a:avLst/>
                    </a:prstGeom>
                  </pic:spPr>
                </pic:pic>
              </a:graphicData>
            </a:graphic>
          </wp:inline>
        </w:drawing>
      </w:r>
      <w:r w:rsidRPr="00901134">
        <w:rPr>
          <w:noProof/>
          <w:lang w:eastAsia="zh-CN" w:bidi="km-KH"/>
        </w:rPr>
        <w:drawing>
          <wp:inline distT="0" distB="0" distL="0" distR="0" wp14:anchorId="31CFB197" wp14:editId="07DCA9BA">
            <wp:extent cx="9184327" cy="2861954"/>
            <wp:effectExtent l="19050" t="0" r="0" b="0"/>
            <wp:docPr id="12"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9186245" cy="2862552"/>
                    </a:xfrm>
                    <a:prstGeom prst="rect">
                      <a:avLst/>
                    </a:prstGeom>
                  </pic:spPr>
                </pic:pic>
              </a:graphicData>
            </a:graphic>
          </wp:inline>
        </w:drawing>
      </w:r>
    </w:p>
    <w:p w14:paraId="6AC93769" w14:textId="77777777" w:rsidR="00AA04B5" w:rsidRDefault="00901134" w:rsidP="0057555E">
      <w:pPr>
        <w:ind w:left="-90"/>
        <w:sectPr w:rsidR="00AA04B5" w:rsidSect="00292825">
          <w:headerReference w:type="default" r:id="rId29"/>
          <w:pgSz w:w="15840" w:h="12240" w:orient="landscape"/>
          <w:pgMar w:top="288" w:right="720" w:bottom="432" w:left="720" w:header="432" w:footer="432" w:gutter="0"/>
          <w:cols w:space="720"/>
          <w:docGrid w:linePitch="360"/>
        </w:sectPr>
      </w:pPr>
      <w:r w:rsidRPr="00901134">
        <w:rPr>
          <w:noProof/>
          <w:lang w:eastAsia="zh-CN" w:bidi="km-KH"/>
        </w:rPr>
        <w:drawing>
          <wp:inline distT="0" distB="0" distL="0" distR="0" wp14:anchorId="3767FD11" wp14:editId="2B644D5E">
            <wp:extent cx="9184326" cy="3218213"/>
            <wp:effectExtent l="19050" t="0" r="0" b="0"/>
            <wp:docPr id="14" name="Picture 1" descr="Charter Accountability Table for Pioneer Valley Chinese Immersion Charter School. Student Enrollment Demographic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9196712" cy="3222553"/>
                    </a:xfrm>
                    <a:prstGeom prst="rect">
                      <a:avLst/>
                    </a:prstGeom>
                  </pic:spPr>
                </pic:pic>
              </a:graphicData>
            </a:graphic>
          </wp:inline>
        </w:drawing>
      </w:r>
    </w:p>
    <w:p w14:paraId="445FB639" w14:textId="77777777" w:rsidR="0057555E" w:rsidRDefault="00B87005" w:rsidP="0057555E">
      <w:pPr>
        <w:ind w:left="-90"/>
      </w:pPr>
      <w:r w:rsidRPr="00B87005">
        <w:rPr>
          <w:noProof/>
          <w:lang w:eastAsia="zh-CN" w:bidi="km-KH"/>
        </w:rPr>
        <w:lastRenderedPageBreak/>
        <w:drawing>
          <wp:inline distT="0" distB="0" distL="0" distR="0" wp14:anchorId="41F8E0F8" wp14:editId="03DB716D">
            <wp:extent cx="9201092" cy="6602681"/>
            <wp:effectExtent l="19050" t="0" r="58" b="0"/>
            <wp:docPr id="20" name="Picture 1" descr="Charter Accountability Table for Pioneer Valley Chinese Immersion Charter School. Student Attrition Data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9204179" cy="6604896"/>
                    </a:xfrm>
                    <a:prstGeom prst="rect">
                      <a:avLst/>
                    </a:prstGeom>
                  </pic:spPr>
                </pic:pic>
              </a:graphicData>
            </a:graphic>
          </wp:inline>
        </w:drawing>
      </w:r>
    </w:p>
    <w:p w14:paraId="26DE84F2" w14:textId="77777777" w:rsidR="0057555E" w:rsidRDefault="0057555E" w:rsidP="0057555E">
      <w:pPr>
        <w:ind w:left="-90"/>
        <w:sectPr w:rsidR="0057555E" w:rsidSect="00AA04B5">
          <w:headerReference w:type="default" r:id="rId32"/>
          <w:type w:val="continuous"/>
          <w:pgSz w:w="15840" w:h="12240" w:orient="landscape"/>
          <w:pgMar w:top="288" w:right="720" w:bottom="432" w:left="720" w:header="432" w:footer="432" w:gutter="0"/>
          <w:cols w:space="720"/>
          <w:docGrid w:linePitch="360"/>
        </w:sectPr>
      </w:pPr>
    </w:p>
    <w:p w14:paraId="419F0265" w14:textId="77777777" w:rsidR="00624885" w:rsidRDefault="00DB15C0" w:rsidP="009330EE">
      <w:pPr>
        <w:sectPr w:rsidR="00624885" w:rsidSect="00292825">
          <w:headerReference w:type="default" r:id="rId33"/>
          <w:pgSz w:w="15840" w:h="12240" w:orient="landscape"/>
          <w:pgMar w:top="288" w:right="720" w:bottom="432" w:left="720" w:header="432" w:footer="432" w:gutter="0"/>
          <w:cols w:space="720"/>
          <w:docGrid w:linePitch="360"/>
        </w:sectPr>
      </w:pPr>
      <w:r w:rsidRPr="00DB15C0">
        <w:rPr>
          <w:noProof/>
          <w:lang w:eastAsia="zh-CN" w:bidi="km-KH"/>
        </w:rPr>
        <w:lastRenderedPageBreak/>
        <w:drawing>
          <wp:inline distT="0" distB="0" distL="0" distR="0" wp14:anchorId="149B0238" wp14:editId="19B0EAD9">
            <wp:extent cx="9148700" cy="6638307"/>
            <wp:effectExtent l="19050" t="0" r="0" b="0"/>
            <wp:docPr id="13" name="Picture 1" descr="Charter Accountability Table for Pioneer Valley Chinese Immersion Charter School. Financial Dashboard&#10;CHART can be assessed, here: http://www.doe.mass.edu/charter/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9144000" cy="6634897"/>
                    </a:xfrm>
                    <a:prstGeom prst="rect">
                      <a:avLst/>
                    </a:prstGeom>
                    <a:noFill/>
                    <a:ln w="9525">
                      <a:noFill/>
                      <a:miter lim="800000"/>
                      <a:headEnd/>
                      <a:tailEnd/>
                    </a:ln>
                  </pic:spPr>
                </pic:pic>
              </a:graphicData>
            </a:graphic>
          </wp:inline>
        </w:drawing>
      </w:r>
      <w:r w:rsidR="000E09AF" w:rsidRPr="000E09AF">
        <w:rPr>
          <w:noProof/>
          <w:lang w:eastAsia="zh-CN" w:bidi="km-KH"/>
        </w:rPr>
        <w:lastRenderedPageBreak/>
        <w:drawing>
          <wp:inline distT="0" distB="0" distL="0" distR="0" wp14:anchorId="332E4BC4" wp14:editId="121D7C3E">
            <wp:extent cx="9137596" cy="6590805"/>
            <wp:effectExtent l="19050" t="0" r="6404" b="0"/>
            <wp:docPr id="1" name="Picture 1" descr="Charter Accountability Table for Pioneer Valley Chinese Immersion Charter School. Financial Dashboard &#10;CHART can be assessed, here: http://www.doe.mass.edu/charter/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9144000" cy="6595424"/>
                    </a:xfrm>
                    <a:prstGeom prst="rect">
                      <a:avLst/>
                    </a:prstGeom>
                    <a:noFill/>
                    <a:ln w="9525">
                      <a:noFill/>
                      <a:miter lim="800000"/>
                      <a:headEnd/>
                      <a:tailEnd/>
                    </a:ln>
                  </pic:spPr>
                </pic:pic>
              </a:graphicData>
            </a:graphic>
          </wp:inline>
        </w:drawing>
      </w:r>
    </w:p>
    <w:p w14:paraId="0C2BA54D" w14:textId="77777777" w:rsidR="00624885" w:rsidRDefault="00624885"/>
    <w:p w14:paraId="01712ED4" w14:textId="77777777" w:rsidR="00D43802" w:rsidRPr="00BE45A9" w:rsidRDefault="00D43802" w:rsidP="00D43802">
      <w:pPr>
        <w:pBdr>
          <w:top w:val="single" w:sz="4" w:space="1" w:color="auto"/>
          <w:left w:val="single" w:sz="4" w:space="4" w:color="auto"/>
          <w:bottom w:val="single" w:sz="4" w:space="1" w:color="auto"/>
          <w:right w:val="single" w:sz="4" w:space="4" w:color="auto"/>
        </w:pBdr>
        <w:rPr>
          <w:color w:val="000000"/>
          <w:sz w:val="22"/>
          <w:szCs w:val="22"/>
        </w:rPr>
      </w:pPr>
      <w:r>
        <w:rPr>
          <w:b/>
          <w:i/>
          <w:u w:val="single"/>
        </w:rPr>
        <w:t>Important Note:</w:t>
      </w:r>
      <w:r>
        <w:rPr>
          <w:b/>
        </w:rPr>
        <w:t xml:space="preserve"> The request involves two districts identified as performing in the lowest 10 percent. The relevant data of each district has been included in the Proven Provider analysis.</w:t>
      </w:r>
    </w:p>
    <w:p w14:paraId="6E1E22CD" w14:textId="77777777" w:rsidR="00D43802" w:rsidRDefault="00D43802" w:rsidP="00D43802">
      <w:pPr>
        <w:rPr>
          <w:b/>
          <w:i/>
          <w:u w:val="single"/>
        </w:rPr>
      </w:pPr>
    </w:p>
    <w:p w14:paraId="1529FDA0" w14:textId="77777777" w:rsidR="00D43802" w:rsidRPr="00212BC8" w:rsidRDefault="00D43802" w:rsidP="00D43802">
      <w:pPr>
        <w:rPr>
          <w:b/>
          <w:i/>
          <w:u w:val="single"/>
        </w:rPr>
      </w:pPr>
      <w:r w:rsidRPr="00212BC8">
        <w:rPr>
          <w:b/>
          <w:i/>
          <w:u w:val="single"/>
        </w:rPr>
        <w:t>Proven Provider Context:</w:t>
      </w:r>
    </w:p>
    <w:p w14:paraId="06F39867" w14:textId="77777777" w:rsidR="00D43802" w:rsidRPr="0043421E" w:rsidRDefault="00D43802" w:rsidP="00D43802">
      <w:pPr>
        <w:rPr>
          <w:color w:val="000000"/>
          <w:sz w:val="22"/>
        </w:rPr>
      </w:pPr>
      <w:r w:rsidRPr="0043421E">
        <w:rPr>
          <w:color w:val="000000"/>
          <w:sz w:val="22"/>
        </w:rPr>
        <w:t xml:space="preserve">Charter school boards of trustees must be granted Proven Provider status when requesting to increase the maximum enrollment of an existing Commonwealth charter school </w:t>
      </w:r>
      <w:r w:rsidRPr="0043421E">
        <w:rPr>
          <w:b/>
          <w:color w:val="000000"/>
          <w:sz w:val="22"/>
          <w:u w:val="single"/>
        </w:rPr>
        <w:t>if</w:t>
      </w:r>
      <w:r w:rsidRPr="0043421E">
        <w:rPr>
          <w:color w:val="000000"/>
          <w:sz w:val="22"/>
        </w:rPr>
        <w:t xml:space="preserve"> the sending region includes district(s) that have performed in the lowest 10 percent statewide for two consecutive previous years on the </w:t>
      </w:r>
      <w:r>
        <w:rPr>
          <w:color w:val="000000"/>
          <w:sz w:val="22"/>
        </w:rPr>
        <w:t xml:space="preserve">MCAS </w:t>
      </w:r>
      <w:r w:rsidRPr="0043421E">
        <w:rPr>
          <w:b/>
          <w:color w:val="000000"/>
          <w:sz w:val="22"/>
          <w:u w:val="single"/>
        </w:rPr>
        <w:t>and</w:t>
      </w:r>
      <w:r w:rsidRPr="0043421E">
        <w:rPr>
          <w:color w:val="000000"/>
          <w:sz w:val="22"/>
        </w:rPr>
        <w:t xml:space="preserve"> where the 9 percent net school spending cap </w:t>
      </w:r>
      <w:r w:rsidRPr="0043421E">
        <w:rPr>
          <w:i/>
          <w:color w:val="000000"/>
          <w:sz w:val="22"/>
        </w:rPr>
        <w:t>has been, or would be exceeded</w:t>
      </w:r>
      <w:r w:rsidRPr="0043421E">
        <w:rPr>
          <w:color w:val="000000"/>
          <w:sz w:val="22"/>
        </w:rPr>
        <w:t>.</w:t>
      </w:r>
    </w:p>
    <w:p w14:paraId="4A2A6083" w14:textId="77777777" w:rsidR="00D43802" w:rsidRPr="004E1F25" w:rsidRDefault="00D43802" w:rsidP="00D43802">
      <w:pPr>
        <w:spacing w:after="40"/>
        <w:rPr>
          <w:sz w:val="12"/>
        </w:rPr>
      </w:pPr>
    </w:p>
    <w:p w14:paraId="56C56B2A" w14:textId="77777777" w:rsidR="00D43802" w:rsidRPr="0043421E" w:rsidRDefault="00D43802" w:rsidP="00D43802">
      <w:pPr>
        <w:spacing w:after="80"/>
        <w:rPr>
          <w:sz w:val="22"/>
        </w:rPr>
      </w:pPr>
      <w:r w:rsidRPr="0043421E">
        <w:rPr>
          <w:sz w:val="22"/>
        </w:rPr>
        <w:t>In order to determine if a current board of trustees qualifies for Proven Provider status, the Commissioner will consider affirmative, credible evidence of the existing school's success in each of the three accountability areas: academic program success, organizational viability, and faithfulness to the terms of its charter.</w:t>
      </w:r>
      <w:r w:rsidRPr="0043421E" w:rsidDel="00B80B1C">
        <w:rPr>
          <w:sz w:val="22"/>
        </w:rPr>
        <w:t xml:space="preserve"> </w:t>
      </w:r>
      <w:r w:rsidRPr="0043421E">
        <w:rPr>
          <w:sz w:val="22"/>
        </w:rPr>
        <w:t xml:space="preserve">Pursuant to </w:t>
      </w:r>
      <w:hyperlink r:id="rId36" w:history="1">
        <w:r>
          <w:rPr>
            <w:rStyle w:val="Hyperlink"/>
            <w:sz w:val="22"/>
          </w:rPr>
          <w:t>603 CMR 1.04(4)(b)</w:t>
        </w:r>
      </w:hyperlink>
      <w:r w:rsidRPr="0043421E">
        <w:rPr>
          <w:sz w:val="22"/>
        </w:rPr>
        <w:t xml:space="preserve">, applicants for Proven Provider status must </w:t>
      </w:r>
      <w:r>
        <w:rPr>
          <w:sz w:val="22"/>
        </w:rPr>
        <w:t>demonstrate</w:t>
      </w:r>
      <w:r w:rsidRPr="0043421E">
        <w:rPr>
          <w:sz w:val="22"/>
        </w:rPr>
        <w:t xml:space="preserve"> success in student academic performance and evidence of overall academic program success</w:t>
      </w:r>
      <w:r>
        <w:rPr>
          <w:sz w:val="22"/>
        </w:rPr>
        <w:t>, including, but not limited to</w:t>
      </w:r>
      <w:r w:rsidRPr="0043421E">
        <w:rPr>
          <w:sz w:val="22"/>
        </w:rPr>
        <w:t>:</w:t>
      </w:r>
    </w:p>
    <w:p w14:paraId="6EAD0179" w14:textId="77777777" w:rsidR="00D43802" w:rsidRPr="0043421E" w:rsidRDefault="00D43802" w:rsidP="00D43802">
      <w:pPr>
        <w:pStyle w:val="ListParagraph"/>
        <w:numPr>
          <w:ilvl w:val="0"/>
          <w:numId w:val="2"/>
        </w:numPr>
        <w:ind w:left="720"/>
        <w:rPr>
          <w:sz w:val="22"/>
        </w:rPr>
      </w:pPr>
      <w:r>
        <w:rPr>
          <w:sz w:val="22"/>
          <w:szCs w:val="22"/>
        </w:rPr>
        <w:t>p</w:t>
      </w:r>
      <w:r w:rsidRPr="00A811B4">
        <w:rPr>
          <w:sz w:val="22"/>
          <w:szCs w:val="22"/>
        </w:rPr>
        <w:t xml:space="preserve">roficiency levels and growth measures on the </w:t>
      </w:r>
      <w:r>
        <w:rPr>
          <w:sz w:val="22"/>
          <w:szCs w:val="22"/>
        </w:rPr>
        <w:t>MCAS</w:t>
      </w:r>
      <w:r w:rsidRPr="00A811B4">
        <w:rPr>
          <w:sz w:val="22"/>
          <w:szCs w:val="22"/>
        </w:rPr>
        <w:t xml:space="preserve"> or equivalent assessments for all students and for one or more targeted subgroups as defined in </w:t>
      </w:r>
      <w:hyperlink r:id="rId37" w:history="1">
        <w:r w:rsidRPr="00A750CA">
          <w:rPr>
            <w:rStyle w:val="Hyperlink"/>
            <w:sz w:val="22"/>
            <w:szCs w:val="22"/>
          </w:rPr>
          <w:t>M.G.L. c. 71, § 89(i)(3)</w:t>
        </w:r>
      </w:hyperlink>
      <w:r>
        <w:rPr>
          <w:sz w:val="22"/>
          <w:szCs w:val="22"/>
        </w:rPr>
        <w:t xml:space="preserve">, </w:t>
      </w:r>
      <w:r w:rsidRPr="00A811B4">
        <w:rPr>
          <w:sz w:val="22"/>
          <w:szCs w:val="22"/>
        </w:rPr>
        <w:t xml:space="preserve">which are similar to statewide averages in English Language Arts and mathematics for all students in Massachusetts in comparable grades, over no less than a three-year period for cohorts of students; </w:t>
      </w:r>
      <w:r w:rsidRPr="0043421E">
        <w:rPr>
          <w:sz w:val="22"/>
        </w:rPr>
        <w:t>and</w:t>
      </w:r>
    </w:p>
    <w:p w14:paraId="7E1E6947" w14:textId="77777777" w:rsidR="00D43802" w:rsidRPr="00B20CE7" w:rsidRDefault="00D43802" w:rsidP="00D43802">
      <w:pPr>
        <w:pStyle w:val="ListParagraph"/>
        <w:numPr>
          <w:ilvl w:val="0"/>
          <w:numId w:val="2"/>
        </w:numPr>
        <w:spacing w:after="120"/>
        <w:ind w:left="720"/>
      </w:pPr>
      <w:r w:rsidRPr="0043421E">
        <w:rPr>
          <w:sz w:val="22"/>
        </w:rPr>
        <w:t xml:space="preserve">attendance, retention, attrition, in-school suspension rates, out-of-school suspension rates, and if applicable, graduation and dropout data. </w:t>
      </w:r>
    </w:p>
    <w:p w14:paraId="6FB9BF67" w14:textId="77777777" w:rsidR="00D43802" w:rsidRDefault="00D43802" w:rsidP="00D43802">
      <w:pPr>
        <w:spacing w:after="240"/>
        <w:contextualSpacing/>
        <w:rPr>
          <w:b/>
          <w:i/>
          <w:u w:val="single"/>
        </w:rPr>
      </w:pPr>
    </w:p>
    <w:p w14:paraId="43F0C0F0" w14:textId="77777777" w:rsidR="00D43802" w:rsidRPr="00B20CE7" w:rsidRDefault="00D43802" w:rsidP="00D43802">
      <w:pPr>
        <w:spacing w:after="240"/>
        <w:contextualSpacing/>
        <w:rPr>
          <w:b/>
          <w:i/>
          <w:u w:val="single"/>
        </w:rPr>
      </w:pPr>
      <w:r w:rsidRPr="00B20CE7">
        <w:rPr>
          <w:b/>
          <w:i/>
          <w:u w:val="single"/>
        </w:rPr>
        <w:t>Proven Provider Analysis Graphs:</w:t>
      </w:r>
    </w:p>
    <w:p w14:paraId="06268E09" w14:textId="77777777" w:rsidR="00D43802" w:rsidRPr="000F7E33" w:rsidRDefault="00D43802" w:rsidP="00D43802">
      <w:pPr>
        <w:spacing w:after="80"/>
        <w:rPr>
          <w:color w:val="000000"/>
          <w:sz w:val="22"/>
          <w:szCs w:val="22"/>
        </w:rPr>
      </w:pPr>
      <w:r w:rsidRPr="000F7E33">
        <w:rPr>
          <w:color w:val="000000"/>
          <w:sz w:val="22"/>
          <w:szCs w:val="22"/>
        </w:rPr>
        <w:t xml:space="preserve">The graphs </w:t>
      </w:r>
      <w:r>
        <w:rPr>
          <w:color w:val="000000"/>
          <w:sz w:val="22"/>
          <w:szCs w:val="22"/>
        </w:rPr>
        <w:t xml:space="preserve">of student achievement data </w:t>
      </w:r>
      <w:r w:rsidRPr="000F7E33">
        <w:rPr>
          <w:color w:val="000000"/>
          <w:sz w:val="22"/>
          <w:szCs w:val="22"/>
        </w:rPr>
        <w:t xml:space="preserve">provide comparison </w:t>
      </w:r>
      <w:r>
        <w:rPr>
          <w:color w:val="000000"/>
          <w:sz w:val="22"/>
          <w:szCs w:val="22"/>
        </w:rPr>
        <w:t>performance</w:t>
      </w:r>
      <w:r w:rsidRPr="000F7E33">
        <w:rPr>
          <w:color w:val="000000"/>
          <w:sz w:val="22"/>
          <w:szCs w:val="22"/>
        </w:rPr>
        <w:t xml:space="preserve"> percentages for </w:t>
      </w:r>
      <w:r>
        <w:rPr>
          <w:color w:val="000000"/>
          <w:sz w:val="22"/>
          <w:szCs w:val="22"/>
        </w:rPr>
        <w:t>all students and three</w:t>
      </w:r>
      <w:r w:rsidRPr="000F7E33">
        <w:rPr>
          <w:color w:val="000000"/>
          <w:sz w:val="22"/>
          <w:szCs w:val="22"/>
        </w:rPr>
        <w:t xml:space="preserve"> different subgroups of students: </w:t>
      </w:r>
      <w:r>
        <w:rPr>
          <w:color w:val="000000"/>
          <w:sz w:val="22"/>
          <w:szCs w:val="22"/>
        </w:rPr>
        <w:t xml:space="preserve">low income, students with disabilities, and </w:t>
      </w:r>
      <w:r w:rsidRPr="000F7E33">
        <w:rPr>
          <w:color w:val="000000"/>
          <w:sz w:val="22"/>
          <w:szCs w:val="22"/>
        </w:rPr>
        <w:t xml:space="preserve">English language learners. Each line on the graph represents the </w:t>
      </w:r>
      <w:r>
        <w:rPr>
          <w:color w:val="000000"/>
          <w:sz w:val="22"/>
          <w:szCs w:val="22"/>
        </w:rPr>
        <w:t xml:space="preserve">student proficiency levels and growth measure levels on the MCAS English Language Arts and mathematics tests </w:t>
      </w:r>
      <w:r w:rsidRPr="000F7E33">
        <w:rPr>
          <w:color w:val="000000"/>
          <w:sz w:val="22"/>
          <w:szCs w:val="22"/>
        </w:rPr>
        <w:t xml:space="preserve">for a given </w:t>
      </w:r>
      <w:r>
        <w:rPr>
          <w:color w:val="000000"/>
          <w:sz w:val="22"/>
          <w:szCs w:val="22"/>
        </w:rPr>
        <w:t xml:space="preserve">school or set of schools during the most recent five years. The state and district averages in the following graphs do not represent the overall average of the state or relevant district. The Department calculates state and district averages for comparable grades by identifying and averaging the specific grades implemented by the charter school of interest during each relevant year. </w:t>
      </w:r>
      <w:r w:rsidRPr="000F7E33">
        <w:rPr>
          <w:color w:val="000000"/>
          <w:sz w:val="22"/>
          <w:szCs w:val="22"/>
        </w:rPr>
        <w:t>All data displayed in these graphs is derived from ESE District and School Profiles (</w:t>
      </w:r>
      <w:hyperlink r:id="rId38" w:tgtFrame="_blank" w:history="1">
        <w:r w:rsidRPr="000F7E33">
          <w:rPr>
            <w:rStyle w:val="hyperlinkchar"/>
            <w:color w:val="0000FF"/>
            <w:sz w:val="22"/>
            <w:szCs w:val="22"/>
            <w:u w:val="single"/>
          </w:rPr>
          <w:t>http://profiles.doe.mass.edu/</w:t>
        </w:r>
      </w:hyperlink>
      <w:r w:rsidRPr="000F7E33">
        <w:rPr>
          <w:color w:val="000000"/>
          <w:sz w:val="22"/>
          <w:szCs w:val="22"/>
        </w:rPr>
        <w:t>)</w:t>
      </w:r>
      <w:r>
        <w:rPr>
          <w:color w:val="000000"/>
          <w:sz w:val="22"/>
          <w:szCs w:val="22"/>
        </w:rPr>
        <w:t xml:space="preserve">. </w:t>
      </w:r>
      <w:r w:rsidRPr="000F7E33">
        <w:rPr>
          <w:color w:val="000000"/>
          <w:sz w:val="22"/>
          <w:szCs w:val="22"/>
        </w:rPr>
        <w:t xml:space="preserve">If available, data is displayed longitudinally across </w:t>
      </w:r>
      <w:r w:rsidRPr="000F7E33">
        <w:rPr>
          <w:sz w:val="22"/>
          <w:szCs w:val="22"/>
        </w:rPr>
        <w:t>multiple</w:t>
      </w:r>
      <w:r w:rsidRPr="000F7E33">
        <w:rPr>
          <w:color w:val="000000"/>
          <w:sz w:val="22"/>
          <w:szCs w:val="22"/>
        </w:rPr>
        <w:t xml:space="preserve"> years in line graph form, with: </w:t>
      </w:r>
    </w:p>
    <w:p w14:paraId="10239064" w14:textId="77777777" w:rsidR="00D43802" w:rsidRPr="000F7E33" w:rsidRDefault="00D43802" w:rsidP="00D43802">
      <w:pPr>
        <w:pStyle w:val="ListParagraph"/>
        <w:numPr>
          <w:ilvl w:val="0"/>
          <w:numId w:val="1"/>
        </w:numPr>
        <w:ind w:left="900"/>
        <w:contextualSpacing/>
        <w:rPr>
          <w:color w:val="000000"/>
          <w:sz w:val="22"/>
          <w:szCs w:val="22"/>
        </w:rPr>
      </w:pPr>
      <w:r w:rsidRPr="000F7E33">
        <w:rPr>
          <w:sz w:val="22"/>
          <w:szCs w:val="22"/>
        </w:rPr>
        <w:t xml:space="preserve">a solid </w:t>
      </w:r>
      <w:r w:rsidRPr="000F7E33">
        <w:rPr>
          <w:b/>
          <w:sz w:val="22"/>
          <w:szCs w:val="22"/>
        </w:rPr>
        <w:t>bold black</w:t>
      </w:r>
      <w:r w:rsidRPr="000F7E33">
        <w:rPr>
          <w:color w:val="1F497D" w:themeColor="dark2"/>
          <w:sz w:val="22"/>
          <w:szCs w:val="22"/>
        </w:rPr>
        <w:t xml:space="preserve"> </w:t>
      </w:r>
      <w:r w:rsidRPr="000F7E33">
        <w:rPr>
          <w:color w:val="000000"/>
          <w:sz w:val="22"/>
          <w:szCs w:val="22"/>
        </w:rPr>
        <w:t xml:space="preserve">line representing the charter school of </w:t>
      </w:r>
      <w:proofErr w:type="gramStart"/>
      <w:r w:rsidRPr="000F7E33">
        <w:rPr>
          <w:color w:val="000000"/>
          <w:sz w:val="22"/>
          <w:szCs w:val="22"/>
        </w:rPr>
        <w:t>interest;</w:t>
      </w:r>
      <w:proofErr w:type="gramEnd"/>
    </w:p>
    <w:p w14:paraId="3F670ABE" w14:textId="77777777" w:rsidR="00D43802" w:rsidRDefault="00D43802" w:rsidP="00D43802">
      <w:pPr>
        <w:pStyle w:val="ListParagraph"/>
        <w:numPr>
          <w:ilvl w:val="0"/>
          <w:numId w:val="1"/>
        </w:numPr>
        <w:ind w:left="900"/>
        <w:contextualSpacing/>
        <w:rPr>
          <w:color w:val="000000"/>
          <w:sz w:val="22"/>
          <w:szCs w:val="22"/>
        </w:rPr>
      </w:pPr>
      <w:r>
        <w:rPr>
          <w:sz w:val="22"/>
          <w:szCs w:val="22"/>
        </w:rPr>
        <w:t>a dotted</w:t>
      </w:r>
      <w:r w:rsidRPr="000F7E33">
        <w:rPr>
          <w:sz w:val="22"/>
          <w:szCs w:val="22"/>
        </w:rPr>
        <w:t xml:space="preserve"> </w:t>
      </w:r>
      <w:r w:rsidRPr="000F7E33">
        <w:rPr>
          <w:b/>
          <w:color w:val="92D050"/>
          <w:sz w:val="22"/>
          <w:szCs w:val="22"/>
        </w:rPr>
        <w:t>green</w:t>
      </w:r>
      <w:r w:rsidRPr="000F7E33">
        <w:rPr>
          <w:color w:val="000000"/>
          <w:sz w:val="22"/>
          <w:szCs w:val="22"/>
        </w:rPr>
        <w:t xml:space="preserve"> line for the statewide average</w:t>
      </w:r>
      <w:r>
        <w:rPr>
          <w:color w:val="000000"/>
          <w:sz w:val="22"/>
          <w:szCs w:val="22"/>
        </w:rPr>
        <w:t xml:space="preserve"> for comparable grades</w:t>
      </w:r>
      <w:r>
        <w:rPr>
          <w:rStyle w:val="FootnoteReference"/>
          <w:color w:val="000000"/>
          <w:sz w:val="22"/>
          <w:szCs w:val="22"/>
        </w:rPr>
        <w:footnoteReference w:id="8"/>
      </w:r>
      <w:r w:rsidRPr="000F7E33">
        <w:rPr>
          <w:color w:val="000000"/>
          <w:sz w:val="22"/>
          <w:szCs w:val="22"/>
        </w:rPr>
        <w:t>;</w:t>
      </w:r>
    </w:p>
    <w:p w14:paraId="6F1400A0" w14:textId="77777777" w:rsidR="00D43802" w:rsidRPr="00BE45A9" w:rsidRDefault="00D43802" w:rsidP="00D43802">
      <w:pPr>
        <w:pStyle w:val="ListParagraph"/>
        <w:numPr>
          <w:ilvl w:val="0"/>
          <w:numId w:val="1"/>
        </w:numPr>
        <w:ind w:left="900"/>
        <w:contextualSpacing/>
        <w:rPr>
          <w:color w:val="000000"/>
          <w:sz w:val="22"/>
          <w:szCs w:val="22"/>
        </w:rPr>
      </w:pPr>
      <w:r>
        <w:rPr>
          <w:sz w:val="22"/>
          <w:szCs w:val="22"/>
        </w:rPr>
        <w:t xml:space="preserve">a dotted </w:t>
      </w:r>
      <w:r w:rsidRPr="003116C3">
        <w:rPr>
          <w:b/>
          <w:color w:val="365F91" w:themeColor="accent1" w:themeShade="BF"/>
          <w:sz w:val="22"/>
          <w:szCs w:val="22"/>
        </w:rPr>
        <w:t>blue</w:t>
      </w:r>
      <w:r>
        <w:rPr>
          <w:sz w:val="22"/>
          <w:szCs w:val="22"/>
        </w:rPr>
        <w:t xml:space="preserve"> line for the comparison district average for comparable grades (current or </w:t>
      </w:r>
      <w:r w:rsidRPr="00513F46">
        <w:rPr>
          <w:b/>
          <w:sz w:val="22"/>
          <w:szCs w:val="22"/>
        </w:rPr>
        <w:t>proposed</w:t>
      </w:r>
      <w:r>
        <w:rPr>
          <w:sz w:val="22"/>
          <w:szCs w:val="22"/>
        </w:rPr>
        <w:t xml:space="preserve"> district, as applicable</w:t>
      </w:r>
      <w:proofErr w:type="gramStart"/>
      <w:r>
        <w:rPr>
          <w:sz w:val="22"/>
          <w:szCs w:val="22"/>
        </w:rPr>
        <w:t>);</w:t>
      </w:r>
      <w:proofErr w:type="gramEnd"/>
    </w:p>
    <w:p w14:paraId="6D68DFA7" w14:textId="77777777" w:rsidR="00D43802" w:rsidRPr="000F7E33" w:rsidRDefault="00D43802" w:rsidP="00D43802">
      <w:pPr>
        <w:pStyle w:val="ListParagraph"/>
        <w:numPr>
          <w:ilvl w:val="0"/>
          <w:numId w:val="1"/>
        </w:numPr>
        <w:ind w:left="900"/>
        <w:contextualSpacing/>
        <w:rPr>
          <w:color w:val="000000"/>
          <w:sz w:val="22"/>
          <w:szCs w:val="22"/>
        </w:rPr>
      </w:pPr>
      <w:r w:rsidRPr="000F7E33">
        <w:rPr>
          <w:color w:val="000000"/>
          <w:sz w:val="22"/>
          <w:szCs w:val="22"/>
        </w:rPr>
        <w:t>a dotted</w:t>
      </w:r>
      <w:r w:rsidRPr="000F7E33">
        <w:rPr>
          <w:b/>
          <w:color w:val="FFC000"/>
          <w:sz w:val="22"/>
          <w:szCs w:val="22"/>
        </w:rPr>
        <w:t xml:space="preserve"> orang</w:t>
      </w:r>
      <w:r w:rsidRPr="00762555">
        <w:rPr>
          <w:b/>
          <w:color w:val="FFC000"/>
          <w:sz w:val="22"/>
          <w:szCs w:val="22"/>
        </w:rPr>
        <w:t>e</w:t>
      </w:r>
      <w:r w:rsidRPr="000F7E33">
        <w:rPr>
          <w:color w:val="000000"/>
          <w:sz w:val="22"/>
          <w:szCs w:val="22"/>
        </w:rPr>
        <w:t xml:space="preserve"> line for the median</w:t>
      </w:r>
      <w:r w:rsidRPr="000F7E33">
        <w:rPr>
          <w:rStyle w:val="FootnoteReference"/>
          <w:color w:val="000000"/>
          <w:sz w:val="22"/>
          <w:szCs w:val="22"/>
        </w:rPr>
        <w:footnoteReference w:id="9"/>
      </w:r>
      <w:r>
        <w:rPr>
          <w:color w:val="000000"/>
          <w:sz w:val="22"/>
          <w:szCs w:val="22"/>
        </w:rPr>
        <w:t xml:space="preserve"> performance</w:t>
      </w:r>
      <w:r w:rsidRPr="000F7E33">
        <w:rPr>
          <w:color w:val="000000"/>
          <w:sz w:val="22"/>
          <w:szCs w:val="22"/>
        </w:rPr>
        <w:t xml:space="preserve"> percentage of </w:t>
      </w:r>
      <w:r>
        <w:rPr>
          <w:color w:val="000000"/>
          <w:sz w:val="22"/>
          <w:szCs w:val="22"/>
        </w:rPr>
        <w:t>all c</w:t>
      </w:r>
      <w:r w:rsidRPr="000F7E33">
        <w:rPr>
          <w:color w:val="000000"/>
          <w:sz w:val="22"/>
          <w:szCs w:val="22"/>
        </w:rPr>
        <w:t>omparison schools</w:t>
      </w:r>
      <w:r>
        <w:rPr>
          <w:rStyle w:val="FootnoteReference"/>
          <w:color w:val="000000"/>
          <w:sz w:val="22"/>
          <w:szCs w:val="22"/>
        </w:rPr>
        <w:footnoteReference w:id="10"/>
      </w:r>
      <w:r w:rsidRPr="000F7E33">
        <w:rPr>
          <w:color w:val="000000"/>
          <w:sz w:val="22"/>
          <w:szCs w:val="22"/>
        </w:rPr>
        <w:t xml:space="preserve">; </w:t>
      </w:r>
    </w:p>
    <w:p w14:paraId="6B58E84D" w14:textId="77777777" w:rsidR="00D43802" w:rsidRPr="000A12C8" w:rsidRDefault="00D43802" w:rsidP="00D43802">
      <w:pPr>
        <w:pStyle w:val="ListParagraph"/>
        <w:numPr>
          <w:ilvl w:val="0"/>
          <w:numId w:val="1"/>
        </w:numPr>
        <w:ind w:left="900"/>
        <w:contextualSpacing/>
        <w:rPr>
          <w:color w:val="000000"/>
          <w:sz w:val="22"/>
          <w:szCs w:val="22"/>
        </w:rPr>
      </w:pPr>
      <w:r w:rsidRPr="000A12C8">
        <w:rPr>
          <w:color w:val="000000"/>
          <w:sz w:val="22"/>
          <w:szCs w:val="22"/>
        </w:rPr>
        <w:t xml:space="preserve">a dotted </w:t>
      </w:r>
      <w:r w:rsidRPr="000A12C8">
        <w:rPr>
          <w:b/>
          <w:color w:val="F79646" w:themeColor="accent6"/>
          <w:sz w:val="22"/>
          <w:szCs w:val="22"/>
        </w:rPr>
        <w:t>dark orange</w:t>
      </w:r>
      <w:r w:rsidRPr="000A12C8">
        <w:rPr>
          <w:b/>
          <w:color w:val="000000"/>
          <w:sz w:val="22"/>
          <w:szCs w:val="22"/>
        </w:rPr>
        <w:t xml:space="preserve"> </w:t>
      </w:r>
      <w:r w:rsidRPr="000A12C8">
        <w:rPr>
          <w:color w:val="000000"/>
          <w:sz w:val="22"/>
          <w:szCs w:val="22"/>
        </w:rPr>
        <w:t>line for the first quartile</w:t>
      </w:r>
      <w:r w:rsidRPr="000F7E33">
        <w:rPr>
          <w:rStyle w:val="FootnoteReference"/>
          <w:color w:val="000000"/>
          <w:sz w:val="22"/>
          <w:szCs w:val="22"/>
        </w:rPr>
        <w:footnoteReference w:id="11"/>
      </w:r>
      <w:r w:rsidRPr="000A12C8">
        <w:rPr>
          <w:color w:val="000000"/>
          <w:sz w:val="22"/>
          <w:szCs w:val="22"/>
        </w:rPr>
        <w:t xml:space="preserve"> </w:t>
      </w:r>
      <w:r>
        <w:rPr>
          <w:color w:val="000000"/>
          <w:sz w:val="22"/>
          <w:szCs w:val="22"/>
        </w:rPr>
        <w:t>performance</w:t>
      </w:r>
      <w:r w:rsidRPr="000A12C8">
        <w:rPr>
          <w:color w:val="000000"/>
          <w:sz w:val="22"/>
          <w:szCs w:val="22"/>
        </w:rPr>
        <w:t xml:space="preserve"> percentage of all comparison schools; and</w:t>
      </w:r>
    </w:p>
    <w:p w14:paraId="4CD4BBB2" w14:textId="77777777" w:rsidR="00D43802" w:rsidRPr="000F7E33" w:rsidRDefault="00D43802" w:rsidP="00D43802">
      <w:pPr>
        <w:pStyle w:val="ListParagraph"/>
        <w:numPr>
          <w:ilvl w:val="0"/>
          <w:numId w:val="1"/>
        </w:numPr>
        <w:spacing w:after="180"/>
        <w:ind w:left="907"/>
        <w:rPr>
          <w:color w:val="000000"/>
          <w:sz w:val="22"/>
          <w:szCs w:val="22"/>
        </w:rPr>
      </w:pPr>
      <w:r w:rsidRPr="000F7E33">
        <w:rPr>
          <w:sz w:val="22"/>
          <w:szCs w:val="22"/>
        </w:rPr>
        <w:t>solid</w:t>
      </w:r>
      <w:r>
        <w:rPr>
          <w:color w:val="BFBFBF" w:themeColor="background1" w:themeShade="BF"/>
          <w:sz w:val="22"/>
          <w:szCs w:val="22"/>
        </w:rPr>
        <w:t xml:space="preserve"> </w:t>
      </w:r>
      <w:r w:rsidRPr="00C8653A">
        <w:rPr>
          <w:b/>
          <w:color w:val="A6A6A6" w:themeColor="background1" w:themeShade="A6"/>
          <w:sz w:val="22"/>
          <w:szCs w:val="22"/>
        </w:rPr>
        <w:t>gray</w:t>
      </w:r>
      <w:r w:rsidRPr="000F7E33">
        <w:rPr>
          <w:color w:val="000000"/>
          <w:sz w:val="22"/>
          <w:szCs w:val="22"/>
        </w:rPr>
        <w:t xml:space="preserve"> lines for enrollment percentage in each individual comparison school (darker gray for charter schools, and lighter gray for district schools).</w:t>
      </w:r>
    </w:p>
    <w:p w14:paraId="183180E5" w14:textId="77777777" w:rsidR="00F14AD6" w:rsidRDefault="00D43802" w:rsidP="00D43802">
      <w:pPr>
        <w:ind w:left="-90"/>
        <w:sectPr w:rsidR="00F14AD6" w:rsidSect="00624885">
          <w:headerReference w:type="default" r:id="rId39"/>
          <w:pgSz w:w="15840" w:h="12240" w:orient="landscape"/>
          <w:pgMar w:top="288" w:right="720" w:bottom="432" w:left="720" w:header="432" w:footer="432" w:gutter="0"/>
          <w:cols w:space="720"/>
          <w:titlePg/>
          <w:docGrid w:linePitch="360"/>
        </w:sectPr>
      </w:pPr>
      <w:r w:rsidRPr="00A811B4">
        <w:rPr>
          <w:sz w:val="22"/>
          <w:szCs w:val="22"/>
        </w:rPr>
        <w:t xml:space="preserve">The graphs </w:t>
      </w:r>
      <w:r>
        <w:rPr>
          <w:sz w:val="22"/>
          <w:szCs w:val="22"/>
        </w:rPr>
        <w:t xml:space="preserve">of student indicator data </w:t>
      </w:r>
      <w:r w:rsidRPr="00A811B4">
        <w:rPr>
          <w:sz w:val="22"/>
          <w:szCs w:val="22"/>
        </w:rPr>
        <w:t>summarize the in-school suspension rates, out-of-school suspension rates, attendance, retention, and if applicable, 4-year graduation and dropout data</w:t>
      </w:r>
      <w:r>
        <w:rPr>
          <w:sz w:val="22"/>
          <w:szCs w:val="22"/>
        </w:rPr>
        <w:t xml:space="preserve"> for all students during the most recent five years of published data</w:t>
      </w:r>
      <w:r w:rsidRPr="00A811B4">
        <w:rPr>
          <w:sz w:val="22"/>
          <w:szCs w:val="22"/>
        </w:rPr>
        <w:t>.</w:t>
      </w:r>
    </w:p>
    <w:p w14:paraId="3E2A93E1" w14:textId="77777777" w:rsidR="001B135B" w:rsidRDefault="00B87005" w:rsidP="00460BBA">
      <w:pPr>
        <w:ind w:left="-90"/>
      </w:pPr>
      <w:r w:rsidRPr="00B87005">
        <w:rPr>
          <w:noProof/>
          <w:lang w:eastAsia="zh-CN" w:bidi="km-KH"/>
        </w:rPr>
        <w:lastRenderedPageBreak/>
        <w:drawing>
          <wp:inline distT="0" distB="0" distL="0" distR="0" wp14:anchorId="1034086E" wp14:editId="37341663">
            <wp:extent cx="9184327" cy="6638307"/>
            <wp:effectExtent l="19050" t="0" r="0" b="0"/>
            <wp:docPr id="21"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9189641" cy="6642148"/>
                    </a:xfrm>
                    <a:prstGeom prst="rect">
                      <a:avLst/>
                    </a:prstGeom>
                  </pic:spPr>
                </pic:pic>
              </a:graphicData>
            </a:graphic>
          </wp:inline>
        </w:drawing>
      </w:r>
      <w:r w:rsidR="00CB1C7C" w:rsidRPr="00CB1C7C">
        <w:rPr>
          <w:noProof/>
          <w:lang w:eastAsia="zh-CN" w:bidi="km-KH"/>
        </w:rPr>
        <w:lastRenderedPageBreak/>
        <w:drawing>
          <wp:inline distT="0" distB="0" distL="0" distR="0" wp14:anchorId="644BB72B" wp14:editId="47BED958">
            <wp:extent cx="9144000" cy="6609159"/>
            <wp:effectExtent l="19050" t="0" r="0" b="0"/>
            <wp:docPr id="15"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9144000" cy="6609159"/>
                    </a:xfrm>
                    <a:prstGeom prst="rect">
                      <a:avLst/>
                    </a:prstGeom>
                  </pic:spPr>
                </pic:pic>
              </a:graphicData>
            </a:graphic>
          </wp:inline>
        </w:drawing>
      </w:r>
    </w:p>
    <w:p w14:paraId="0277EB8B" w14:textId="77777777" w:rsidR="001B135B" w:rsidRDefault="00B87005" w:rsidP="00764966">
      <w:pPr>
        <w:ind w:left="-90"/>
      </w:pPr>
      <w:r w:rsidRPr="00B87005">
        <w:rPr>
          <w:noProof/>
          <w:lang w:eastAsia="zh-CN" w:bidi="km-KH"/>
        </w:rPr>
        <w:lastRenderedPageBreak/>
        <w:drawing>
          <wp:inline distT="0" distB="0" distL="0" distR="0" wp14:anchorId="7FA4CDF2" wp14:editId="707DB9F7">
            <wp:extent cx="9184327" cy="6638307"/>
            <wp:effectExtent l="19050" t="0" r="0" b="0"/>
            <wp:docPr id="22"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9186239" cy="6639689"/>
                    </a:xfrm>
                    <a:prstGeom prst="rect">
                      <a:avLst/>
                    </a:prstGeom>
                  </pic:spPr>
                </pic:pic>
              </a:graphicData>
            </a:graphic>
          </wp:inline>
        </w:drawing>
      </w:r>
      <w:r w:rsidR="00CB1C7C" w:rsidRPr="00CB1C7C">
        <w:rPr>
          <w:noProof/>
          <w:lang w:eastAsia="zh-CN" w:bidi="km-KH"/>
        </w:rPr>
        <w:lastRenderedPageBreak/>
        <w:drawing>
          <wp:inline distT="0" distB="0" distL="0" distR="0" wp14:anchorId="22543F14" wp14:editId="1504AFF8">
            <wp:extent cx="9144000" cy="6609159"/>
            <wp:effectExtent l="19050" t="0" r="0" b="0"/>
            <wp:docPr id="16"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9144000" cy="6609159"/>
                    </a:xfrm>
                    <a:prstGeom prst="rect">
                      <a:avLst/>
                    </a:prstGeom>
                  </pic:spPr>
                </pic:pic>
              </a:graphicData>
            </a:graphic>
          </wp:inline>
        </w:drawing>
      </w:r>
    </w:p>
    <w:p w14:paraId="4D93EDF1" w14:textId="77777777" w:rsidR="001B135B" w:rsidRDefault="00B87005" w:rsidP="00764966">
      <w:pPr>
        <w:ind w:left="-90"/>
      </w:pPr>
      <w:r w:rsidRPr="00B87005">
        <w:rPr>
          <w:noProof/>
          <w:lang w:eastAsia="zh-CN" w:bidi="km-KH"/>
        </w:rPr>
        <w:lastRenderedPageBreak/>
        <w:drawing>
          <wp:inline distT="0" distB="0" distL="0" distR="0" wp14:anchorId="6FDF7E6E" wp14:editId="6C022AC9">
            <wp:extent cx="9184327" cy="6602681"/>
            <wp:effectExtent l="19050" t="0" r="0" b="0"/>
            <wp:docPr id="23"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9186239" cy="6604055"/>
                    </a:xfrm>
                    <a:prstGeom prst="rect">
                      <a:avLst/>
                    </a:prstGeom>
                  </pic:spPr>
                </pic:pic>
              </a:graphicData>
            </a:graphic>
          </wp:inline>
        </w:drawing>
      </w:r>
      <w:r w:rsidR="00CB1C7C" w:rsidRPr="00CB1C7C">
        <w:rPr>
          <w:noProof/>
          <w:lang w:eastAsia="zh-CN" w:bidi="km-KH"/>
        </w:rPr>
        <w:lastRenderedPageBreak/>
        <w:drawing>
          <wp:inline distT="0" distB="0" distL="0" distR="0" wp14:anchorId="2A303F5B" wp14:editId="17FB53E9">
            <wp:extent cx="9144000" cy="6609159"/>
            <wp:effectExtent l="19050" t="0" r="0" b="0"/>
            <wp:docPr id="17"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9144000" cy="6609159"/>
                    </a:xfrm>
                    <a:prstGeom prst="rect">
                      <a:avLst/>
                    </a:prstGeom>
                  </pic:spPr>
                </pic:pic>
              </a:graphicData>
            </a:graphic>
          </wp:inline>
        </w:drawing>
      </w:r>
    </w:p>
    <w:p w14:paraId="3F1C041B" w14:textId="77777777" w:rsidR="001B135B" w:rsidRDefault="00B87005" w:rsidP="00764966">
      <w:pPr>
        <w:ind w:left="-90"/>
      </w:pPr>
      <w:r w:rsidRPr="00B87005">
        <w:rPr>
          <w:noProof/>
          <w:lang w:eastAsia="zh-CN" w:bidi="km-KH"/>
        </w:rPr>
        <w:lastRenderedPageBreak/>
        <w:drawing>
          <wp:inline distT="0" distB="0" distL="0" distR="0" wp14:anchorId="1FCEE0EC" wp14:editId="5E9777F4">
            <wp:extent cx="9184327" cy="6638307"/>
            <wp:effectExtent l="19050" t="0" r="0" b="0"/>
            <wp:docPr id="24"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9189641" cy="6642148"/>
                    </a:xfrm>
                    <a:prstGeom prst="rect">
                      <a:avLst/>
                    </a:prstGeom>
                  </pic:spPr>
                </pic:pic>
              </a:graphicData>
            </a:graphic>
          </wp:inline>
        </w:drawing>
      </w:r>
      <w:r w:rsidR="00CB1C7C" w:rsidRPr="00CB1C7C">
        <w:rPr>
          <w:noProof/>
          <w:lang w:eastAsia="zh-CN" w:bidi="km-KH"/>
        </w:rPr>
        <w:lastRenderedPageBreak/>
        <w:drawing>
          <wp:inline distT="0" distB="0" distL="0" distR="0" wp14:anchorId="73E1AAA6" wp14:editId="335C886F">
            <wp:extent cx="9144000" cy="6573690"/>
            <wp:effectExtent l="19050" t="0" r="0" b="0"/>
            <wp:docPr id="28"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9144000" cy="6573690"/>
                    </a:xfrm>
                    <a:prstGeom prst="rect">
                      <a:avLst/>
                    </a:prstGeom>
                  </pic:spPr>
                </pic:pic>
              </a:graphicData>
            </a:graphic>
          </wp:inline>
        </w:drawing>
      </w:r>
    </w:p>
    <w:p w14:paraId="30D64A37" w14:textId="77777777" w:rsidR="001B135B" w:rsidRDefault="00B87005" w:rsidP="00764966">
      <w:pPr>
        <w:ind w:left="-90"/>
      </w:pPr>
      <w:r w:rsidRPr="00B87005">
        <w:rPr>
          <w:noProof/>
          <w:lang w:eastAsia="zh-CN" w:bidi="km-KH"/>
        </w:rPr>
        <w:lastRenderedPageBreak/>
        <w:drawing>
          <wp:inline distT="0" distB="0" distL="0" distR="0" wp14:anchorId="7FEAD3FA" wp14:editId="6ED30CDD">
            <wp:extent cx="9184327" cy="6638307"/>
            <wp:effectExtent l="19050" t="0" r="0" b="0"/>
            <wp:docPr id="25"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9194397" cy="6645585"/>
                    </a:xfrm>
                    <a:prstGeom prst="rect">
                      <a:avLst/>
                    </a:prstGeom>
                  </pic:spPr>
                </pic:pic>
              </a:graphicData>
            </a:graphic>
          </wp:inline>
        </w:drawing>
      </w:r>
      <w:r w:rsidR="00CB1C7C" w:rsidRPr="00CB1C7C">
        <w:rPr>
          <w:noProof/>
          <w:lang w:eastAsia="zh-CN" w:bidi="km-KH"/>
        </w:rPr>
        <w:lastRenderedPageBreak/>
        <w:drawing>
          <wp:inline distT="0" distB="0" distL="0" distR="0" wp14:anchorId="31A15B9E" wp14:editId="16449471">
            <wp:extent cx="9144000" cy="6609159"/>
            <wp:effectExtent l="19050" t="0" r="0" b="0"/>
            <wp:docPr id="29"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9144000" cy="6609159"/>
                    </a:xfrm>
                    <a:prstGeom prst="rect">
                      <a:avLst/>
                    </a:prstGeom>
                  </pic:spPr>
                </pic:pic>
              </a:graphicData>
            </a:graphic>
          </wp:inline>
        </w:drawing>
      </w:r>
    </w:p>
    <w:p w14:paraId="27E9E19F" w14:textId="77777777" w:rsidR="001B135B" w:rsidRDefault="00B87005" w:rsidP="00764966">
      <w:pPr>
        <w:ind w:left="-90"/>
      </w:pPr>
      <w:r w:rsidRPr="00B87005">
        <w:rPr>
          <w:noProof/>
          <w:lang w:eastAsia="zh-CN" w:bidi="km-KH"/>
        </w:rPr>
        <w:lastRenderedPageBreak/>
        <w:drawing>
          <wp:inline distT="0" distB="0" distL="0" distR="0" wp14:anchorId="5FFF76EF" wp14:editId="66829E64">
            <wp:extent cx="9184327" cy="6638307"/>
            <wp:effectExtent l="19050" t="0" r="0" b="0"/>
            <wp:docPr id="26"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9194946" cy="6645982"/>
                    </a:xfrm>
                    <a:prstGeom prst="rect">
                      <a:avLst/>
                    </a:prstGeom>
                  </pic:spPr>
                </pic:pic>
              </a:graphicData>
            </a:graphic>
          </wp:inline>
        </w:drawing>
      </w:r>
      <w:r w:rsidR="00CB1C7C" w:rsidRPr="00CB1C7C">
        <w:rPr>
          <w:noProof/>
          <w:lang w:eastAsia="zh-CN" w:bidi="km-KH"/>
        </w:rPr>
        <w:lastRenderedPageBreak/>
        <w:drawing>
          <wp:inline distT="0" distB="0" distL="0" distR="0" wp14:anchorId="3C034DED" wp14:editId="65D150A4">
            <wp:extent cx="9144000" cy="6609159"/>
            <wp:effectExtent l="19050" t="0" r="0" b="0"/>
            <wp:docPr id="30"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9144000" cy="6609159"/>
                    </a:xfrm>
                    <a:prstGeom prst="rect">
                      <a:avLst/>
                    </a:prstGeom>
                  </pic:spPr>
                </pic:pic>
              </a:graphicData>
            </a:graphic>
          </wp:inline>
        </w:drawing>
      </w:r>
    </w:p>
    <w:p w14:paraId="528148BB" w14:textId="77777777" w:rsidR="003837E9" w:rsidRDefault="00B87005" w:rsidP="00764966">
      <w:pPr>
        <w:ind w:left="-90"/>
        <w:sectPr w:rsidR="003837E9" w:rsidSect="003837E9">
          <w:headerReference w:type="first" r:id="rId52"/>
          <w:pgSz w:w="15840" w:h="12240" w:orient="landscape"/>
          <w:pgMar w:top="288" w:right="720" w:bottom="432" w:left="720" w:header="432" w:footer="432" w:gutter="0"/>
          <w:cols w:space="720"/>
          <w:docGrid w:linePitch="360"/>
        </w:sectPr>
      </w:pPr>
      <w:r w:rsidRPr="00B87005">
        <w:rPr>
          <w:noProof/>
          <w:lang w:eastAsia="zh-CN" w:bidi="km-KH"/>
        </w:rPr>
        <w:lastRenderedPageBreak/>
        <w:drawing>
          <wp:inline distT="0" distB="0" distL="0" distR="0" wp14:anchorId="2A0F91B9" wp14:editId="3256407F">
            <wp:extent cx="9172451" cy="6638307"/>
            <wp:effectExtent l="19050" t="0" r="0" b="0"/>
            <wp:docPr id="27"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9174360" cy="6639689"/>
                    </a:xfrm>
                    <a:prstGeom prst="rect">
                      <a:avLst/>
                    </a:prstGeom>
                  </pic:spPr>
                </pic:pic>
              </a:graphicData>
            </a:graphic>
          </wp:inline>
        </w:drawing>
      </w:r>
      <w:r w:rsidRPr="00B87005">
        <w:t xml:space="preserve"> </w:t>
      </w:r>
      <w:r w:rsidR="00CB1C7C" w:rsidRPr="00CB1C7C">
        <w:rPr>
          <w:noProof/>
          <w:lang w:eastAsia="zh-CN" w:bidi="km-KH"/>
        </w:rPr>
        <w:lastRenderedPageBreak/>
        <w:drawing>
          <wp:inline distT="0" distB="0" distL="0" distR="0" wp14:anchorId="31F51D42" wp14:editId="23702DA4">
            <wp:extent cx="9144000" cy="6609159"/>
            <wp:effectExtent l="19050" t="0" r="0" b="0"/>
            <wp:docPr id="31"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9144000" cy="6609159"/>
                    </a:xfrm>
                    <a:prstGeom prst="rect">
                      <a:avLst/>
                    </a:prstGeom>
                  </pic:spPr>
                </pic:pic>
              </a:graphicData>
            </a:graphic>
          </wp:inline>
        </w:drawing>
      </w:r>
      <w:r w:rsidRPr="00B87005">
        <w:rPr>
          <w:noProof/>
          <w:lang w:eastAsia="zh-CN" w:bidi="km-KH"/>
        </w:rPr>
        <w:lastRenderedPageBreak/>
        <w:drawing>
          <wp:inline distT="0" distB="0" distL="0" distR="0" wp14:anchorId="2193BD0E" wp14:editId="3BC878B6">
            <wp:extent cx="9184327" cy="6614556"/>
            <wp:effectExtent l="19050" t="0" r="0" b="0"/>
            <wp:docPr id="64"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9186239" cy="6615933"/>
                    </a:xfrm>
                    <a:prstGeom prst="rect">
                      <a:avLst/>
                    </a:prstGeom>
                  </pic:spPr>
                </pic:pic>
              </a:graphicData>
            </a:graphic>
          </wp:inline>
        </w:drawing>
      </w:r>
    </w:p>
    <w:p w14:paraId="44D02213" w14:textId="77777777" w:rsidR="001B135B" w:rsidRDefault="00CB1C7C" w:rsidP="00764966">
      <w:pPr>
        <w:ind w:left="-90"/>
      </w:pPr>
      <w:r w:rsidRPr="00CB1C7C">
        <w:rPr>
          <w:noProof/>
          <w:lang w:eastAsia="zh-CN" w:bidi="km-KH"/>
        </w:rPr>
        <w:lastRenderedPageBreak/>
        <w:drawing>
          <wp:inline distT="0" distB="0" distL="0" distR="0" wp14:anchorId="14CBA18E" wp14:editId="63018A58">
            <wp:extent cx="9144000" cy="6614524"/>
            <wp:effectExtent l="19050" t="0" r="0" b="0"/>
            <wp:docPr id="68"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9144000" cy="6614524"/>
                    </a:xfrm>
                    <a:prstGeom prst="rect">
                      <a:avLst/>
                    </a:prstGeom>
                  </pic:spPr>
                </pic:pic>
              </a:graphicData>
            </a:graphic>
          </wp:inline>
        </w:drawing>
      </w:r>
      <w:r w:rsidR="00B87005" w:rsidRPr="00B87005">
        <w:rPr>
          <w:noProof/>
          <w:lang w:eastAsia="zh-CN" w:bidi="km-KH"/>
        </w:rPr>
        <w:lastRenderedPageBreak/>
        <w:drawing>
          <wp:inline distT="0" distB="0" distL="0" distR="0" wp14:anchorId="4D252FEE" wp14:editId="26AC8EC3">
            <wp:extent cx="9184327" cy="6614556"/>
            <wp:effectExtent l="19050" t="0" r="0" b="0"/>
            <wp:docPr id="67"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9186239" cy="6615933"/>
                    </a:xfrm>
                    <a:prstGeom prst="rect">
                      <a:avLst/>
                    </a:prstGeom>
                  </pic:spPr>
                </pic:pic>
              </a:graphicData>
            </a:graphic>
          </wp:inline>
        </w:drawing>
      </w:r>
    </w:p>
    <w:p w14:paraId="7FB7FB34" w14:textId="77777777" w:rsidR="001B135B" w:rsidRDefault="00CB1C7C" w:rsidP="00764966">
      <w:pPr>
        <w:ind w:left="-90"/>
      </w:pPr>
      <w:r w:rsidRPr="00CB1C7C">
        <w:rPr>
          <w:noProof/>
          <w:lang w:eastAsia="zh-CN" w:bidi="km-KH"/>
        </w:rPr>
        <w:lastRenderedPageBreak/>
        <w:drawing>
          <wp:inline distT="0" distB="0" distL="0" distR="0" wp14:anchorId="44ED8563" wp14:editId="672309CB">
            <wp:extent cx="9144000" cy="6583373"/>
            <wp:effectExtent l="19050" t="0" r="0" b="0"/>
            <wp:docPr id="69"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9144000" cy="6583373"/>
                    </a:xfrm>
                    <a:prstGeom prst="rect">
                      <a:avLst/>
                    </a:prstGeom>
                  </pic:spPr>
                </pic:pic>
              </a:graphicData>
            </a:graphic>
          </wp:inline>
        </w:drawing>
      </w:r>
      <w:r w:rsidR="00B87005" w:rsidRPr="00B87005">
        <w:rPr>
          <w:noProof/>
          <w:lang w:eastAsia="zh-CN" w:bidi="km-KH"/>
        </w:rPr>
        <w:lastRenderedPageBreak/>
        <w:drawing>
          <wp:inline distT="0" distB="0" distL="0" distR="0" wp14:anchorId="463BA0FD" wp14:editId="789BE77E">
            <wp:extent cx="9172451" cy="6614556"/>
            <wp:effectExtent l="19050" t="0" r="0" b="0"/>
            <wp:docPr id="76"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9183611" cy="6622604"/>
                    </a:xfrm>
                    <a:prstGeom prst="rect">
                      <a:avLst/>
                    </a:prstGeom>
                  </pic:spPr>
                </pic:pic>
              </a:graphicData>
            </a:graphic>
          </wp:inline>
        </w:drawing>
      </w:r>
      <w:r w:rsidRPr="00CB1C7C">
        <w:rPr>
          <w:noProof/>
          <w:lang w:eastAsia="zh-CN" w:bidi="km-KH"/>
        </w:rPr>
        <w:lastRenderedPageBreak/>
        <w:drawing>
          <wp:inline distT="0" distB="0" distL="0" distR="0" wp14:anchorId="100CC7F5" wp14:editId="555FCD28">
            <wp:extent cx="9144000" cy="6585512"/>
            <wp:effectExtent l="19050" t="0" r="0" b="0"/>
            <wp:docPr id="70" name="Picture 1" descr="Charter Accountability Table for Pioneer Valley Chinese Immersion Charter School. Achievement Data for Proven Provider Analysis &#10;CHART can be assessed, here: http://www.doe.mass.edu/charter/chart/&#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9144000" cy="6585512"/>
                    </a:xfrm>
                    <a:prstGeom prst="rect">
                      <a:avLst/>
                    </a:prstGeom>
                  </pic:spPr>
                </pic:pic>
              </a:graphicData>
            </a:graphic>
          </wp:inline>
        </w:drawing>
      </w:r>
    </w:p>
    <w:sectPr w:rsidR="001B135B" w:rsidSect="003837E9">
      <w:headerReference w:type="default" r:id="rId61"/>
      <w:pgSz w:w="15840" w:h="12240" w:orient="landscape"/>
      <w:pgMar w:top="288" w:right="720" w:bottom="432"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B438F" w14:textId="77777777" w:rsidR="00F80111" w:rsidRDefault="00F80111" w:rsidP="000F13CE">
      <w:r>
        <w:separator/>
      </w:r>
    </w:p>
  </w:endnote>
  <w:endnote w:type="continuationSeparator" w:id="0">
    <w:p w14:paraId="04134302" w14:textId="77777777" w:rsidR="00F80111" w:rsidRDefault="00F80111" w:rsidP="000F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charset w:val="00"/>
    <w:family w:val="swiss"/>
    <w:pitch w:val="variable"/>
    <w:sig w:usb0="80000003" w:usb1="00000000" w:usb2="00010000" w:usb3="00000000" w:csb0="00000001" w:csb1="00000000"/>
  </w:font>
  <w:font w:name="Calibri">
    <w:panose1 w:val="020F0502020204030204"/>
    <w:charset w:val="00"/>
    <w:family w:val="swiss"/>
    <w:pitch w:val="variable"/>
    <w:sig w:usb0="E0002AFF" w:usb1="C000247B" w:usb2="00000009" w:usb3="00000000" w:csb0="000001FF" w:csb1="00000000"/>
  </w:font>
  <w:font w:name="DaunPenh">
    <w:altName w:val="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997AA" w14:textId="77777777" w:rsidR="005609AA" w:rsidRPr="00185F09" w:rsidRDefault="005609AA">
    <w:pPr>
      <w:pStyle w:val="Footer"/>
      <w:pBdr>
        <w:top w:val="thinThickSmallGap" w:sz="24" w:space="1" w:color="622423" w:themeColor="accent2" w:themeShade="7F"/>
      </w:pBdr>
      <w:rPr>
        <w:rFonts w:asciiTheme="majorHAnsi" w:hAnsiTheme="majorHAnsi"/>
        <w:sz w:val="20"/>
      </w:rPr>
    </w:pPr>
    <w:r w:rsidRPr="00185F09">
      <w:rPr>
        <w:rFonts w:asciiTheme="majorHAnsi" w:hAnsiTheme="majorHAnsi"/>
        <w:sz w:val="20"/>
      </w:rPr>
      <w:t>Massachusetts Department of Elementary and Secondary Education</w:t>
    </w:r>
    <w:r w:rsidRPr="00185F09">
      <w:rPr>
        <w:rFonts w:asciiTheme="majorHAnsi" w:hAnsiTheme="majorHAnsi"/>
        <w:sz w:val="20"/>
      </w:rPr>
      <w:ptab w:relativeTo="margin" w:alignment="right" w:leader="none"/>
    </w:r>
    <w:r w:rsidRPr="00185F09">
      <w:rPr>
        <w:rFonts w:asciiTheme="majorHAnsi" w:hAnsiTheme="majorHAnsi"/>
        <w:sz w:val="20"/>
      </w:rPr>
      <w:t xml:space="preserve">Page </w:t>
    </w:r>
    <w:r w:rsidR="00921932" w:rsidRPr="00185F09">
      <w:rPr>
        <w:sz w:val="20"/>
      </w:rPr>
      <w:fldChar w:fldCharType="begin"/>
    </w:r>
    <w:r w:rsidRPr="00185F09">
      <w:rPr>
        <w:sz w:val="20"/>
      </w:rPr>
      <w:instrText xml:space="preserve"> PAGE   \* MERGEFORMAT </w:instrText>
    </w:r>
    <w:r w:rsidR="00921932" w:rsidRPr="00185F09">
      <w:rPr>
        <w:sz w:val="20"/>
      </w:rPr>
      <w:fldChar w:fldCharType="separate"/>
    </w:r>
    <w:r w:rsidR="00EE090D" w:rsidRPr="00EE090D">
      <w:rPr>
        <w:rFonts w:asciiTheme="majorHAnsi" w:hAnsiTheme="majorHAnsi"/>
        <w:noProof/>
        <w:sz w:val="20"/>
      </w:rPr>
      <w:t>7</w:t>
    </w:r>
    <w:r w:rsidR="00921932" w:rsidRPr="00185F09">
      <w:rPr>
        <w:sz w:val="20"/>
      </w:rPr>
      <w:fldChar w:fldCharType="end"/>
    </w:r>
  </w:p>
  <w:p w14:paraId="6DFC32CA" w14:textId="77777777" w:rsidR="005609AA" w:rsidRDefault="00560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4B8ED" w14:textId="77777777" w:rsidR="005609AA" w:rsidRPr="00185F09" w:rsidRDefault="005609AA">
    <w:pPr>
      <w:pStyle w:val="Footer"/>
      <w:pBdr>
        <w:top w:val="thinThickSmallGap" w:sz="24" w:space="1" w:color="622423" w:themeColor="accent2" w:themeShade="7F"/>
      </w:pBdr>
      <w:rPr>
        <w:rFonts w:asciiTheme="majorHAnsi" w:hAnsiTheme="majorHAnsi"/>
        <w:sz w:val="20"/>
        <w:szCs w:val="20"/>
      </w:rPr>
    </w:pPr>
    <w:r w:rsidRPr="00185F09">
      <w:rPr>
        <w:rFonts w:asciiTheme="majorHAnsi" w:hAnsiTheme="majorHAnsi"/>
        <w:sz w:val="20"/>
        <w:szCs w:val="20"/>
      </w:rPr>
      <w:t>Massachusetts Department of Elementary and Secondary Education</w:t>
    </w:r>
    <w:r w:rsidRPr="00185F09">
      <w:rPr>
        <w:rFonts w:asciiTheme="majorHAnsi" w:hAnsiTheme="majorHAnsi"/>
        <w:sz w:val="20"/>
        <w:szCs w:val="20"/>
      </w:rPr>
      <w:ptab w:relativeTo="margin" w:alignment="right" w:leader="none"/>
    </w:r>
    <w:r w:rsidRPr="00185F09">
      <w:rPr>
        <w:rFonts w:asciiTheme="majorHAnsi" w:hAnsiTheme="majorHAnsi"/>
        <w:sz w:val="20"/>
        <w:szCs w:val="20"/>
      </w:rPr>
      <w:t xml:space="preserve">Page </w:t>
    </w:r>
    <w:r w:rsidR="00921932" w:rsidRPr="00185F09">
      <w:rPr>
        <w:sz w:val="20"/>
        <w:szCs w:val="20"/>
      </w:rPr>
      <w:fldChar w:fldCharType="begin"/>
    </w:r>
    <w:r w:rsidRPr="00185F09">
      <w:rPr>
        <w:sz w:val="20"/>
        <w:szCs w:val="20"/>
      </w:rPr>
      <w:instrText xml:space="preserve"> PAGE   \* MERGEFORMAT </w:instrText>
    </w:r>
    <w:r w:rsidR="00921932" w:rsidRPr="00185F09">
      <w:rPr>
        <w:sz w:val="20"/>
        <w:szCs w:val="20"/>
      </w:rPr>
      <w:fldChar w:fldCharType="separate"/>
    </w:r>
    <w:r w:rsidR="00EE090D" w:rsidRPr="00EE090D">
      <w:rPr>
        <w:rFonts w:asciiTheme="majorHAnsi" w:hAnsiTheme="majorHAnsi"/>
        <w:noProof/>
        <w:sz w:val="20"/>
        <w:szCs w:val="20"/>
      </w:rPr>
      <w:t>11</w:t>
    </w:r>
    <w:r w:rsidR="00921932" w:rsidRPr="00185F09">
      <w:rPr>
        <w:sz w:val="20"/>
        <w:szCs w:val="20"/>
      </w:rPr>
      <w:fldChar w:fldCharType="end"/>
    </w:r>
  </w:p>
  <w:p w14:paraId="324721B5" w14:textId="77777777" w:rsidR="005609AA" w:rsidRDefault="00560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2A888" w14:textId="77777777" w:rsidR="00F80111" w:rsidRDefault="00F80111" w:rsidP="000F13CE">
      <w:r>
        <w:separator/>
      </w:r>
    </w:p>
  </w:footnote>
  <w:footnote w:type="continuationSeparator" w:id="0">
    <w:p w14:paraId="085D2154" w14:textId="77777777" w:rsidR="00F80111" w:rsidRDefault="00F80111" w:rsidP="000F13CE">
      <w:r>
        <w:continuationSeparator/>
      </w:r>
    </w:p>
  </w:footnote>
  <w:footnote w:id="1">
    <w:p w14:paraId="25602BD2" w14:textId="77777777" w:rsidR="005609AA" w:rsidRPr="00D9571F" w:rsidRDefault="005609AA" w:rsidP="00D43802">
      <w:pPr>
        <w:pStyle w:val="FootnoteText"/>
        <w:rPr>
          <w:sz w:val="16"/>
          <w:szCs w:val="16"/>
        </w:rPr>
      </w:pPr>
      <w:r w:rsidRPr="00D9571F">
        <w:rPr>
          <w:rStyle w:val="FootnoteReference"/>
          <w:sz w:val="16"/>
          <w:szCs w:val="16"/>
        </w:rPr>
        <w:t>1</w:t>
      </w:r>
      <w:r w:rsidRPr="00D9571F">
        <w:rPr>
          <w:sz w:val="16"/>
          <w:szCs w:val="16"/>
        </w:rPr>
        <w:t xml:space="preserve"> The names of each of these schools and additional subgroup detail can be found in the Charter Analysis and Review Tool (CHART), </w:t>
      </w:r>
      <w:hyperlink r:id="rId1" w:history="1">
        <w:r w:rsidRPr="00D9571F">
          <w:rPr>
            <w:rStyle w:val="Hyperlink"/>
            <w:sz w:val="16"/>
            <w:szCs w:val="16"/>
          </w:rPr>
          <w:t>http://www.doe.mass.edu/charter/chart/</w:t>
        </w:r>
      </w:hyperlink>
      <w:r w:rsidRPr="00D9571F">
        <w:rPr>
          <w:sz w:val="16"/>
          <w:szCs w:val="16"/>
        </w:rPr>
        <w:t xml:space="preserve">. </w:t>
      </w:r>
    </w:p>
  </w:footnote>
  <w:footnote w:id="2">
    <w:p w14:paraId="757DDDCB" w14:textId="77777777" w:rsidR="005609AA" w:rsidRPr="00D9571F" w:rsidRDefault="005609AA" w:rsidP="00D43802">
      <w:pPr>
        <w:pStyle w:val="FootnoteText"/>
        <w:rPr>
          <w:sz w:val="16"/>
          <w:szCs w:val="16"/>
        </w:rPr>
      </w:pPr>
      <w:r w:rsidRPr="00D9571F">
        <w:rPr>
          <w:rStyle w:val="FootnoteReference"/>
          <w:sz w:val="16"/>
          <w:szCs w:val="16"/>
        </w:rPr>
        <w:footnoteRef/>
      </w:r>
      <w:r w:rsidRPr="00D9571F">
        <w:rPr>
          <w:sz w:val="16"/>
          <w:szCs w:val="16"/>
        </w:rPr>
        <w:t xml:space="preserve"> The midpoint value of all comparison schools. This is derived using Microsoft Excel's MEDIAN function.</w:t>
      </w:r>
    </w:p>
  </w:footnote>
  <w:footnote w:id="3">
    <w:p w14:paraId="78B2B206" w14:textId="77777777" w:rsidR="005609AA" w:rsidRPr="00D9571F" w:rsidRDefault="005609AA" w:rsidP="00D43802">
      <w:pPr>
        <w:pStyle w:val="FootnoteText"/>
        <w:rPr>
          <w:sz w:val="16"/>
          <w:szCs w:val="16"/>
        </w:rPr>
      </w:pPr>
      <w:r w:rsidRPr="00D9571F">
        <w:rPr>
          <w:rStyle w:val="FootnoteReference"/>
          <w:sz w:val="16"/>
          <w:szCs w:val="16"/>
        </w:rPr>
        <w:footnoteRef/>
      </w:r>
      <w:r w:rsidRPr="00D9571F">
        <w:rPr>
          <w:sz w:val="16"/>
          <w:szCs w:val="16"/>
        </w:rPr>
        <w:t xml:space="preserve"> The first quartile is the middle number between the smallest number and the median of all comparison schools. This is derived using Microsoft Excel's QUARTILE function.</w:t>
      </w:r>
    </w:p>
  </w:footnote>
  <w:footnote w:id="4">
    <w:p w14:paraId="7A6484FD" w14:textId="77777777" w:rsidR="005609AA" w:rsidRPr="00D9571F" w:rsidRDefault="005609AA" w:rsidP="00D43802">
      <w:pPr>
        <w:pStyle w:val="FootnoteText"/>
        <w:ind w:left="90" w:hanging="90"/>
        <w:rPr>
          <w:sz w:val="16"/>
          <w:szCs w:val="16"/>
        </w:rPr>
      </w:pPr>
      <w:r w:rsidRPr="00D9571F">
        <w:rPr>
          <w:rStyle w:val="FootnoteReference"/>
          <w:sz w:val="16"/>
          <w:szCs w:val="16"/>
        </w:rPr>
        <w:footnoteRef/>
      </w:r>
      <w:r w:rsidRPr="00D9571F">
        <w:rPr>
          <w:sz w:val="16"/>
          <w:szCs w:val="16"/>
        </w:rPr>
        <w:t xml:space="preserve"> The comparison index provides a comparison figure derived from data of students who reside within the charter school’s sending district(s). The comparison index is a statistically calculated value designed to produce a fairer and more realistic comparison measure that </w:t>
      </w:r>
      <w:proofErr w:type="gramStart"/>
      <w:r w:rsidRPr="00D9571F">
        <w:rPr>
          <w:sz w:val="16"/>
          <w:szCs w:val="16"/>
        </w:rPr>
        <w:t>takes into account</w:t>
      </w:r>
      <w:proofErr w:type="gramEnd"/>
      <w:r w:rsidRPr="00D9571F">
        <w:rPr>
          <w:sz w:val="16"/>
          <w:szCs w:val="16"/>
        </w:rPr>
        <w:t xml:space="preserve"> the charter school’s size and the actual prevalence of student subgroups within only those grade levels in common with the charter school.</w:t>
      </w:r>
    </w:p>
  </w:footnote>
  <w:footnote w:id="5">
    <w:p w14:paraId="7D4EE501" w14:textId="77777777" w:rsidR="005609AA" w:rsidRDefault="005609AA" w:rsidP="00D43802">
      <w:pPr>
        <w:pStyle w:val="FootnoteText"/>
        <w:ind w:left="90" w:hanging="90"/>
      </w:pPr>
      <w:r w:rsidRPr="00D9571F">
        <w:rPr>
          <w:rStyle w:val="FootnoteReference"/>
          <w:sz w:val="16"/>
          <w:szCs w:val="16"/>
        </w:rPr>
        <w:footnoteRef/>
      </w:r>
      <w:r w:rsidRPr="00D9571F">
        <w:rPr>
          <w:sz w:val="16"/>
          <w:szCs w:val="16"/>
        </w:rPr>
        <w:t xml:space="preserve"> The Gap Narrowing Target (GNT) refers to the halfway point between the school’s baseline rate (which is the rate in the 2010-11 school year, or the first 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 [(Comparison Index – Baseline) / 2] / 6 years = Annual GNT.</w:t>
      </w:r>
    </w:p>
  </w:footnote>
  <w:footnote w:id="6">
    <w:p w14:paraId="56B44462" w14:textId="77777777" w:rsidR="005609AA" w:rsidRDefault="005609AA" w:rsidP="00D43802">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7">
    <w:p w14:paraId="5CB04887" w14:textId="77777777" w:rsidR="005609AA" w:rsidRDefault="005609AA" w:rsidP="00D43802">
      <w:pPr>
        <w:pStyle w:val="FootnoteText"/>
        <w:ind w:left="90" w:hanging="90"/>
      </w:pPr>
      <w:r>
        <w:rPr>
          <w:rStyle w:val="FootnoteReference"/>
        </w:rPr>
        <w:footnoteRef/>
      </w:r>
      <w:r>
        <w:t xml:space="preserve"> </w:t>
      </w:r>
      <w:r w:rsidRPr="008C7C7B">
        <w:rPr>
          <w:color w:val="000000"/>
          <w:sz w:val="17"/>
          <w:szCs w:val="17"/>
        </w:rPr>
        <w:t xml:space="preserve">A student is </w:t>
      </w:r>
      <w:r w:rsidRPr="008C7C7B">
        <w:rPr>
          <w:i/>
          <w:color w:val="000000"/>
          <w:sz w:val="17"/>
          <w:szCs w:val="17"/>
        </w:rPr>
        <w:t>high needs</w:t>
      </w:r>
      <w:r w:rsidRPr="008C7C7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footnote>
  <w:footnote w:id="8">
    <w:p w14:paraId="71DB5694" w14:textId="77777777" w:rsidR="005609AA" w:rsidRPr="00E8624B" w:rsidRDefault="005609AA" w:rsidP="00D43802">
      <w:pPr>
        <w:pStyle w:val="FootnoteText"/>
        <w:rPr>
          <w:sz w:val="16"/>
          <w:szCs w:val="16"/>
        </w:rPr>
      </w:pPr>
      <w:r w:rsidRPr="00E8624B">
        <w:rPr>
          <w:rStyle w:val="FootnoteReference"/>
          <w:sz w:val="16"/>
          <w:szCs w:val="16"/>
        </w:rPr>
        <w:footnoteRef/>
      </w:r>
      <w:r w:rsidRPr="00E8624B">
        <w:rPr>
          <w:sz w:val="16"/>
          <w:szCs w:val="16"/>
        </w:rPr>
        <w:t xml:space="preserve"> Comparable grades </w:t>
      </w:r>
      <w:proofErr w:type="gramStart"/>
      <w:r w:rsidRPr="00E8624B">
        <w:rPr>
          <w:sz w:val="16"/>
          <w:szCs w:val="16"/>
        </w:rPr>
        <w:t>refers</w:t>
      </w:r>
      <w:proofErr w:type="gramEnd"/>
      <w:r w:rsidRPr="00E8624B">
        <w:rPr>
          <w:sz w:val="16"/>
          <w:szCs w:val="16"/>
        </w:rPr>
        <w:t xml:space="preserve"> to the grades served by the charter school during each year under review. </w:t>
      </w:r>
    </w:p>
  </w:footnote>
  <w:footnote w:id="9">
    <w:p w14:paraId="06956F6B" w14:textId="77777777" w:rsidR="005609AA" w:rsidRPr="00E8624B" w:rsidRDefault="005609AA" w:rsidP="00D43802">
      <w:pPr>
        <w:pStyle w:val="FootnoteText"/>
        <w:rPr>
          <w:sz w:val="16"/>
          <w:szCs w:val="16"/>
        </w:rPr>
      </w:pPr>
      <w:r w:rsidRPr="00E8624B">
        <w:rPr>
          <w:rStyle w:val="FootnoteReference"/>
          <w:sz w:val="16"/>
          <w:szCs w:val="16"/>
        </w:rPr>
        <w:footnoteRef/>
      </w:r>
      <w:r w:rsidRPr="00E8624B">
        <w:rPr>
          <w:sz w:val="16"/>
          <w:szCs w:val="16"/>
        </w:rPr>
        <w:t xml:space="preserve"> The midpoint value of all comparison schools. This is derived using Microsoft Excel's MEDIAN function.</w:t>
      </w:r>
    </w:p>
  </w:footnote>
  <w:footnote w:id="10">
    <w:p w14:paraId="2DE014E5" w14:textId="77777777" w:rsidR="005609AA" w:rsidRPr="00E8624B" w:rsidRDefault="005609AA" w:rsidP="00D43802">
      <w:pPr>
        <w:pStyle w:val="FootnoteText"/>
        <w:rPr>
          <w:sz w:val="16"/>
          <w:szCs w:val="16"/>
        </w:rPr>
      </w:pPr>
      <w:r w:rsidRPr="00E8624B">
        <w:rPr>
          <w:rStyle w:val="FootnoteReference"/>
          <w:sz w:val="16"/>
          <w:szCs w:val="16"/>
        </w:rPr>
        <w:footnoteRef/>
      </w:r>
      <w:r w:rsidRPr="00E8624B">
        <w:rPr>
          <w:sz w:val="16"/>
          <w:szCs w:val="16"/>
        </w:rPr>
        <w:t xml:space="preserve"> </w:t>
      </w:r>
      <w:r w:rsidRPr="00E8624B">
        <w:rPr>
          <w:color w:val="000000"/>
          <w:sz w:val="16"/>
          <w:szCs w:val="16"/>
        </w:rPr>
        <w:t>The set of displayed comparison schools includes the charter school of interest, and all of the public schools in the charter school’s region that serve at least one grade level of students which overlaps with the grade levels served by the charter school.</w:t>
      </w:r>
    </w:p>
  </w:footnote>
  <w:footnote w:id="11">
    <w:p w14:paraId="088E5170" w14:textId="77777777" w:rsidR="005609AA" w:rsidRPr="00FF55D4" w:rsidRDefault="005609AA" w:rsidP="00D43802">
      <w:pPr>
        <w:pStyle w:val="FootnoteText"/>
        <w:rPr>
          <w:sz w:val="17"/>
          <w:szCs w:val="17"/>
        </w:rPr>
      </w:pPr>
      <w:r w:rsidRPr="00E8624B">
        <w:rPr>
          <w:rStyle w:val="FootnoteReference"/>
          <w:sz w:val="16"/>
          <w:szCs w:val="16"/>
        </w:rPr>
        <w:footnoteRef/>
      </w:r>
      <w:r w:rsidRPr="00E8624B">
        <w:rPr>
          <w:sz w:val="16"/>
          <w:szCs w:val="16"/>
        </w:rPr>
        <w:t xml:space="preserve"> The first quartile is the middle number between the smallest number and the median of all comparison schools. This is derived using Microsoft Excel's QUARTILE function.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 w:val="36"/>
      </w:rPr>
      <w:alias w:val="Title"/>
      <w:id w:val="8226459"/>
      <w:dataBinding w:prefixMappings="xmlns:ns0='http://schemas.openxmlformats.org/package/2006/metadata/core-properties' xmlns:ns1='http://purl.org/dc/elements/1.1/'" w:xpath="/ns0:coreProperties[1]/ns1:title[1]" w:storeItemID="{6C3C8BC8-F283-45AE-878A-BAB7291924A1}"/>
      <w:text/>
    </w:sdtPr>
    <w:sdtEndPr/>
    <w:sdtContent>
      <w:p w14:paraId="470D0ED5" w14:textId="77777777" w:rsidR="005609AA" w:rsidRPr="003116C3" w:rsidRDefault="005609AA" w:rsidP="003116C3">
        <w:pPr>
          <w:pStyle w:val="Header"/>
          <w:pBdr>
            <w:between w:val="single" w:sz="4" w:space="1" w:color="4F81BD" w:themeColor="accent1"/>
          </w:pBdr>
          <w:spacing w:line="276" w:lineRule="auto"/>
          <w:jc w:val="center"/>
          <w:rPr>
            <w:b/>
            <w:sz w:val="36"/>
          </w:rPr>
        </w:pPr>
        <w:r>
          <w:rPr>
            <w:b/>
            <w:sz w:val="36"/>
          </w:rPr>
          <w:t xml:space="preserve">Academic Performance Data, Student Enrollment Demographics, Student Attrition Rates, and </w:t>
        </w:r>
        <w:proofErr w:type="gramStart"/>
        <w:r>
          <w:rPr>
            <w:b/>
            <w:sz w:val="36"/>
          </w:rPr>
          <w:t>Five Year</w:t>
        </w:r>
        <w:proofErr w:type="gramEnd"/>
        <w:r>
          <w:rPr>
            <w:b/>
            <w:sz w:val="36"/>
          </w:rPr>
          <w:t xml:space="preserve"> Financial Summary for </w:t>
        </w:r>
        <w:r w:rsidRPr="00233F91">
          <w:rPr>
            <w:b/>
            <w:sz w:val="36"/>
          </w:rPr>
          <w:t>Pioneer Valley Chinese Immersion Charter School</w:t>
        </w:r>
      </w:p>
    </w:sdtContent>
  </w:sdt>
  <w:p w14:paraId="5AFECF01" w14:textId="77777777" w:rsidR="005609AA" w:rsidRDefault="005609AA">
    <w:pPr>
      <w:pStyle w:val="Header"/>
      <w:pBdr>
        <w:between w:val="single" w:sz="4" w:space="1" w:color="4F81BD" w:themeColor="accent1"/>
      </w:pBdr>
      <w:spacing w:line="276"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A4208" w14:textId="77777777" w:rsidR="005609AA" w:rsidRPr="00BF0A44" w:rsidRDefault="005609AA" w:rsidP="007B4CBA">
    <w:pPr>
      <w:pStyle w:val="Header"/>
      <w:jc w:val="center"/>
    </w:pPr>
    <w:r w:rsidRPr="00624885">
      <w:rPr>
        <w:b/>
        <w:sz w:val="36"/>
      </w:rPr>
      <w:t>Proven Provider Analysis</w:t>
    </w:r>
    <w:r>
      <w:rPr>
        <w:b/>
        <w:sz w:val="36"/>
      </w:rPr>
      <w:t xml:space="preserve"> Summary</w:t>
    </w:r>
    <w:r w:rsidRPr="00624885">
      <w:rPr>
        <w:b/>
        <w:sz w:val="36"/>
      </w:rPr>
      <w:t xml:space="preserve"> for</w:t>
    </w:r>
    <w:r>
      <w:rPr>
        <w:b/>
        <w:sz w:val="36"/>
      </w:rPr>
      <w:t xml:space="preserve"> Pioneer Valley Chinese Immersion Charter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C67D6" w14:textId="77777777" w:rsidR="005609AA" w:rsidRPr="00185F09" w:rsidRDefault="005609AA">
    <w:pPr>
      <w:pStyle w:val="Header"/>
      <w:pBdr>
        <w:between w:val="single" w:sz="4" w:space="1" w:color="4F81BD" w:themeColor="accent1"/>
      </w:pBdr>
      <w:spacing w:line="276" w:lineRule="auto"/>
      <w:jc w:val="center"/>
      <w:rPr>
        <w:sz w:val="20"/>
      </w:rPr>
    </w:pPr>
    <w:r w:rsidRPr="00185F09">
      <w:rPr>
        <w:sz w:val="20"/>
      </w:rPr>
      <w:t>Charter Accountability Table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AA1E2" w14:textId="77777777" w:rsidR="005609AA" w:rsidRPr="00185F09" w:rsidRDefault="005609AA">
    <w:pPr>
      <w:pStyle w:val="Header"/>
      <w:pBdr>
        <w:between w:val="single" w:sz="4" w:space="1" w:color="4F81BD" w:themeColor="accent1"/>
      </w:pBdr>
      <w:spacing w:line="276" w:lineRule="auto"/>
      <w:jc w:val="center"/>
      <w:rPr>
        <w:sz w:val="20"/>
      </w:rPr>
    </w:pPr>
    <w:r w:rsidRPr="00185F09">
      <w:rPr>
        <w:sz w:val="20"/>
      </w:rPr>
      <w:t>Student Enrollment Demographic Data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66B7A" w14:textId="77777777" w:rsidR="005609AA" w:rsidRPr="00185F09" w:rsidRDefault="005609AA">
    <w:pPr>
      <w:pStyle w:val="Header"/>
      <w:pBdr>
        <w:between w:val="single" w:sz="4" w:space="1" w:color="4F81BD" w:themeColor="accent1"/>
      </w:pBdr>
      <w:spacing w:line="276" w:lineRule="auto"/>
      <w:jc w:val="center"/>
      <w:rPr>
        <w:sz w:val="20"/>
      </w:rPr>
    </w:pPr>
    <w:r w:rsidRPr="00185F09">
      <w:rPr>
        <w:sz w:val="20"/>
      </w:rPr>
      <w:t>Student Attrition Data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64440" w14:textId="77777777" w:rsidR="005609AA" w:rsidRPr="00185F09" w:rsidRDefault="005609AA">
    <w:pPr>
      <w:pStyle w:val="Header"/>
      <w:pBdr>
        <w:between w:val="single" w:sz="4" w:space="1" w:color="4F81BD" w:themeColor="accent1"/>
      </w:pBdr>
      <w:spacing w:line="276" w:lineRule="auto"/>
      <w:jc w:val="center"/>
      <w:rPr>
        <w:sz w:val="20"/>
      </w:rPr>
    </w:pPr>
    <w:r w:rsidRPr="00185F09">
      <w:rPr>
        <w:sz w:val="20"/>
      </w:rPr>
      <w:t>Financial Dashboard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78B" w14:textId="77777777" w:rsidR="005609AA" w:rsidRPr="003837E9" w:rsidRDefault="005609AA">
    <w:pPr>
      <w:pStyle w:val="Header"/>
      <w:pBdr>
        <w:between w:val="single" w:sz="4" w:space="1" w:color="4F81BD" w:themeColor="accent1"/>
      </w:pBdr>
      <w:spacing w:line="276" w:lineRule="auto"/>
      <w:jc w:val="center"/>
      <w:rPr>
        <w:sz w:val="28"/>
      </w:rPr>
    </w:pPr>
    <w:r w:rsidRPr="00185F09">
      <w:rPr>
        <w:sz w:val="20"/>
      </w:rPr>
      <w:t>Achievement Data for Proven Provider Analysis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17775" w14:textId="77777777" w:rsidR="005609AA" w:rsidRPr="003837E9" w:rsidRDefault="005609AA" w:rsidP="003837E9">
    <w:pPr>
      <w:pStyle w:val="Header"/>
      <w:jc w:val="center"/>
      <w:rPr>
        <w:sz w:val="20"/>
      </w:rPr>
    </w:pPr>
    <w:r w:rsidRPr="003837E9">
      <w:rPr>
        <w:b/>
        <w:sz w:val="28"/>
      </w:rPr>
      <w:t>Achievement Data for Proven Provider Analysis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64E00" w14:textId="77777777" w:rsidR="005609AA" w:rsidRPr="00185F09" w:rsidRDefault="005609AA">
    <w:pPr>
      <w:pStyle w:val="Header"/>
      <w:pBdr>
        <w:between w:val="single" w:sz="4" w:space="1" w:color="4F81BD" w:themeColor="accent1"/>
      </w:pBdr>
      <w:spacing w:line="276" w:lineRule="auto"/>
      <w:jc w:val="center"/>
      <w:rPr>
        <w:sz w:val="20"/>
      </w:rPr>
    </w:pPr>
    <w:r w:rsidRPr="00185F09">
      <w:rPr>
        <w:sz w:val="20"/>
      </w:rPr>
      <w:t>Student Indicator Data for Proven Provider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90C51"/>
    <w:multiLevelType w:val="hybridMultilevel"/>
    <w:tmpl w:val="748242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47537173"/>
    <w:multiLevelType w:val="hybridMultilevel"/>
    <w:tmpl w:val="BDA26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D32"/>
    <w:rsid w:val="00003182"/>
    <w:rsid w:val="00035518"/>
    <w:rsid w:val="000437D3"/>
    <w:rsid w:val="0009590D"/>
    <w:rsid w:val="000A030B"/>
    <w:rsid w:val="000A12C8"/>
    <w:rsid w:val="000A2DF0"/>
    <w:rsid w:val="000E09AF"/>
    <w:rsid w:val="000F13CE"/>
    <w:rsid w:val="000F7E33"/>
    <w:rsid w:val="0010691E"/>
    <w:rsid w:val="0014301A"/>
    <w:rsid w:val="00167E92"/>
    <w:rsid w:val="00185F09"/>
    <w:rsid w:val="001937D4"/>
    <w:rsid w:val="00193A5B"/>
    <w:rsid w:val="001A082D"/>
    <w:rsid w:val="001B135B"/>
    <w:rsid w:val="001D1C11"/>
    <w:rsid w:val="00255DDA"/>
    <w:rsid w:val="00274FD9"/>
    <w:rsid w:val="00292825"/>
    <w:rsid w:val="00297453"/>
    <w:rsid w:val="002F2DB8"/>
    <w:rsid w:val="003116C3"/>
    <w:rsid w:val="0031236B"/>
    <w:rsid w:val="0035230D"/>
    <w:rsid w:val="003625A5"/>
    <w:rsid w:val="003625F0"/>
    <w:rsid w:val="003639D4"/>
    <w:rsid w:val="00364CEE"/>
    <w:rsid w:val="003837E9"/>
    <w:rsid w:val="003A35CF"/>
    <w:rsid w:val="003B48C6"/>
    <w:rsid w:val="003E4A4C"/>
    <w:rsid w:val="003F6FEA"/>
    <w:rsid w:val="004138E5"/>
    <w:rsid w:val="0043421E"/>
    <w:rsid w:val="00460BBA"/>
    <w:rsid w:val="0047414E"/>
    <w:rsid w:val="004B6EB4"/>
    <w:rsid w:val="00520759"/>
    <w:rsid w:val="00526189"/>
    <w:rsid w:val="0053073E"/>
    <w:rsid w:val="00536AEA"/>
    <w:rsid w:val="00542743"/>
    <w:rsid w:val="005551FE"/>
    <w:rsid w:val="005609AA"/>
    <w:rsid w:val="00570864"/>
    <w:rsid w:val="0057555E"/>
    <w:rsid w:val="00595E0A"/>
    <w:rsid w:val="005C0120"/>
    <w:rsid w:val="005C5E63"/>
    <w:rsid w:val="006048D4"/>
    <w:rsid w:val="00604DB0"/>
    <w:rsid w:val="00607F50"/>
    <w:rsid w:val="006146D7"/>
    <w:rsid w:val="00624885"/>
    <w:rsid w:val="006667E5"/>
    <w:rsid w:val="00666D67"/>
    <w:rsid w:val="006C4B3E"/>
    <w:rsid w:val="006D496F"/>
    <w:rsid w:val="006D6C4E"/>
    <w:rsid w:val="007017B1"/>
    <w:rsid w:val="00714B5C"/>
    <w:rsid w:val="00725AAB"/>
    <w:rsid w:val="00731874"/>
    <w:rsid w:val="0073446B"/>
    <w:rsid w:val="007473A2"/>
    <w:rsid w:val="00762555"/>
    <w:rsid w:val="00763947"/>
    <w:rsid w:val="00764966"/>
    <w:rsid w:val="00784999"/>
    <w:rsid w:val="007B4CBA"/>
    <w:rsid w:val="007C63FB"/>
    <w:rsid w:val="007D555F"/>
    <w:rsid w:val="007E397D"/>
    <w:rsid w:val="007F3449"/>
    <w:rsid w:val="007F7CF7"/>
    <w:rsid w:val="00811435"/>
    <w:rsid w:val="008249FF"/>
    <w:rsid w:val="0083061E"/>
    <w:rsid w:val="00842D58"/>
    <w:rsid w:val="008471F3"/>
    <w:rsid w:val="0085318F"/>
    <w:rsid w:val="00861CC5"/>
    <w:rsid w:val="008849B4"/>
    <w:rsid w:val="0089369C"/>
    <w:rsid w:val="0089551B"/>
    <w:rsid w:val="008A235F"/>
    <w:rsid w:val="008C2BA5"/>
    <w:rsid w:val="008C7C7B"/>
    <w:rsid w:val="008E0F45"/>
    <w:rsid w:val="00901134"/>
    <w:rsid w:val="00914485"/>
    <w:rsid w:val="00916748"/>
    <w:rsid w:val="00916CD6"/>
    <w:rsid w:val="00921932"/>
    <w:rsid w:val="009330EE"/>
    <w:rsid w:val="00937F29"/>
    <w:rsid w:val="00965511"/>
    <w:rsid w:val="009B3D10"/>
    <w:rsid w:val="009D5C43"/>
    <w:rsid w:val="009E275C"/>
    <w:rsid w:val="009F3C21"/>
    <w:rsid w:val="00A03CCC"/>
    <w:rsid w:val="00A12CF5"/>
    <w:rsid w:val="00A325CB"/>
    <w:rsid w:val="00A617A0"/>
    <w:rsid w:val="00A74364"/>
    <w:rsid w:val="00A750CA"/>
    <w:rsid w:val="00AA04B5"/>
    <w:rsid w:val="00AC0C28"/>
    <w:rsid w:val="00AC1678"/>
    <w:rsid w:val="00AC47ED"/>
    <w:rsid w:val="00AD04FA"/>
    <w:rsid w:val="00AE69D9"/>
    <w:rsid w:val="00B1081E"/>
    <w:rsid w:val="00B13C00"/>
    <w:rsid w:val="00B52859"/>
    <w:rsid w:val="00B80D32"/>
    <w:rsid w:val="00B838FD"/>
    <w:rsid w:val="00B87005"/>
    <w:rsid w:val="00B9628C"/>
    <w:rsid w:val="00B97194"/>
    <w:rsid w:val="00BB2C28"/>
    <w:rsid w:val="00BC1DD6"/>
    <w:rsid w:val="00BD1119"/>
    <w:rsid w:val="00BE508F"/>
    <w:rsid w:val="00BF2D06"/>
    <w:rsid w:val="00C3098D"/>
    <w:rsid w:val="00C435BF"/>
    <w:rsid w:val="00C8653A"/>
    <w:rsid w:val="00C871E4"/>
    <w:rsid w:val="00C87E36"/>
    <w:rsid w:val="00CA6079"/>
    <w:rsid w:val="00CB1C7C"/>
    <w:rsid w:val="00D03705"/>
    <w:rsid w:val="00D20FF4"/>
    <w:rsid w:val="00D43802"/>
    <w:rsid w:val="00D4583F"/>
    <w:rsid w:val="00D90997"/>
    <w:rsid w:val="00DB15C0"/>
    <w:rsid w:val="00DC4E9B"/>
    <w:rsid w:val="00DD1EF2"/>
    <w:rsid w:val="00DF6A08"/>
    <w:rsid w:val="00E12D8E"/>
    <w:rsid w:val="00E90116"/>
    <w:rsid w:val="00EA4525"/>
    <w:rsid w:val="00EC4DAE"/>
    <w:rsid w:val="00ED2045"/>
    <w:rsid w:val="00EE090D"/>
    <w:rsid w:val="00EF492F"/>
    <w:rsid w:val="00F14AD6"/>
    <w:rsid w:val="00F159B9"/>
    <w:rsid w:val="00F36D5B"/>
    <w:rsid w:val="00F7032C"/>
    <w:rsid w:val="00F80111"/>
    <w:rsid w:val="00FC05A9"/>
    <w:rsid w:val="00FD6A3D"/>
    <w:rsid w:val="00FE10D4"/>
    <w:rsid w:val="00FF55D4"/>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BE6AB"/>
  <w15:docId w15:val="{006B9FAE-80ED-4558-AD46-610578E27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CCC"/>
    <w:rPr>
      <w:sz w:val="24"/>
      <w:szCs w:val="24"/>
    </w:rPr>
  </w:style>
  <w:style w:type="paragraph" w:styleId="Heading1">
    <w:name w:val="heading 1"/>
    <w:basedOn w:val="Normal"/>
    <w:next w:val="Normal"/>
    <w:link w:val="Heading1Char"/>
    <w:qFormat/>
    <w:rsid w:val="008849B4"/>
    <w:pPr>
      <w:keepNext/>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80D32"/>
    <w:rPr>
      <w:rFonts w:ascii="Tahoma" w:hAnsi="Tahoma" w:cs="Tahoma"/>
      <w:sz w:val="16"/>
      <w:szCs w:val="16"/>
    </w:rPr>
  </w:style>
  <w:style w:type="character" w:customStyle="1" w:styleId="BalloonTextChar">
    <w:name w:val="Balloon Text Char"/>
    <w:basedOn w:val="DefaultParagraphFont"/>
    <w:link w:val="BalloonText"/>
    <w:rsid w:val="00B80D32"/>
    <w:rPr>
      <w:rFonts w:ascii="Tahoma" w:hAnsi="Tahoma" w:cs="Tahoma"/>
      <w:sz w:val="16"/>
      <w:szCs w:val="16"/>
    </w:rPr>
  </w:style>
  <w:style w:type="paragraph" w:styleId="Header">
    <w:name w:val="header"/>
    <w:basedOn w:val="Normal"/>
    <w:link w:val="HeaderChar"/>
    <w:uiPriority w:val="99"/>
    <w:rsid w:val="000F13CE"/>
    <w:pPr>
      <w:tabs>
        <w:tab w:val="center" w:pos="4680"/>
        <w:tab w:val="right" w:pos="9360"/>
      </w:tabs>
    </w:pPr>
  </w:style>
  <w:style w:type="character" w:customStyle="1" w:styleId="HeaderChar">
    <w:name w:val="Header Char"/>
    <w:basedOn w:val="DefaultParagraphFont"/>
    <w:link w:val="Header"/>
    <w:uiPriority w:val="99"/>
    <w:rsid w:val="000F13CE"/>
    <w:rPr>
      <w:sz w:val="24"/>
      <w:szCs w:val="24"/>
    </w:rPr>
  </w:style>
  <w:style w:type="paragraph" w:styleId="Footer">
    <w:name w:val="footer"/>
    <w:basedOn w:val="Normal"/>
    <w:link w:val="FooterChar"/>
    <w:uiPriority w:val="99"/>
    <w:rsid w:val="000F13CE"/>
    <w:pPr>
      <w:tabs>
        <w:tab w:val="center" w:pos="4680"/>
        <w:tab w:val="right" w:pos="9360"/>
      </w:tabs>
    </w:pPr>
  </w:style>
  <w:style w:type="character" w:customStyle="1" w:styleId="FooterChar">
    <w:name w:val="Footer Char"/>
    <w:basedOn w:val="DefaultParagraphFont"/>
    <w:link w:val="Footer"/>
    <w:uiPriority w:val="99"/>
    <w:rsid w:val="000F13CE"/>
    <w:rPr>
      <w:sz w:val="24"/>
      <w:szCs w:val="24"/>
    </w:rPr>
  </w:style>
  <w:style w:type="character" w:customStyle="1" w:styleId="Heading1Char">
    <w:name w:val="Heading 1 Char"/>
    <w:basedOn w:val="DefaultParagraphFont"/>
    <w:link w:val="Heading1"/>
    <w:rsid w:val="008849B4"/>
    <w:rPr>
      <w:i/>
      <w:iCs/>
      <w:sz w:val="24"/>
      <w:szCs w:val="24"/>
    </w:rPr>
  </w:style>
  <w:style w:type="paragraph" w:styleId="FootnoteText">
    <w:name w:val="footnote text"/>
    <w:basedOn w:val="Normal"/>
    <w:link w:val="FootnoteTextChar"/>
    <w:rsid w:val="008849B4"/>
    <w:rPr>
      <w:sz w:val="18"/>
      <w:szCs w:val="20"/>
    </w:rPr>
  </w:style>
  <w:style w:type="character" w:customStyle="1" w:styleId="FootnoteTextChar">
    <w:name w:val="Footnote Text Char"/>
    <w:basedOn w:val="DefaultParagraphFont"/>
    <w:link w:val="FootnoteText"/>
    <w:rsid w:val="008849B4"/>
    <w:rPr>
      <w:sz w:val="18"/>
    </w:rPr>
  </w:style>
  <w:style w:type="character" w:styleId="FootnoteReference">
    <w:name w:val="footnote reference"/>
    <w:basedOn w:val="DefaultParagraphFont"/>
    <w:rsid w:val="008849B4"/>
    <w:rPr>
      <w:vertAlign w:val="superscript"/>
    </w:rPr>
  </w:style>
  <w:style w:type="paragraph" w:styleId="ListParagraph">
    <w:name w:val="List Paragraph"/>
    <w:basedOn w:val="Normal"/>
    <w:uiPriority w:val="99"/>
    <w:qFormat/>
    <w:rsid w:val="008849B4"/>
    <w:pPr>
      <w:ind w:left="720"/>
    </w:pPr>
  </w:style>
  <w:style w:type="character" w:customStyle="1" w:styleId="hyperlinkchar">
    <w:name w:val="hyperlinkchar"/>
    <w:basedOn w:val="DefaultParagraphFont"/>
    <w:rsid w:val="008849B4"/>
  </w:style>
  <w:style w:type="character" w:styleId="CommentReference">
    <w:name w:val="annotation reference"/>
    <w:basedOn w:val="DefaultParagraphFont"/>
    <w:rsid w:val="008849B4"/>
    <w:rPr>
      <w:sz w:val="16"/>
      <w:szCs w:val="16"/>
    </w:rPr>
  </w:style>
  <w:style w:type="paragraph" w:styleId="CommentText">
    <w:name w:val="annotation text"/>
    <w:basedOn w:val="Normal"/>
    <w:link w:val="CommentTextChar"/>
    <w:rsid w:val="008849B4"/>
    <w:rPr>
      <w:sz w:val="20"/>
      <w:szCs w:val="20"/>
    </w:rPr>
  </w:style>
  <w:style w:type="character" w:customStyle="1" w:styleId="CommentTextChar">
    <w:name w:val="Comment Text Char"/>
    <w:basedOn w:val="DefaultParagraphFont"/>
    <w:link w:val="CommentText"/>
    <w:rsid w:val="008849B4"/>
  </w:style>
  <w:style w:type="paragraph" w:styleId="CommentSubject">
    <w:name w:val="annotation subject"/>
    <w:basedOn w:val="CommentText"/>
    <w:next w:val="CommentText"/>
    <w:link w:val="CommentSubjectChar"/>
    <w:rsid w:val="008849B4"/>
    <w:rPr>
      <w:b/>
      <w:bCs/>
    </w:rPr>
  </w:style>
  <w:style w:type="character" w:customStyle="1" w:styleId="CommentSubjectChar">
    <w:name w:val="Comment Subject Char"/>
    <w:basedOn w:val="CommentTextChar"/>
    <w:link w:val="CommentSubject"/>
    <w:rsid w:val="008849B4"/>
    <w:rPr>
      <w:b/>
      <w:bCs/>
    </w:rPr>
  </w:style>
  <w:style w:type="character" w:styleId="Hyperlink">
    <w:name w:val="Hyperlink"/>
    <w:basedOn w:val="DefaultParagraphFont"/>
    <w:rsid w:val="001A082D"/>
    <w:rPr>
      <w:color w:val="0000FF" w:themeColor="hyperlink"/>
      <w:u w:val="single"/>
    </w:rPr>
  </w:style>
  <w:style w:type="character" w:styleId="FollowedHyperlink">
    <w:name w:val="FollowedHyperlink"/>
    <w:basedOn w:val="DefaultParagraphFont"/>
    <w:rsid w:val="00A12CF5"/>
    <w:rPr>
      <w:color w:val="800080" w:themeColor="followedHyperlink"/>
      <w:u w:val="single"/>
    </w:rPr>
  </w:style>
  <w:style w:type="character" w:styleId="UnresolvedMention">
    <w:name w:val="Unresolved Mention"/>
    <w:basedOn w:val="DefaultParagraphFont"/>
    <w:uiPriority w:val="99"/>
    <w:semiHidden/>
    <w:unhideWhenUsed/>
    <w:rsid w:val="00D20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43694">
      <w:bodyDiv w:val="1"/>
      <w:marLeft w:val="0"/>
      <w:marRight w:val="0"/>
      <w:marTop w:val="0"/>
      <w:marBottom w:val="0"/>
      <w:divBdr>
        <w:top w:val="none" w:sz="0" w:space="0" w:color="auto"/>
        <w:left w:val="none" w:sz="0" w:space="0" w:color="auto"/>
        <w:bottom w:val="none" w:sz="0" w:space="0" w:color="auto"/>
        <w:right w:val="none" w:sz="0" w:space="0" w:color="auto"/>
      </w:divBdr>
    </w:div>
    <w:div w:id="615216567">
      <w:bodyDiv w:val="1"/>
      <w:marLeft w:val="0"/>
      <w:marRight w:val="0"/>
      <w:marTop w:val="0"/>
      <w:marBottom w:val="0"/>
      <w:divBdr>
        <w:top w:val="none" w:sz="0" w:space="0" w:color="auto"/>
        <w:left w:val="none" w:sz="0" w:space="0" w:color="auto"/>
        <w:bottom w:val="none" w:sz="0" w:space="0" w:color="auto"/>
        <w:right w:val="none" w:sz="0" w:space="0" w:color="auto"/>
      </w:divBdr>
    </w:div>
    <w:div w:id="159574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files.doe.mass.edu/accountability/report/aboutdata.aspx"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hyperlink" Target="https://malegislature.gov/Laws/GeneralLaws/PartI/TitleXII/Chapter71/Section89"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doe.mass.edu/lawsregs/603cmr1.html?section=04" TargetMode="External"/><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header" Target="header8.xml"/><Relationship Id="rId60"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sped/hehi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profiles.doe.mass.edu/"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hyperlink" Target="http://profiles.doe.mass.edu/" TargetMode="External"/><Relationship Id="rId46" Type="http://schemas.openxmlformats.org/officeDocument/2006/relationships/image" Target="media/image20.png"/><Relationship Id="rId59"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hyperlink" Target="http://www.doe.mass.edu/charter/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DESE-231-64070</_dlc_DocId>
    <_dlc_DocIdUrl xmlns="733efe1c-5bbe-4968-87dc-d400e65c879f">
      <Url>https://sharepoint.doemass.org/ese/webteam/cps/_layouts/DocIdRedir.aspx?ID=DESE-231-64070</Url>
      <Description>DESE-231-64070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45FA43-384F-47A7-A87E-A34660855B9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A4BCF553-B4D9-449A-9A4D-8904C6B18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164D8E-3762-487E-8D78-88E69BABB18C}">
  <ds:schemaRefs>
    <ds:schemaRef ds:uri="http://schemas.microsoft.com/sharepoint/events"/>
  </ds:schemaRefs>
</ds:datastoreItem>
</file>

<file path=customXml/itemProps4.xml><?xml version="1.0" encoding="utf-8"?>
<ds:datastoreItem xmlns:ds="http://schemas.openxmlformats.org/officeDocument/2006/customXml" ds:itemID="{03B0BB5D-1E58-4DE3-81FF-0C6B0B4C42BA}">
  <ds:schemaRefs>
    <ds:schemaRef ds:uri="http://schemas.microsoft.com/sharepoint/v3/contenttype/forms"/>
  </ds:schemaRefs>
</ds:datastoreItem>
</file>

<file path=customXml/itemProps5.xml><?xml version="1.0" encoding="utf-8"?>
<ds:datastoreItem xmlns:ds="http://schemas.openxmlformats.org/officeDocument/2006/customXml" ds:itemID="{33721356-FBC3-4278-BB09-FA6F445A0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Academic Performance Data, Student Enrollment Demographics, Student Attrition Rates, and Five Year Financial Summary for Pioneer Valley Chinese Immersion Charter School</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Performance Data, Student Enrollment Demographics, Student Attrition Rates, and Five Year Financial Summary for Pioneer Valley Chinese Immersion Charter School</dc:title>
  <dc:subject/>
  <dc:creator>DESE</dc:creator>
  <cp:lastModifiedBy>Zou, Dong (EOE)</cp:lastModifiedBy>
  <cp:revision>5</cp:revision>
  <cp:lastPrinted>2016-06-15T17:54:00Z</cp:lastPrinted>
  <dcterms:created xsi:type="dcterms:W3CDTF">2020-08-31T14:55:00Z</dcterms:created>
  <dcterms:modified xsi:type="dcterms:W3CDTF">2020-09-02T00:59:00Z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1 2020</vt:lpwstr>
  </property>
</Properties>
</file>