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C098890" w14:textId="77777777" w:rsidR="00C05027" w:rsidRDefault="00800B10" w:rsidP="00504697">
      <w:pPr>
        <w:pStyle w:val="Heading1"/>
        <w:jc w:val="center"/>
      </w:pPr>
      <w:bookmarkStart w:id="0" w:name="_GoBack"/>
      <w:bookmarkEnd w:id="0"/>
      <w:r>
        <w:t xml:space="preserve">Level 5 Schools 2016–17 Quarter 2 Report: </w:t>
      </w:r>
      <w:r w:rsidR="001E522D">
        <w:br/>
      </w:r>
      <w:r>
        <w:t>Morgan Full Service Community School</w:t>
      </w:r>
    </w:p>
    <w:tbl>
      <w:tblPr>
        <w:tblStyle w:val="a"/>
        <w:tblW w:w="9350" w:type="dxa"/>
        <w:jc w:val="center"/>
        <w:tblLayout w:type="fixed"/>
        <w:tblLook w:val="0400" w:firstRow="0" w:lastRow="0" w:firstColumn="0" w:lastColumn="0" w:noHBand="0" w:noVBand="1"/>
      </w:tblPr>
      <w:tblGrid>
        <w:gridCol w:w="2856"/>
        <w:gridCol w:w="2085"/>
        <w:gridCol w:w="2881"/>
        <w:gridCol w:w="1528"/>
      </w:tblGrid>
      <w:tr w:rsidR="00C05027" w:rsidRPr="001E522D" w14:paraId="6C098893" w14:textId="77777777" w:rsidTr="001E522D">
        <w:trPr>
          <w:jc w:val="center"/>
        </w:trPr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15" w:type="dxa"/>
              <w:right w:w="115" w:type="dxa"/>
            </w:tcMar>
            <w:vAlign w:val="center"/>
          </w:tcPr>
          <w:p w14:paraId="6C098891" w14:textId="77777777" w:rsidR="00C05027" w:rsidRPr="001E522D" w:rsidRDefault="00800B10" w:rsidP="001E522D">
            <w:pPr>
              <w:spacing w:before="40" w:after="40"/>
              <w:jc w:val="center"/>
            </w:pPr>
            <w:r w:rsidRPr="001E522D">
              <w:rPr>
                <w:b/>
              </w:rPr>
              <w:t>School Information</w:t>
            </w:r>
          </w:p>
        </w:tc>
        <w:tc>
          <w:tcPr>
            <w:tcW w:w="4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15" w:type="dxa"/>
              <w:right w:w="115" w:type="dxa"/>
            </w:tcMar>
            <w:vAlign w:val="center"/>
          </w:tcPr>
          <w:p w14:paraId="6C098892" w14:textId="77777777" w:rsidR="00C05027" w:rsidRPr="001E522D" w:rsidRDefault="00800B10" w:rsidP="001E522D">
            <w:pPr>
              <w:spacing w:before="40" w:after="40"/>
              <w:jc w:val="center"/>
            </w:pPr>
            <w:r w:rsidRPr="001E522D">
              <w:rPr>
                <w:b/>
              </w:rPr>
              <w:t>Student Enrollment and Demographics</w:t>
            </w:r>
          </w:p>
        </w:tc>
      </w:tr>
      <w:tr w:rsidR="00C05027" w:rsidRPr="001E522D" w14:paraId="6C098898" w14:textId="77777777" w:rsidTr="001E522D">
        <w:trPr>
          <w:jc w:val="center"/>
        </w:trPr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 w14:paraId="6C098894" w14:textId="77777777" w:rsidR="00C05027" w:rsidRPr="001E522D" w:rsidRDefault="00800B10" w:rsidP="001E522D">
            <w:pPr>
              <w:spacing w:before="40" w:after="40"/>
            </w:pPr>
            <w:r w:rsidRPr="001E522D">
              <w:rPr>
                <w:b/>
              </w:rPr>
              <w:t>Location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C098895" w14:textId="77777777" w:rsidR="00C05027" w:rsidRPr="001E522D" w:rsidRDefault="00800B10" w:rsidP="001E522D">
            <w:pPr>
              <w:spacing w:before="40" w:after="40"/>
            </w:pPr>
            <w:r w:rsidRPr="001E522D">
              <w:t>Holyoke, Massachusetts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 w14:paraId="6C098896" w14:textId="77777777" w:rsidR="00C05027" w:rsidRPr="001E522D" w:rsidRDefault="00800B10" w:rsidP="001E522D">
            <w:pPr>
              <w:spacing w:before="40" w:after="40"/>
            </w:pPr>
            <w:r w:rsidRPr="001E522D">
              <w:rPr>
                <w:b/>
              </w:rPr>
              <w:t>Total SY 2016–17</w:t>
            </w:r>
            <w:r w:rsidRPr="001E522D">
              <w:rPr>
                <w:b/>
              </w:rPr>
              <w:br/>
              <w:t>Enrollment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C098897" w14:textId="77777777" w:rsidR="00C05027" w:rsidRPr="001E522D" w:rsidRDefault="00800B10" w:rsidP="001E522D">
            <w:pPr>
              <w:spacing w:before="40" w:after="40"/>
              <w:jc w:val="center"/>
            </w:pPr>
            <w:r w:rsidRPr="001E522D">
              <w:t>413</w:t>
            </w:r>
          </w:p>
        </w:tc>
      </w:tr>
      <w:tr w:rsidR="00504697" w:rsidRPr="001E522D" w14:paraId="6C09889D" w14:textId="77777777" w:rsidTr="001E522D">
        <w:trPr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 w14:paraId="6C098899" w14:textId="77777777" w:rsidR="00504697" w:rsidRPr="001E522D" w:rsidRDefault="00504697" w:rsidP="00504697">
            <w:pPr>
              <w:spacing w:before="40" w:after="40"/>
            </w:pPr>
            <w:r w:rsidRPr="001E522D">
              <w:rPr>
                <w:b/>
              </w:rPr>
              <w:t>Current Status</w:t>
            </w:r>
          </w:p>
        </w:tc>
        <w:tc>
          <w:tcPr>
            <w:tcW w:w="2085" w:type="dxa"/>
            <w:tcBorders>
              <w:top w:val="nil"/>
              <w:left w:val="nil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C09889A" w14:textId="77777777" w:rsidR="00504697" w:rsidRPr="001E522D" w:rsidRDefault="00504697" w:rsidP="00504697">
            <w:pPr>
              <w:spacing w:before="40" w:after="40"/>
            </w:pPr>
            <w:r w:rsidRPr="001E522D">
              <w:t>Level 5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 w14:paraId="6C09889B" w14:textId="77777777" w:rsidR="00504697" w:rsidRPr="001E522D" w:rsidRDefault="00504697" w:rsidP="00504697">
            <w:pPr>
              <w:spacing w:before="40" w:after="40"/>
            </w:pPr>
            <w:r w:rsidRPr="001E522D">
              <w:rPr>
                <w:b/>
              </w:rPr>
              <w:t>Percentage SWDs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C09889C" w14:textId="77777777" w:rsidR="00504697" w:rsidRPr="001E522D" w:rsidRDefault="00504697" w:rsidP="00504697">
            <w:pPr>
              <w:spacing w:before="40" w:after="40"/>
              <w:jc w:val="center"/>
            </w:pPr>
            <w:r w:rsidRPr="001E522D">
              <w:t>19%</w:t>
            </w:r>
          </w:p>
        </w:tc>
      </w:tr>
      <w:tr w:rsidR="00504697" w:rsidRPr="001E522D" w14:paraId="6C0988A2" w14:textId="77777777" w:rsidTr="001E522D">
        <w:trPr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 w14:paraId="6C09889E" w14:textId="77777777" w:rsidR="00504697" w:rsidRPr="001E522D" w:rsidRDefault="00504697" w:rsidP="00504697">
            <w:pPr>
              <w:spacing w:before="40" w:after="40"/>
            </w:pPr>
            <w:r w:rsidRPr="001E522D">
              <w:rPr>
                <w:b/>
              </w:rPr>
              <w:t>Receiver Name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C09889F" w14:textId="77777777" w:rsidR="00504697" w:rsidRPr="001E522D" w:rsidRDefault="00504697" w:rsidP="00504697">
            <w:pPr>
              <w:spacing w:before="40" w:after="40"/>
            </w:pPr>
            <w:r w:rsidRPr="001E522D">
              <w:t>Dr. Stephen Zrike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 w14:paraId="6C0988A0" w14:textId="77777777" w:rsidR="00504697" w:rsidRPr="001E522D" w:rsidRDefault="00504697" w:rsidP="00504697">
            <w:pPr>
              <w:spacing w:before="40" w:after="40"/>
            </w:pPr>
            <w:r w:rsidRPr="001E522D">
              <w:rPr>
                <w:b/>
              </w:rPr>
              <w:t>Percentage ELLs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C0988A1" w14:textId="77777777" w:rsidR="00504697" w:rsidRPr="001E522D" w:rsidRDefault="00504697" w:rsidP="00504697">
            <w:pPr>
              <w:spacing w:before="40" w:after="40"/>
              <w:jc w:val="center"/>
            </w:pPr>
            <w:r w:rsidRPr="001E522D">
              <w:t>37%</w:t>
            </w:r>
          </w:p>
        </w:tc>
      </w:tr>
      <w:tr w:rsidR="00504697" w:rsidRPr="001E522D" w14:paraId="6C0988A7" w14:textId="77777777" w:rsidTr="009E06C3">
        <w:trPr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 w14:paraId="6C0988A3" w14:textId="77777777" w:rsidR="00504697" w:rsidRPr="001E522D" w:rsidRDefault="00504697" w:rsidP="00504697">
            <w:pPr>
              <w:spacing w:before="40" w:after="40"/>
            </w:pPr>
            <w:r w:rsidRPr="001E522D">
              <w:rPr>
                <w:b/>
              </w:rPr>
              <w:t>Year Designated Level 5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C0988A4" w14:textId="77777777" w:rsidR="00504697" w:rsidRPr="001E522D" w:rsidRDefault="00504697" w:rsidP="00504697">
            <w:pPr>
              <w:spacing w:before="40" w:after="40"/>
            </w:pPr>
            <w:r w:rsidRPr="001E522D">
              <w:t>2013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 w14:paraId="6C0988A5" w14:textId="77777777" w:rsidR="00504697" w:rsidRPr="001E522D" w:rsidRDefault="00504697" w:rsidP="00504697">
            <w:pPr>
              <w:spacing w:before="40" w:after="40"/>
            </w:pPr>
            <w:r w:rsidRPr="001E522D">
              <w:rPr>
                <w:b/>
              </w:rPr>
              <w:t xml:space="preserve">Percentage Black 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C0988A6" w14:textId="77777777" w:rsidR="00504697" w:rsidRPr="001E522D" w:rsidRDefault="00504697" w:rsidP="00504697">
            <w:pPr>
              <w:spacing w:before="40" w:after="40"/>
              <w:jc w:val="center"/>
            </w:pPr>
            <w:r>
              <w:t xml:space="preserve">  </w:t>
            </w:r>
            <w:r w:rsidRPr="001E522D">
              <w:t>4%</w:t>
            </w:r>
          </w:p>
        </w:tc>
      </w:tr>
      <w:tr w:rsidR="00504697" w:rsidRPr="001E522D" w14:paraId="6C0988AC" w14:textId="77777777" w:rsidTr="009E06C3">
        <w:trPr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 w14:paraId="6C0988A8" w14:textId="77777777" w:rsidR="00504697" w:rsidRPr="001E522D" w:rsidRDefault="00504697" w:rsidP="00504697">
            <w:pPr>
              <w:spacing w:before="40" w:after="40"/>
            </w:pPr>
            <w:r w:rsidRPr="001E522D">
              <w:rPr>
                <w:b/>
              </w:rPr>
              <w:t>Year Designated Level 4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C0988A9" w14:textId="77777777" w:rsidR="00504697" w:rsidRPr="001E522D" w:rsidRDefault="00504697" w:rsidP="00504697">
            <w:pPr>
              <w:spacing w:before="40" w:after="40"/>
            </w:pPr>
            <w:r w:rsidRPr="001E522D">
              <w:t>2010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 w14:paraId="6C0988AA" w14:textId="77777777" w:rsidR="00504697" w:rsidRPr="001E522D" w:rsidRDefault="00504697" w:rsidP="00504697">
            <w:pPr>
              <w:spacing w:before="40" w:after="40"/>
            </w:pPr>
            <w:r w:rsidRPr="001E522D">
              <w:rPr>
                <w:b/>
              </w:rPr>
              <w:t>Percentage Latino/Hispanic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C0988AB" w14:textId="77777777" w:rsidR="00504697" w:rsidRPr="001E522D" w:rsidRDefault="00504697" w:rsidP="00504697">
            <w:pPr>
              <w:spacing w:before="40" w:after="40"/>
              <w:jc w:val="center"/>
            </w:pPr>
            <w:r>
              <w:t>91</w:t>
            </w:r>
            <w:r w:rsidRPr="001E522D">
              <w:t>%</w:t>
            </w:r>
          </w:p>
        </w:tc>
      </w:tr>
      <w:tr w:rsidR="00504697" w:rsidRPr="001E522D" w14:paraId="6C0988B1" w14:textId="77777777" w:rsidTr="001E522D">
        <w:trPr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 w14:paraId="6C0988AD" w14:textId="77777777" w:rsidR="00504697" w:rsidRPr="001E522D" w:rsidRDefault="00504697" w:rsidP="00504697">
            <w:pPr>
              <w:spacing w:before="40" w:after="40"/>
            </w:pPr>
            <w:r w:rsidRPr="001E522D">
              <w:rPr>
                <w:b/>
              </w:rPr>
              <w:t>Grade Span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C0988AE" w14:textId="77777777" w:rsidR="00504697" w:rsidRPr="001E522D" w:rsidRDefault="00504697" w:rsidP="00504697">
            <w:pPr>
              <w:spacing w:before="40" w:after="40"/>
            </w:pPr>
            <w:r w:rsidRPr="001E522D">
              <w:t>PK–8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 w14:paraId="6C0988AF" w14:textId="77777777" w:rsidR="00504697" w:rsidRPr="001E522D" w:rsidRDefault="00504697" w:rsidP="00504697">
            <w:pPr>
              <w:spacing w:before="40" w:after="40"/>
            </w:pPr>
            <w:r w:rsidRPr="001E522D">
              <w:rPr>
                <w:b/>
              </w:rPr>
              <w:t>Percentage Asian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C0988B0" w14:textId="77777777" w:rsidR="00504697" w:rsidRPr="001E522D" w:rsidRDefault="00504697" w:rsidP="00504697">
            <w:pPr>
              <w:spacing w:before="40" w:after="40"/>
              <w:jc w:val="center"/>
            </w:pPr>
            <w:r>
              <w:t xml:space="preserve">  </w:t>
            </w:r>
            <w:r w:rsidRPr="001E522D">
              <w:t>1%</w:t>
            </w:r>
          </w:p>
        </w:tc>
      </w:tr>
      <w:tr w:rsidR="00504697" w:rsidRPr="001E522D" w14:paraId="6C0988B6" w14:textId="77777777" w:rsidTr="001E522D">
        <w:trPr>
          <w:jc w:val="center"/>
        </w:trPr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 w14:paraId="6C0988B2" w14:textId="77777777" w:rsidR="00504697" w:rsidRPr="001E522D" w:rsidRDefault="00504697" w:rsidP="00504697">
            <w:pPr>
              <w:spacing w:before="40" w:after="40"/>
            </w:pPr>
            <w:r w:rsidRPr="001E522D">
              <w:rPr>
                <w:b/>
              </w:rPr>
              <w:t>Number of Full-Time Staff in SY 2016–17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C0988B3" w14:textId="77777777" w:rsidR="00504697" w:rsidRPr="001E522D" w:rsidRDefault="00504697" w:rsidP="00504697">
            <w:pPr>
              <w:spacing w:before="40" w:after="40"/>
            </w:pPr>
            <w:r>
              <w:t>59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 w14:paraId="6C0988B4" w14:textId="77777777" w:rsidR="00504697" w:rsidRPr="001E522D" w:rsidRDefault="00504697" w:rsidP="00504697">
            <w:pPr>
              <w:spacing w:before="40" w:after="40"/>
            </w:pPr>
            <w:r w:rsidRPr="001E522D">
              <w:rPr>
                <w:b/>
              </w:rPr>
              <w:t>Percentage White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C0988B5" w14:textId="77777777" w:rsidR="00504697" w:rsidRPr="001E522D" w:rsidRDefault="00504697" w:rsidP="00504697">
            <w:pPr>
              <w:spacing w:before="40" w:after="40"/>
              <w:jc w:val="center"/>
            </w:pPr>
            <w:r>
              <w:t xml:space="preserve">  </w:t>
            </w:r>
            <w:r w:rsidRPr="001E522D">
              <w:t>3%</w:t>
            </w:r>
          </w:p>
        </w:tc>
      </w:tr>
      <w:tr w:rsidR="00504697" w:rsidRPr="001E522D" w14:paraId="6C0988BB" w14:textId="77777777" w:rsidTr="001E522D">
        <w:trPr>
          <w:jc w:val="center"/>
        </w:trPr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 w14:paraId="6C0988B7" w14:textId="77777777" w:rsidR="00504697" w:rsidRPr="001E522D" w:rsidRDefault="00504697" w:rsidP="00504697">
            <w:pPr>
              <w:spacing w:before="40" w:after="40" w:line="276" w:lineRule="auto"/>
            </w:pPr>
          </w:p>
        </w:tc>
        <w:tc>
          <w:tcPr>
            <w:tcW w:w="2085" w:type="dxa"/>
            <w:vMerge/>
            <w:tcBorders>
              <w:left w:val="nil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C0988B8" w14:textId="77777777" w:rsidR="00504697" w:rsidRPr="001E522D" w:rsidRDefault="00504697" w:rsidP="00504697">
            <w:pPr>
              <w:spacing w:before="40" w:after="40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 w14:paraId="6C0988B9" w14:textId="77777777" w:rsidR="00504697" w:rsidRPr="001E522D" w:rsidRDefault="00504697" w:rsidP="00504697">
            <w:pPr>
              <w:spacing w:before="40" w:after="40"/>
            </w:pPr>
            <w:r w:rsidRPr="001E522D">
              <w:rPr>
                <w:b/>
              </w:rPr>
              <w:t>Percentage Multirace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C0988BA" w14:textId="77777777" w:rsidR="00504697" w:rsidRPr="001E522D" w:rsidRDefault="00504697" w:rsidP="00504697">
            <w:pPr>
              <w:spacing w:before="40" w:after="40"/>
              <w:jc w:val="center"/>
            </w:pPr>
            <w:r>
              <w:t xml:space="preserve">  1</w:t>
            </w:r>
            <w:r w:rsidRPr="001E522D">
              <w:t>%</w:t>
            </w:r>
          </w:p>
        </w:tc>
      </w:tr>
      <w:tr w:rsidR="00504697" w:rsidRPr="001E522D" w14:paraId="6C0988BD" w14:textId="77777777" w:rsidTr="001E522D">
        <w:trPr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15" w:type="dxa"/>
              <w:right w:w="115" w:type="dxa"/>
            </w:tcMar>
            <w:vAlign w:val="center"/>
          </w:tcPr>
          <w:p w14:paraId="6C0988BC" w14:textId="77777777" w:rsidR="00504697" w:rsidRPr="001E522D" w:rsidRDefault="00504697" w:rsidP="00504697">
            <w:pPr>
              <w:spacing w:before="40" w:after="40"/>
              <w:jc w:val="center"/>
            </w:pPr>
            <w:r w:rsidRPr="001E522D">
              <w:rPr>
                <w:b/>
              </w:rPr>
              <w:t>Priority Areas</w:t>
            </w:r>
          </w:p>
        </w:tc>
      </w:tr>
      <w:tr w:rsidR="00504697" w:rsidRPr="001E522D" w14:paraId="6C0988C3" w14:textId="77777777" w:rsidTr="001E522D">
        <w:trPr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C0988BE" w14:textId="77777777" w:rsidR="00504697" w:rsidRPr="001E522D" w:rsidRDefault="00504697" w:rsidP="00504697">
            <w:pPr>
              <w:spacing w:before="40" w:after="40"/>
            </w:pPr>
            <w:bookmarkStart w:id="1" w:name="_gjdgxs" w:colFirst="0" w:colLast="0"/>
            <w:bookmarkEnd w:id="1"/>
            <w:r w:rsidRPr="001E522D">
              <w:rPr>
                <w:b/>
              </w:rPr>
              <w:t xml:space="preserve">Priority Area 1: </w:t>
            </w:r>
            <w:r w:rsidRPr="001E522D">
              <w:t>Recruitment and development of professional talent.</w:t>
            </w:r>
          </w:p>
          <w:p w14:paraId="6C0988BF" w14:textId="77777777" w:rsidR="00504697" w:rsidRPr="001E522D" w:rsidRDefault="00504697" w:rsidP="00504697">
            <w:pPr>
              <w:spacing w:before="40" w:after="40"/>
            </w:pPr>
            <w:r w:rsidRPr="001E522D">
              <w:rPr>
                <w:b/>
              </w:rPr>
              <w:t xml:space="preserve">Priority Area 2: </w:t>
            </w:r>
            <w:r w:rsidRPr="001E522D">
              <w:t>Systems to support professional learning and responsiveness in practice.</w:t>
            </w:r>
          </w:p>
          <w:p w14:paraId="6C0988C0" w14:textId="77777777" w:rsidR="00504697" w:rsidRPr="001E522D" w:rsidRDefault="00504697" w:rsidP="00504697">
            <w:pPr>
              <w:spacing w:before="40" w:after="40"/>
            </w:pPr>
            <w:r w:rsidRPr="001E522D">
              <w:rPr>
                <w:b/>
              </w:rPr>
              <w:t xml:space="preserve">Priority Area 3: </w:t>
            </w:r>
            <w:r w:rsidRPr="001E522D">
              <w:t>Creating a Center of Excellence for science, technology, engineering, and mathematics (STEM).</w:t>
            </w:r>
          </w:p>
          <w:p w14:paraId="6C0988C1" w14:textId="77777777" w:rsidR="00504697" w:rsidRPr="001E522D" w:rsidRDefault="00504697" w:rsidP="00504697">
            <w:pPr>
              <w:spacing w:before="40" w:after="40"/>
            </w:pPr>
            <w:r w:rsidRPr="001E522D">
              <w:rPr>
                <w:b/>
              </w:rPr>
              <w:t xml:space="preserve">Priority Area 4: </w:t>
            </w:r>
            <w:r w:rsidRPr="001E522D">
              <w:t>Targeted and aligned resources.</w:t>
            </w:r>
          </w:p>
          <w:p w14:paraId="6C0988C2" w14:textId="77777777" w:rsidR="00504697" w:rsidRPr="001E522D" w:rsidRDefault="00504697" w:rsidP="00504697">
            <w:pPr>
              <w:spacing w:before="40" w:after="40"/>
            </w:pPr>
            <w:r w:rsidRPr="001E522D">
              <w:rPr>
                <w:b/>
              </w:rPr>
              <w:t xml:space="preserve">Priority Area 5: </w:t>
            </w:r>
            <w:r w:rsidRPr="001E522D">
              <w:t>Enhancing and sustaining family and community engagement.</w:t>
            </w:r>
          </w:p>
        </w:tc>
      </w:tr>
    </w:tbl>
    <w:p w14:paraId="6C0988C4" w14:textId="77777777" w:rsidR="00C05027" w:rsidRPr="00D20900" w:rsidRDefault="00D20900" w:rsidP="001E522D">
      <w:pPr>
        <w:pStyle w:val="Tablenote"/>
      </w:pPr>
      <w:r w:rsidRPr="00504697">
        <w:rPr>
          <w:i/>
        </w:rPr>
        <w:t>Source.</w:t>
      </w:r>
      <w:r w:rsidRPr="00D20900">
        <w:t xml:space="preserve"> </w:t>
      </w:r>
      <w:r w:rsidR="00800B10" w:rsidRPr="00D20900">
        <w:t>Content provided by Receiver</w:t>
      </w:r>
      <w:r w:rsidR="00C64E8B">
        <w:t xml:space="preserve"> Dr.</w:t>
      </w:r>
      <w:r w:rsidR="00800B10" w:rsidRPr="00D20900">
        <w:t xml:space="preserve"> Stephen Zrike</w:t>
      </w:r>
      <w:r w:rsidRPr="00D20900">
        <w:t>.</w:t>
      </w:r>
    </w:p>
    <w:p w14:paraId="6C0988C5" w14:textId="77777777" w:rsidR="00C05027" w:rsidRDefault="00800B10" w:rsidP="001E522D">
      <w:pPr>
        <w:pStyle w:val="Heading2"/>
      </w:pPr>
      <w:r>
        <w:t>Executive Summary</w:t>
      </w:r>
    </w:p>
    <w:p w14:paraId="6C0988C6" w14:textId="77777777" w:rsidR="00C05027" w:rsidRDefault="00800B10" w:rsidP="001E522D">
      <w:pPr>
        <w:pStyle w:val="BodyText"/>
      </w:pPr>
      <w:r>
        <w:t xml:space="preserve">Morgan </w:t>
      </w:r>
      <w:r w:rsidR="00131371">
        <w:t xml:space="preserve">Full Service Community </w:t>
      </w:r>
      <w:r>
        <w:t>School</w:t>
      </w:r>
      <w:r w:rsidR="00131371">
        <w:t xml:space="preserve"> (Morgan)</w:t>
      </w:r>
      <w:r>
        <w:t xml:space="preserve"> continues to build on the momentum gained last year to create a climate and culture where students and staff feel safe and supported to accelerate their improvement and out</w:t>
      </w:r>
      <w:r w:rsidR="00453A87">
        <w:t>comes in teaching and learning.</w:t>
      </w:r>
      <w:r>
        <w:t xml:space="preserve"> </w:t>
      </w:r>
      <w:r w:rsidR="00D6755F">
        <w:t>L</w:t>
      </w:r>
      <w:r>
        <w:t>eadership continue</w:t>
      </w:r>
      <w:r w:rsidR="00217ADD">
        <w:t>s</w:t>
      </w:r>
      <w:r>
        <w:t xml:space="preserve"> to build the capacity of the </w:t>
      </w:r>
      <w:r w:rsidR="00217ADD">
        <w:t>instructional leadership team (</w:t>
      </w:r>
      <w:r>
        <w:t>ILT</w:t>
      </w:r>
      <w:r w:rsidR="00217ADD">
        <w:t>)</w:t>
      </w:r>
      <w:r>
        <w:t xml:space="preserve"> to lead the </w:t>
      </w:r>
      <w:r w:rsidR="00BB0121">
        <w:t xml:space="preserve">improvement </w:t>
      </w:r>
      <w:r>
        <w:t>work</w:t>
      </w:r>
      <w:r w:rsidRPr="00504697">
        <w:rPr>
          <w:spacing w:val="-2"/>
        </w:rPr>
        <w:t xml:space="preserve">; </w:t>
      </w:r>
      <w:r w:rsidR="00BB0121" w:rsidRPr="00504697">
        <w:rPr>
          <w:spacing w:val="-2"/>
        </w:rPr>
        <w:t xml:space="preserve">enrich </w:t>
      </w:r>
      <w:r w:rsidRPr="00504697">
        <w:rPr>
          <w:spacing w:val="-2"/>
        </w:rPr>
        <w:t>the data cycle and professional learning</w:t>
      </w:r>
      <w:r w:rsidR="00217ADD" w:rsidRPr="00504697">
        <w:rPr>
          <w:spacing w:val="-2"/>
        </w:rPr>
        <w:t>,</w:t>
      </w:r>
      <w:r w:rsidRPr="00504697">
        <w:rPr>
          <w:spacing w:val="-2"/>
        </w:rPr>
        <w:t xml:space="preserve"> with a focus on using various and targeted student achievement data strategically to inform decisions; and improve and enhance student support, enrichment opportunities</w:t>
      </w:r>
      <w:r w:rsidR="00217ADD" w:rsidRPr="00504697">
        <w:rPr>
          <w:spacing w:val="-2"/>
        </w:rPr>
        <w:t>,</w:t>
      </w:r>
      <w:r w:rsidRPr="00504697">
        <w:rPr>
          <w:spacing w:val="-2"/>
        </w:rPr>
        <w:t xml:space="preserve"> and </w:t>
      </w:r>
      <w:r w:rsidR="00453A87" w:rsidRPr="00504697">
        <w:rPr>
          <w:spacing w:val="-2"/>
        </w:rPr>
        <w:t xml:space="preserve">course offerings for students. </w:t>
      </w:r>
      <w:r w:rsidRPr="00504697">
        <w:rPr>
          <w:spacing w:val="-2"/>
        </w:rPr>
        <w:t>This work continues despite staffing, Internet</w:t>
      </w:r>
      <w:r w:rsidR="00217ADD" w:rsidRPr="00504697">
        <w:rPr>
          <w:spacing w:val="-2"/>
        </w:rPr>
        <w:t>,</w:t>
      </w:r>
      <w:r w:rsidRPr="00504697">
        <w:rPr>
          <w:spacing w:val="-2"/>
        </w:rPr>
        <w:t xml:space="preserve"> and data systems challenges experienced at the start of this year.</w:t>
      </w:r>
    </w:p>
    <w:p w14:paraId="6C0988C7" w14:textId="77777777" w:rsidR="00C05027" w:rsidRDefault="00800B10" w:rsidP="001E522D">
      <w:pPr>
        <w:pStyle w:val="BodyText"/>
      </w:pPr>
      <w:r>
        <w:t>Every teacher at Morgan has made at least three visits to students’ homes this year</w:t>
      </w:r>
      <w:r w:rsidR="00566D81">
        <w:t>,</w:t>
      </w:r>
      <w:r>
        <w:t xml:space="preserve"> and 77% of the te</w:t>
      </w:r>
      <w:r w:rsidR="00453A87">
        <w:t>achers have exceeded that goal.</w:t>
      </w:r>
      <w:r>
        <w:t xml:space="preserve"> Home visits are integral to the culture and climate at Morgan</w:t>
      </w:r>
      <w:r w:rsidR="00566D81">
        <w:t>,</w:t>
      </w:r>
      <w:r>
        <w:t xml:space="preserve"> and staff learn from each other to improve this practice and </w:t>
      </w:r>
      <w:r w:rsidR="00131371">
        <w:t xml:space="preserve">enhance </w:t>
      </w:r>
      <w:r>
        <w:t xml:space="preserve">its </w:t>
      </w:r>
      <w:r w:rsidR="00453A87">
        <w:t xml:space="preserve">impact on student performance. </w:t>
      </w:r>
      <w:r>
        <w:t>Morgan continues to offer families opportunities to participate in school events</w:t>
      </w:r>
      <w:r w:rsidR="00217ADD">
        <w:t>,</w:t>
      </w:r>
      <w:r>
        <w:t xml:space="preserve"> with 44% of families participating in at least one event </w:t>
      </w:r>
      <w:r w:rsidR="00131371">
        <w:t xml:space="preserve">so far </w:t>
      </w:r>
      <w:r>
        <w:t>t</w:t>
      </w:r>
      <w:r w:rsidR="00453A87">
        <w:t>his</w:t>
      </w:r>
      <w:r w:rsidR="00131371">
        <w:t xml:space="preserve"> school</w:t>
      </w:r>
      <w:r w:rsidR="00453A87">
        <w:t xml:space="preserve"> year. </w:t>
      </w:r>
      <w:r>
        <w:t xml:space="preserve">Morgan has continued with and accelerated </w:t>
      </w:r>
      <w:r w:rsidR="00217ADD">
        <w:t xml:space="preserve">its </w:t>
      </w:r>
      <w:r>
        <w:t xml:space="preserve">staff participation in the work of the South Holyoke Safe Neighborhood Initiative when </w:t>
      </w:r>
      <w:r w:rsidR="00217ADD">
        <w:t>it</w:t>
      </w:r>
      <w:r>
        <w:t xml:space="preserve"> sponsor</w:t>
      </w:r>
      <w:r w:rsidR="00217ADD">
        <w:t>s</w:t>
      </w:r>
      <w:r>
        <w:t xml:space="preserve"> events at the school. This</w:t>
      </w:r>
      <w:r w:rsidR="00C64E8B">
        <w:t xml:space="preserve"> initiative</w:t>
      </w:r>
      <w:r>
        <w:t xml:space="preserve"> is a critical </w:t>
      </w:r>
      <w:r>
        <w:lastRenderedPageBreak/>
        <w:t>community connection for the students and famili</w:t>
      </w:r>
      <w:r w:rsidR="00453A87">
        <w:t>es at Morgan.</w:t>
      </w:r>
      <w:r>
        <w:t xml:space="preserve"> Thirteen Morgan staff to date have voluntarily participated in these events.</w:t>
      </w:r>
    </w:p>
    <w:p w14:paraId="6C0988C8" w14:textId="77777777" w:rsidR="00C05027" w:rsidRDefault="00800B10" w:rsidP="001E522D">
      <w:pPr>
        <w:pStyle w:val="BodyText"/>
      </w:pPr>
      <w:r>
        <w:t>Morgan continues to work on improving student attendance. Currently, the elementar</w:t>
      </w:r>
      <w:r w:rsidR="00453A87">
        <w:t xml:space="preserve">y attendance rate is 93.8% and </w:t>
      </w:r>
      <w:r w:rsidR="00217ADD">
        <w:t xml:space="preserve">the </w:t>
      </w:r>
      <w:r>
        <w:t xml:space="preserve">middle school </w:t>
      </w:r>
      <w:r w:rsidR="00217ADD">
        <w:t xml:space="preserve">attendance rate </w:t>
      </w:r>
      <w:r>
        <w:t>is 94.2%</w:t>
      </w:r>
      <w:r w:rsidR="00131371">
        <w:t>.</w:t>
      </w:r>
      <w:r w:rsidR="008D50DD">
        <w:t xml:space="preserve"> </w:t>
      </w:r>
      <w:r w:rsidR="00504697">
        <w:t>The overall a</w:t>
      </w:r>
      <w:r w:rsidR="00217ADD">
        <w:t xml:space="preserve">ttendance rate </w:t>
      </w:r>
      <w:r w:rsidR="008D50DD" w:rsidRPr="008D50DD">
        <w:t xml:space="preserve">is down from the previous school year by 1.7%. However, </w:t>
      </w:r>
      <w:r w:rsidR="008D50DD">
        <w:t>Morgan is</w:t>
      </w:r>
      <w:r w:rsidR="008D50DD" w:rsidRPr="008D50DD">
        <w:t xml:space="preserve"> still learning a new Student Data System (SchoolBrains) and updating the attendance daily</w:t>
      </w:r>
      <w:r w:rsidR="00566D81">
        <w:t>,</w:t>
      </w:r>
      <w:r w:rsidR="008D50DD" w:rsidRPr="008D50DD">
        <w:t xml:space="preserve"> ensuring </w:t>
      </w:r>
      <w:r w:rsidR="00217ADD">
        <w:t>it is</w:t>
      </w:r>
      <w:r w:rsidR="008D50DD" w:rsidRPr="008D50DD">
        <w:t xml:space="preserve"> not </w:t>
      </w:r>
      <w:r w:rsidR="00504697">
        <w:t xml:space="preserve">double counting students who move between schools in </w:t>
      </w:r>
      <w:r w:rsidR="003A2E54">
        <w:t>Holyoke Public Schools (</w:t>
      </w:r>
      <w:r w:rsidR="008D50DD" w:rsidRPr="008D50DD">
        <w:t>HPS</w:t>
      </w:r>
      <w:r w:rsidR="003A2E54">
        <w:t>)</w:t>
      </w:r>
      <w:r w:rsidR="008D50DD" w:rsidRPr="008D50DD">
        <w:t xml:space="preserve"> </w:t>
      </w:r>
      <w:r w:rsidR="00504697">
        <w:t>in the counting of attendance or discipline issues</w:t>
      </w:r>
      <w:r w:rsidR="008D50DD" w:rsidRPr="008D50DD">
        <w:t>.</w:t>
      </w:r>
    </w:p>
    <w:p w14:paraId="6C0988C9" w14:textId="77777777" w:rsidR="00C05027" w:rsidRDefault="00800B10" w:rsidP="001E522D">
      <w:pPr>
        <w:pStyle w:val="Heading2"/>
      </w:pPr>
      <w:r>
        <w:t>Updates on Priority Areas</w:t>
      </w:r>
    </w:p>
    <w:p w14:paraId="6C0988CA" w14:textId="77777777" w:rsidR="00C05027" w:rsidRDefault="00800B10" w:rsidP="001E522D">
      <w:pPr>
        <w:pStyle w:val="BodyText"/>
      </w:pPr>
      <w:r>
        <w:rPr>
          <w:b/>
        </w:rPr>
        <w:t xml:space="preserve">Priority Area 1: </w:t>
      </w:r>
      <w:r>
        <w:t>Recruitment and development of professional talent.</w:t>
      </w:r>
    </w:p>
    <w:p w14:paraId="6C0988CB" w14:textId="77777777" w:rsidR="00C05027" w:rsidRDefault="00800B10" w:rsidP="001E522D">
      <w:pPr>
        <w:pStyle w:val="Bullet1"/>
      </w:pPr>
      <w:r>
        <w:rPr>
          <w:b/>
        </w:rPr>
        <w:t xml:space="preserve">Highlight: </w:t>
      </w:r>
      <w:r w:rsidR="00453A87">
        <w:t xml:space="preserve">All Morgan teams and planning </w:t>
      </w:r>
      <w:r>
        <w:t>sessions are consistently using student achievement data to make decisions for professional learning, content lesson planning, flexible groupings</w:t>
      </w:r>
      <w:r w:rsidR="00B73588">
        <w:t>,</w:t>
      </w:r>
      <w:r>
        <w:t xml:space="preserve"> and interventions.</w:t>
      </w:r>
      <w:r w:rsidR="008D50DD">
        <w:t xml:space="preserve"> Morgan leaders </w:t>
      </w:r>
      <w:r w:rsidR="00B73588">
        <w:t xml:space="preserve">also </w:t>
      </w:r>
      <w:r w:rsidR="008D50DD">
        <w:t>are s</w:t>
      </w:r>
      <w:r w:rsidR="008D50DD" w:rsidRPr="008D50DD">
        <w:t xml:space="preserve">electing teachers to be trained </w:t>
      </w:r>
      <w:r w:rsidR="008D50DD">
        <w:t>in</w:t>
      </w:r>
      <w:r w:rsidR="008D50DD" w:rsidRPr="008D50DD">
        <w:t xml:space="preserve"> specific computer-based interventions aligned to their content areas and creating</w:t>
      </w:r>
      <w:r w:rsidR="00B73588">
        <w:t xml:space="preserve"> professional learning communities</w:t>
      </w:r>
      <w:r w:rsidR="008D50DD" w:rsidRPr="008D50DD">
        <w:t xml:space="preserve"> </w:t>
      </w:r>
      <w:r w:rsidR="00B73588">
        <w:t>(</w:t>
      </w:r>
      <w:r w:rsidR="008D50DD" w:rsidRPr="008D50DD">
        <w:t>PLCs</w:t>
      </w:r>
      <w:r w:rsidR="00B73588">
        <w:t>)</w:t>
      </w:r>
      <w:r w:rsidR="008D50DD" w:rsidRPr="008D50DD">
        <w:t xml:space="preserve"> where teachers learn how to better use that specific data</w:t>
      </w:r>
      <w:r w:rsidR="008D50DD">
        <w:t xml:space="preserve"> to ensure they are developing a pool of talent in both intervention implementation and data use</w:t>
      </w:r>
      <w:r w:rsidR="008D50DD" w:rsidRPr="008D50DD">
        <w:t>.</w:t>
      </w:r>
    </w:p>
    <w:p w14:paraId="6C0988CC" w14:textId="77777777" w:rsidR="00C05027" w:rsidRDefault="00800B10" w:rsidP="001E522D">
      <w:pPr>
        <w:pStyle w:val="Bullet1"/>
      </w:pPr>
      <w:r>
        <w:rPr>
          <w:b/>
        </w:rPr>
        <w:t>Highlight:</w:t>
      </w:r>
      <w:r>
        <w:t xml:space="preserve"> All Morgan teachers have received face-to-face feedback immediately following obse</w:t>
      </w:r>
      <w:r w:rsidR="00453A87">
        <w:t xml:space="preserve">rvations and classroom visits. </w:t>
      </w:r>
      <w:r>
        <w:t>This feedback is provided by the Morgan principal, assistant principal</w:t>
      </w:r>
      <w:r w:rsidR="00B73588">
        <w:t>,</w:t>
      </w:r>
      <w:r>
        <w:t xml:space="preserve"> </w:t>
      </w:r>
      <w:r w:rsidR="00B73588">
        <w:t>and instructional leadership sp</w:t>
      </w:r>
      <w:r w:rsidR="00453A87">
        <w:t>ecialists (ILS).</w:t>
      </w:r>
      <w:r>
        <w:t xml:space="preserve"> This is an intentional change from last year when Morgan teachers waited for written feedback</w:t>
      </w:r>
      <w:r w:rsidR="00131371">
        <w:t xml:space="preserve">, </w:t>
      </w:r>
      <w:r w:rsidR="0004280A">
        <w:t>limiting</w:t>
      </w:r>
      <w:r>
        <w:t xml:space="preserve"> the opportunity to engage in active discussion about teaching and learning.</w:t>
      </w:r>
    </w:p>
    <w:p w14:paraId="6C0988CD" w14:textId="77777777" w:rsidR="00C05027" w:rsidRDefault="00800B10" w:rsidP="001E522D">
      <w:pPr>
        <w:pStyle w:val="Bullet1"/>
      </w:pPr>
      <w:r>
        <w:rPr>
          <w:b/>
        </w:rPr>
        <w:t xml:space="preserve">Highlight: </w:t>
      </w:r>
      <w:r>
        <w:t>Morgan leaders have created a tool that they are using to track their observations and interactions with teacher</w:t>
      </w:r>
      <w:r w:rsidR="00453A87">
        <w:t xml:space="preserve">s about teaching and learning. </w:t>
      </w:r>
      <w:r>
        <w:t>This</w:t>
      </w:r>
      <w:r w:rsidR="0004280A">
        <w:t xml:space="preserve"> tool</w:t>
      </w:r>
      <w:r>
        <w:t xml:space="preserve"> is creating a structure to support rich conversations with teachers, </w:t>
      </w:r>
      <w:r w:rsidR="00B73588">
        <w:t>allowing leaders</w:t>
      </w:r>
      <w:r>
        <w:t xml:space="preserve"> to record and track actions steps recommended so that ongoing feedback is consistent, sequential</w:t>
      </w:r>
      <w:r w:rsidR="00B73588">
        <w:t>,</w:t>
      </w:r>
      <w:r>
        <w:t xml:space="preserve"> and moves teacher practice to deeper levels. The use of the tracker combined with the commitment for all teacher feedback to be face-to-face is providing strategic planning and conversations about teacher practice as it impacts student achievement at Morgan. </w:t>
      </w:r>
    </w:p>
    <w:p w14:paraId="6C0988CE" w14:textId="77777777" w:rsidR="00C05027" w:rsidRDefault="00800B10" w:rsidP="001E522D">
      <w:pPr>
        <w:pStyle w:val="Bullet1"/>
      </w:pPr>
      <w:r>
        <w:rPr>
          <w:b/>
        </w:rPr>
        <w:t>Challenge:</w:t>
      </w:r>
      <w:r>
        <w:t xml:space="preserve"> </w:t>
      </w:r>
      <w:r w:rsidR="008952EB">
        <w:t xml:space="preserve">Allocating </w:t>
      </w:r>
      <w:r>
        <w:t>time for both the</w:t>
      </w:r>
      <w:r w:rsidR="000240CD">
        <w:t xml:space="preserve"> English language arts</w:t>
      </w:r>
      <w:r>
        <w:t xml:space="preserve"> </w:t>
      </w:r>
      <w:r w:rsidR="000240CD">
        <w:t>(</w:t>
      </w:r>
      <w:r>
        <w:t>ELA</w:t>
      </w:r>
      <w:r w:rsidR="000240CD">
        <w:t>)</w:t>
      </w:r>
      <w:r>
        <w:t xml:space="preserve"> and Math</w:t>
      </w:r>
      <w:r w:rsidR="00131371">
        <w:t>ematics</w:t>
      </w:r>
      <w:r>
        <w:t xml:space="preserve"> ILS to coach teachers directly and lead professional learning has been a challenge in</w:t>
      </w:r>
      <w:r w:rsidR="00453A87">
        <w:t xml:space="preserve"> the opening months of school. </w:t>
      </w:r>
      <w:r>
        <w:t xml:space="preserve">The ELA ILS has been teaching and covering for middle school </w:t>
      </w:r>
      <w:r w:rsidR="00453A87">
        <w:t xml:space="preserve">and other </w:t>
      </w:r>
      <w:r w:rsidR="00131371">
        <w:t xml:space="preserve">areas of the school with </w:t>
      </w:r>
      <w:r w:rsidR="00453A87">
        <w:t xml:space="preserve">staffing challenges. </w:t>
      </w:r>
      <w:r>
        <w:t>The Math</w:t>
      </w:r>
      <w:r w:rsidR="00131371">
        <w:t>ematics</w:t>
      </w:r>
      <w:r>
        <w:t xml:space="preserve"> ILS is new to her position at Morgan and is working to balance the role of half</w:t>
      </w:r>
      <w:r w:rsidR="000240CD">
        <w:t>-</w:t>
      </w:r>
      <w:r>
        <w:t>time coach and half</w:t>
      </w:r>
      <w:r w:rsidR="000240CD">
        <w:t>-</w:t>
      </w:r>
      <w:r>
        <w:t>time coordinator for t</w:t>
      </w:r>
      <w:r w:rsidR="00453A87">
        <w:t xml:space="preserve">he Blueprint tutoring program. </w:t>
      </w:r>
      <w:r>
        <w:t>As the staffing issues are resolved, the ELA ILS will resume her f</w:t>
      </w:r>
      <w:r w:rsidR="00453A87">
        <w:t xml:space="preserve">ull coaching responsibilities. </w:t>
      </w:r>
      <w:r>
        <w:t>Morgan and district leadership are working with the Math</w:t>
      </w:r>
      <w:r w:rsidR="00131371">
        <w:t>ematics</w:t>
      </w:r>
      <w:r>
        <w:t xml:space="preserve"> ILS to give her support in her new role and help her build systems and structures for both coaching and coordination of tutoring.  </w:t>
      </w:r>
    </w:p>
    <w:p w14:paraId="6C0988CF" w14:textId="77777777" w:rsidR="00C05027" w:rsidRDefault="00800B10" w:rsidP="001E522D">
      <w:pPr>
        <w:pStyle w:val="Bullet1"/>
      </w:pPr>
      <w:r w:rsidRPr="00D6755F">
        <w:rPr>
          <w:b/>
        </w:rPr>
        <w:t xml:space="preserve">Challenge: </w:t>
      </w:r>
      <w:r w:rsidRPr="00D6755F">
        <w:t xml:space="preserve">There have been significant staffing challenges at Morgan </w:t>
      </w:r>
      <w:r w:rsidR="00453A87" w:rsidRPr="00D6755F">
        <w:t xml:space="preserve">during the first quarter. </w:t>
      </w:r>
      <w:r w:rsidR="00D6755F" w:rsidRPr="00D6755F">
        <w:t>T</w:t>
      </w:r>
      <w:r w:rsidRPr="00D6755F">
        <w:t>he middle grades</w:t>
      </w:r>
      <w:r w:rsidR="00D6755F" w:rsidRPr="00D6755F">
        <w:t>, particularly,</w:t>
      </w:r>
      <w:r w:rsidRPr="00D6755F">
        <w:t xml:space="preserve"> have been </w:t>
      </w:r>
      <w:r w:rsidR="00D6755F" w:rsidRPr="00D6755F">
        <w:t xml:space="preserve">significantly </w:t>
      </w:r>
      <w:r w:rsidRPr="00D6755F">
        <w:t>impacted</w:t>
      </w:r>
      <w:r w:rsidR="00D6755F" w:rsidRPr="00D6755F">
        <w:t xml:space="preserve">; a counselor, ELA teacher, science teacher, and special education teacher serving the middle school grades have all resigned since the beginning of August professional development, in </w:t>
      </w:r>
      <w:r w:rsidR="00D6755F" w:rsidRPr="00D6755F">
        <w:lastRenderedPageBreak/>
        <w:t>addition to Morgan’s art teacher</w:t>
      </w:r>
      <w:r w:rsidRPr="00D6755F">
        <w:t>.</w:t>
      </w:r>
      <w:r w:rsidR="00D6755F" w:rsidRPr="00D6755F">
        <w:t xml:space="preserve"> </w:t>
      </w:r>
      <w:r w:rsidR="000A3131">
        <w:t>In addition</w:t>
      </w:r>
      <w:r w:rsidR="00D6755F" w:rsidRPr="00D6755F">
        <w:t xml:space="preserve">, a middle school mathematics teacher is on an extended maternity leave and a kindergarten teacher and a kindergarten and </w:t>
      </w:r>
      <w:r w:rsidR="000A3131">
        <w:t>G</w:t>
      </w:r>
      <w:r w:rsidR="000A3131" w:rsidRPr="00D6755F">
        <w:t xml:space="preserve">rade </w:t>
      </w:r>
      <w:r w:rsidR="00D6755F" w:rsidRPr="00D6755F">
        <w:t>1 ESL teacher are on medical leave.</w:t>
      </w:r>
      <w:r w:rsidRPr="00D6755F">
        <w:t xml:space="preserve"> In each situation, the Morgan leadership has made shifts and used creative staffing to cov</w:t>
      </w:r>
      <w:r w:rsidR="00453A87" w:rsidRPr="00D6755F">
        <w:t xml:space="preserve">er classrooms and instruction. </w:t>
      </w:r>
      <w:r w:rsidR="000A3131">
        <w:t>In addition</w:t>
      </w:r>
      <w:r w:rsidR="00453A87" w:rsidRPr="00D6755F">
        <w:t>, leadership continues</w:t>
      </w:r>
      <w:r w:rsidRPr="00D6755F">
        <w:t xml:space="preserve"> to recruit for and interview candidates </w:t>
      </w:r>
      <w:r w:rsidR="000A3131">
        <w:t>who</w:t>
      </w:r>
      <w:r w:rsidR="000A3131" w:rsidRPr="00D6755F">
        <w:t xml:space="preserve"> </w:t>
      </w:r>
      <w:r w:rsidRPr="00D6755F">
        <w:t xml:space="preserve">are highly qualified.  </w:t>
      </w:r>
    </w:p>
    <w:p w14:paraId="6C0988D0" w14:textId="77777777" w:rsidR="00C05027" w:rsidRDefault="00800B10" w:rsidP="001E522D">
      <w:pPr>
        <w:pStyle w:val="BodyText"/>
      </w:pPr>
      <w:r>
        <w:rPr>
          <w:b/>
        </w:rPr>
        <w:t xml:space="preserve">Priority Area 2: </w:t>
      </w:r>
      <w:r>
        <w:t>Systems to support professional learning and responsiveness in practice.</w:t>
      </w:r>
    </w:p>
    <w:p w14:paraId="6C0988D1" w14:textId="77777777" w:rsidR="00C05027" w:rsidRDefault="00800B10" w:rsidP="001E522D">
      <w:pPr>
        <w:pStyle w:val="Bullet1"/>
      </w:pPr>
      <w:r>
        <w:rPr>
          <w:b/>
        </w:rPr>
        <w:t>Highlight:</w:t>
      </w:r>
      <w:r>
        <w:t xml:space="preserve"> The Morgan staff and leadership, along with the Holyoke district leadership, are using and implementing Standardized Test for the Assessment of Read</w:t>
      </w:r>
      <w:r w:rsidR="005D6C93">
        <w:t xml:space="preserve">ing (STAR) for the first time. </w:t>
      </w:r>
      <w:r>
        <w:t>The Morgan teachers are learning and using the reports that i</w:t>
      </w:r>
      <w:r w:rsidR="00453A87">
        <w:t>dentify the next skill</w:t>
      </w:r>
      <w:r w:rsidR="0004280A">
        <w:t xml:space="preserve"> or </w:t>
      </w:r>
      <w:r w:rsidR="00453A87">
        <w:t>standard</w:t>
      </w:r>
      <w:r>
        <w:t xml:space="preserve"> to teach that will help to fill the gaps for individual students. It has wo</w:t>
      </w:r>
      <w:r w:rsidR="00453A87">
        <w:t xml:space="preserve">rked especially well in </w:t>
      </w:r>
      <w:r w:rsidR="00214E53">
        <w:t>G</w:t>
      </w:r>
      <w:r w:rsidR="00453A87">
        <w:t xml:space="preserve">rades </w:t>
      </w:r>
      <w:r>
        <w:t>K</w:t>
      </w:r>
      <w:r w:rsidR="000A3131">
        <w:t>–</w:t>
      </w:r>
      <w:r>
        <w:t>5</w:t>
      </w:r>
      <w:r w:rsidR="008D50DD">
        <w:t>, in which the teachers have use</w:t>
      </w:r>
      <w:r w:rsidR="004F0AE5">
        <w:t>d</w:t>
      </w:r>
      <w:r w:rsidR="008D50DD">
        <w:t xml:space="preserve"> their Professional Choice time to analyze STAR data and create flexible groupings</w:t>
      </w:r>
      <w:r>
        <w:t>.</w:t>
      </w:r>
    </w:p>
    <w:p w14:paraId="6C0988D2" w14:textId="77777777" w:rsidR="00C05027" w:rsidRDefault="00800B10" w:rsidP="001E522D">
      <w:pPr>
        <w:pStyle w:val="Bullet1"/>
      </w:pPr>
      <w:r>
        <w:rPr>
          <w:b/>
        </w:rPr>
        <w:t xml:space="preserve">Highlight: </w:t>
      </w:r>
      <w:r w:rsidRPr="00D6755F">
        <w:t>S</w:t>
      </w:r>
      <w:r>
        <w:t>TAR has provided Morgan teachers with another focused student achievement data point along with ANet and classroom a</w:t>
      </w:r>
      <w:r w:rsidR="00453A87">
        <w:t>ssessments. Th</w:t>
      </w:r>
      <w:r w:rsidR="004F0AE5">
        <w:t>e data</w:t>
      </w:r>
      <w:r w:rsidR="00453A87">
        <w:t xml:space="preserve"> </w:t>
      </w:r>
      <w:r w:rsidR="000A3131">
        <w:t xml:space="preserve">have </w:t>
      </w:r>
      <w:r w:rsidR="00453A87">
        <w:t xml:space="preserve">been used to inform next instructional </w:t>
      </w:r>
      <w:r>
        <w:t>steps, fle</w:t>
      </w:r>
      <w:r w:rsidR="00453A87">
        <w:t>xible groups</w:t>
      </w:r>
      <w:r w:rsidR="000A3131">
        <w:t>,</w:t>
      </w:r>
      <w:r w:rsidR="00453A87">
        <w:t xml:space="preserve"> and intervention. </w:t>
      </w:r>
      <w:r>
        <w:t>Grade</w:t>
      </w:r>
      <w:r w:rsidR="000A3131">
        <w:t>-</w:t>
      </w:r>
      <w:r>
        <w:t>level teams have integrated this into their 8</w:t>
      </w:r>
      <w:r w:rsidR="004F0AE5">
        <w:t>-</w:t>
      </w:r>
      <w:r>
        <w:t xml:space="preserve">week data cycles. </w:t>
      </w:r>
    </w:p>
    <w:p w14:paraId="6C0988D3" w14:textId="77777777" w:rsidR="00C05027" w:rsidRPr="009E06C3" w:rsidRDefault="00800B10" w:rsidP="001E522D">
      <w:pPr>
        <w:pStyle w:val="Bullet1"/>
        <w:rPr>
          <w:spacing w:val="-4"/>
        </w:rPr>
      </w:pPr>
      <w:r w:rsidRPr="009E06C3">
        <w:rPr>
          <w:b/>
          <w:spacing w:val="-4"/>
        </w:rPr>
        <w:t>Highlight:</w:t>
      </w:r>
      <w:r w:rsidRPr="009E06C3">
        <w:rPr>
          <w:spacing w:val="-4"/>
        </w:rPr>
        <w:t xml:space="preserve"> The Morgan leadership ha</w:t>
      </w:r>
      <w:r w:rsidR="00214E53" w:rsidRPr="009E06C3">
        <w:rPr>
          <w:spacing w:val="-4"/>
        </w:rPr>
        <w:t>ve</w:t>
      </w:r>
      <w:r w:rsidRPr="009E06C3">
        <w:rPr>
          <w:spacing w:val="-4"/>
        </w:rPr>
        <w:t xml:space="preserve"> worked with their district instructional support liaison to differentiate district supp</w:t>
      </w:r>
      <w:r w:rsidR="005D6C93" w:rsidRPr="009E06C3">
        <w:rPr>
          <w:spacing w:val="-4"/>
        </w:rPr>
        <w:t xml:space="preserve">ort for specific Morgan needs. </w:t>
      </w:r>
      <w:r w:rsidRPr="009E06C3">
        <w:rPr>
          <w:spacing w:val="-4"/>
        </w:rPr>
        <w:t xml:space="preserve">They began the school year using the district feedback tool called </w:t>
      </w:r>
      <w:r w:rsidRPr="00504697">
        <w:rPr>
          <w:spacing w:val="-4"/>
        </w:rPr>
        <w:t>Praise, Question, Suggestion</w:t>
      </w:r>
      <w:r w:rsidRPr="009E06C3">
        <w:rPr>
          <w:i/>
          <w:spacing w:val="-4"/>
        </w:rPr>
        <w:t xml:space="preserve"> </w:t>
      </w:r>
      <w:r w:rsidRPr="009E06C3">
        <w:rPr>
          <w:spacing w:val="-4"/>
        </w:rPr>
        <w:t>(PQS) with the liaison and administrators to cal</w:t>
      </w:r>
      <w:r w:rsidR="005D6C93" w:rsidRPr="009E06C3">
        <w:rPr>
          <w:spacing w:val="-4"/>
        </w:rPr>
        <w:t>ibrate their lens and feedback</w:t>
      </w:r>
      <w:r w:rsidR="00214E53" w:rsidRPr="009E06C3">
        <w:rPr>
          <w:spacing w:val="-4"/>
        </w:rPr>
        <w:t xml:space="preserve"> to teachers during observations</w:t>
      </w:r>
      <w:r w:rsidR="005D6C93" w:rsidRPr="009E06C3">
        <w:rPr>
          <w:spacing w:val="-4"/>
        </w:rPr>
        <w:t>.</w:t>
      </w:r>
      <w:r w:rsidRPr="009E06C3">
        <w:rPr>
          <w:spacing w:val="-4"/>
        </w:rPr>
        <w:t xml:space="preserve"> The next step currently in progress is to work with the t</w:t>
      </w:r>
      <w:r w:rsidR="005D6C93" w:rsidRPr="009E06C3">
        <w:rPr>
          <w:spacing w:val="-4"/>
        </w:rPr>
        <w:t xml:space="preserve">wo content ILS to do the same. </w:t>
      </w:r>
      <w:r w:rsidRPr="009E06C3">
        <w:rPr>
          <w:spacing w:val="-4"/>
        </w:rPr>
        <w:t xml:space="preserve">This </w:t>
      </w:r>
      <w:r w:rsidR="000A3131">
        <w:rPr>
          <w:spacing w:val="-4"/>
        </w:rPr>
        <w:t xml:space="preserve">step </w:t>
      </w:r>
      <w:r w:rsidRPr="009E06C3">
        <w:rPr>
          <w:spacing w:val="-4"/>
        </w:rPr>
        <w:t>represents a strategic and intentional shift in focus for this district support</w:t>
      </w:r>
      <w:r w:rsidR="004F0AE5" w:rsidRPr="009E06C3">
        <w:rPr>
          <w:spacing w:val="-4"/>
        </w:rPr>
        <w:t>,</w:t>
      </w:r>
      <w:r w:rsidRPr="009E06C3">
        <w:rPr>
          <w:spacing w:val="-4"/>
        </w:rPr>
        <w:t xml:space="preserve"> and the leadership will continue to revisit this and shift the focus as needed to drive the work forward. </w:t>
      </w:r>
    </w:p>
    <w:p w14:paraId="6C0988D4" w14:textId="77777777" w:rsidR="00C05027" w:rsidRDefault="00800B10" w:rsidP="001E522D">
      <w:pPr>
        <w:pStyle w:val="Bullet1"/>
      </w:pPr>
      <w:r>
        <w:rPr>
          <w:b/>
        </w:rPr>
        <w:t xml:space="preserve">Challenge: </w:t>
      </w:r>
      <w:r>
        <w:t>There were major implementation and technical issues in the beginning of the school year regarding online testi</w:t>
      </w:r>
      <w:r w:rsidR="005D6C93">
        <w:t>ng, data storage</w:t>
      </w:r>
      <w:r w:rsidR="003A2E54">
        <w:t>,</w:t>
      </w:r>
      <w:r w:rsidR="005D6C93">
        <w:t xml:space="preserve"> and retrieval.</w:t>
      </w:r>
      <w:r>
        <w:t xml:space="preserve"> </w:t>
      </w:r>
      <w:r w:rsidR="003A2E54">
        <w:t>HPS</w:t>
      </w:r>
      <w:r>
        <w:t xml:space="preserve"> transitioned to a new student information system (SchoolBrains) </w:t>
      </w:r>
      <w:r w:rsidR="003A2E54">
        <w:t xml:space="preserve">in </w:t>
      </w:r>
      <w:r>
        <w:t>the summer. There were and continue to be major issues</w:t>
      </w:r>
      <w:r w:rsidR="005D6C93">
        <w:t xml:space="preserve"> and glitches in this process. </w:t>
      </w:r>
      <w:r>
        <w:t xml:space="preserve">At the same time, </w:t>
      </w:r>
      <w:r w:rsidR="003A2E54">
        <w:t>HPS</w:t>
      </w:r>
      <w:r>
        <w:t xml:space="preserve"> experienced major and crippling </w:t>
      </w:r>
      <w:r w:rsidR="003A2E54">
        <w:t>I</w:t>
      </w:r>
      <w:r>
        <w:t xml:space="preserve">nternet attacks throughout the first </w:t>
      </w:r>
      <w:r w:rsidR="003A2E54">
        <w:t xml:space="preserve">2 </w:t>
      </w:r>
      <w:r>
        <w:t xml:space="preserve">months of school that essentially closed off </w:t>
      </w:r>
      <w:r w:rsidR="003A2E54">
        <w:t>I</w:t>
      </w:r>
      <w:r>
        <w:t>nter</w:t>
      </w:r>
      <w:r w:rsidR="005D6C93">
        <w:t xml:space="preserve">net access for days at a time. </w:t>
      </w:r>
      <w:r>
        <w:t>Testing was delayed and interrupted</w:t>
      </w:r>
      <w:r w:rsidR="0011346D">
        <w:t>,</w:t>
      </w:r>
      <w:r>
        <w:t xml:space="preserve"> and the sorting and access to data </w:t>
      </w:r>
      <w:r w:rsidR="004F0AE5">
        <w:t xml:space="preserve">were </w:t>
      </w:r>
      <w:r>
        <w:t>comp</w:t>
      </w:r>
      <w:r w:rsidR="005D6C93">
        <w:t xml:space="preserve">romised. </w:t>
      </w:r>
      <w:r w:rsidR="00453A87">
        <w:t xml:space="preserve">The administration of </w:t>
      </w:r>
      <w:r>
        <w:t xml:space="preserve">STAR </w:t>
      </w:r>
      <w:r w:rsidR="003A2E54">
        <w:t xml:space="preserve">also </w:t>
      </w:r>
      <w:r>
        <w:t>was new to everyone with expec</w:t>
      </w:r>
      <w:r w:rsidR="005D6C93">
        <w:t xml:space="preserve">ted implementation challenges. </w:t>
      </w:r>
      <w:r>
        <w:t>The combination of these factors i</w:t>
      </w:r>
      <w:r w:rsidR="005D6C93">
        <w:t>mpacted instructional progress</w:t>
      </w:r>
      <w:r w:rsidR="00D6755F">
        <w:t xml:space="preserve"> and the use of data to improve instruction</w:t>
      </w:r>
      <w:r w:rsidR="005D6C93">
        <w:t>.</w:t>
      </w:r>
      <w:r>
        <w:t xml:space="preserve"> The </w:t>
      </w:r>
      <w:r w:rsidR="003A2E54">
        <w:t>I</w:t>
      </w:r>
      <w:r>
        <w:t>nternet issues have been much imp</w:t>
      </w:r>
      <w:r w:rsidR="005D6C93">
        <w:t xml:space="preserve">roved </w:t>
      </w:r>
      <w:r w:rsidR="0011346D">
        <w:t>since mid-November</w:t>
      </w:r>
      <w:r w:rsidR="005D6C93">
        <w:t xml:space="preserve">. </w:t>
      </w:r>
      <w:r>
        <w:t>The struggles with SchoolBrains and data remain a work in progress at both the school and district level</w:t>
      </w:r>
      <w:r w:rsidR="003A2E54">
        <w:t>s,</w:t>
      </w:r>
      <w:r>
        <w:t xml:space="preserve"> and resolution is a major priority.</w:t>
      </w:r>
    </w:p>
    <w:p w14:paraId="6C0988D5" w14:textId="77777777" w:rsidR="00C05027" w:rsidRDefault="00800B10" w:rsidP="001E522D">
      <w:pPr>
        <w:pStyle w:val="BodyText"/>
      </w:pPr>
      <w:r>
        <w:rPr>
          <w:b/>
        </w:rPr>
        <w:t xml:space="preserve">Priority Area 3: </w:t>
      </w:r>
      <w:r>
        <w:t>Creating a Center of Excellence for science, technology, engineering, and mathematics (STEM).</w:t>
      </w:r>
    </w:p>
    <w:p w14:paraId="6C0988D6" w14:textId="77777777" w:rsidR="00C05027" w:rsidRDefault="00800B10" w:rsidP="001E522D">
      <w:pPr>
        <w:pStyle w:val="Bullet1"/>
      </w:pPr>
      <w:r>
        <w:rPr>
          <w:b/>
        </w:rPr>
        <w:t>Highlight:</w:t>
      </w:r>
      <w:r>
        <w:t xml:space="preserve"> All Morgan science teachers are doing the grade</w:t>
      </w:r>
      <w:r w:rsidR="00B50898">
        <w:t>-</w:t>
      </w:r>
      <w:r>
        <w:t>level STEM challenge</w:t>
      </w:r>
      <w:r w:rsidR="005D6C93">
        <w:t>s with fidelity in Grades K</w:t>
      </w:r>
      <w:r w:rsidR="00B50898">
        <w:t>–</w:t>
      </w:r>
      <w:r w:rsidR="005D6C93">
        <w:t xml:space="preserve">8. </w:t>
      </w:r>
      <w:r>
        <w:t>They are administered after every unit</w:t>
      </w:r>
      <w:r w:rsidR="00B50898">
        <w:t xml:space="preserve">, which is, </w:t>
      </w:r>
      <w:r>
        <w:t>on average</w:t>
      </w:r>
      <w:r w:rsidR="00B50898">
        <w:t>,</w:t>
      </w:r>
      <w:r>
        <w:t xml:space="preserve"> twice a month.</w:t>
      </w:r>
    </w:p>
    <w:p w14:paraId="6C0988D7" w14:textId="77777777" w:rsidR="00C05027" w:rsidRDefault="00800B10" w:rsidP="001E522D">
      <w:pPr>
        <w:pStyle w:val="Bullet1"/>
      </w:pPr>
      <w:r>
        <w:rPr>
          <w:b/>
        </w:rPr>
        <w:lastRenderedPageBreak/>
        <w:t xml:space="preserve">Highlight: </w:t>
      </w:r>
      <w:r>
        <w:t>All Morgan teachers are using the Next Generation Science Standards for planning</w:t>
      </w:r>
      <w:r w:rsidR="005D6C93">
        <w:t>, instruction</w:t>
      </w:r>
      <w:r w:rsidR="00E87A44">
        <w:t>,</w:t>
      </w:r>
      <w:r w:rsidR="005D6C93">
        <w:t xml:space="preserve"> and assessment. </w:t>
      </w:r>
      <w:r>
        <w:t xml:space="preserve">They </w:t>
      </w:r>
      <w:r w:rsidR="00E87A44">
        <w:t xml:space="preserve">also </w:t>
      </w:r>
      <w:r>
        <w:t>are all using Engineering practices 1, 2</w:t>
      </w:r>
      <w:r w:rsidR="00E87A44">
        <w:t>,</w:t>
      </w:r>
      <w:r>
        <w:t xml:space="preserve"> and 3 (questioning, modeling</w:t>
      </w:r>
      <w:r w:rsidR="00E87A44">
        <w:t>,</w:t>
      </w:r>
      <w:r>
        <w:t xml:space="preserve"> and intentional use of data) consistently. </w:t>
      </w:r>
    </w:p>
    <w:p w14:paraId="6C0988D8" w14:textId="77777777" w:rsidR="00C05027" w:rsidRDefault="00800B10" w:rsidP="001E522D">
      <w:pPr>
        <w:pStyle w:val="Bullet1"/>
      </w:pPr>
      <w:r>
        <w:rPr>
          <w:b/>
        </w:rPr>
        <w:t>Highlight:</w:t>
      </w:r>
      <w:r>
        <w:t xml:space="preserve"> Computer coding is a student choice for the enrichment block on Fridays. Morgan has comp</w:t>
      </w:r>
      <w:r w:rsidR="005D6C93">
        <w:t>leted two cycles of enrichment.</w:t>
      </w:r>
      <w:r>
        <w:t xml:space="preserve"> Computer coding has been the most popular student choice.  </w:t>
      </w:r>
    </w:p>
    <w:p w14:paraId="6C0988D9" w14:textId="77777777" w:rsidR="00C05027" w:rsidRDefault="00800B10" w:rsidP="001E522D">
      <w:pPr>
        <w:pStyle w:val="Bullet1"/>
      </w:pPr>
      <w:r>
        <w:rPr>
          <w:b/>
        </w:rPr>
        <w:t>Challenge:</w:t>
      </w:r>
      <w:r>
        <w:t xml:space="preserve"> As discussed in Priority Area 1, Morgan School does not have </w:t>
      </w:r>
      <w:r w:rsidR="005D6C93">
        <w:t xml:space="preserve">a highly qualified </w:t>
      </w:r>
      <w:r w:rsidR="008952EB">
        <w:t xml:space="preserve">science </w:t>
      </w:r>
      <w:r w:rsidR="005D6C93">
        <w:t>teacher for G</w:t>
      </w:r>
      <w:r>
        <w:t>rades 6, 7</w:t>
      </w:r>
      <w:r w:rsidR="00E87A44">
        <w:t>,</w:t>
      </w:r>
      <w:r>
        <w:t xml:space="preserve"> and 8 at the current time.  </w:t>
      </w:r>
    </w:p>
    <w:p w14:paraId="6C0988DA" w14:textId="77777777" w:rsidR="00C05027" w:rsidRDefault="00800B10" w:rsidP="001E522D">
      <w:pPr>
        <w:pStyle w:val="BodyText"/>
      </w:pPr>
      <w:r>
        <w:rPr>
          <w:b/>
        </w:rPr>
        <w:t xml:space="preserve">Priority Area 4: </w:t>
      </w:r>
      <w:r>
        <w:t>Targeted and aligned resources</w:t>
      </w:r>
      <w:r w:rsidR="0004280A">
        <w:t>.</w:t>
      </w:r>
    </w:p>
    <w:p w14:paraId="6C0988DB" w14:textId="77777777" w:rsidR="00C05027" w:rsidRDefault="00800B10" w:rsidP="001E522D">
      <w:pPr>
        <w:pStyle w:val="Bullet1"/>
      </w:pPr>
      <w:r>
        <w:rPr>
          <w:b/>
        </w:rPr>
        <w:t>Highlight:</w:t>
      </w:r>
      <w:r>
        <w:t xml:space="preserve"> Morgan has a tighter an</w:t>
      </w:r>
      <w:r w:rsidR="005D6C93">
        <w:t xml:space="preserve">d more strategic ESL schedule. </w:t>
      </w:r>
      <w:r>
        <w:t>All ESL teachers are teaching the ESL curriculum and content in their own classroom</w:t>
      </w:r>
      <w:r w:rsidR="005D6C93">
        <w:t xml:space="preserve">s for students requiring this. </w:t>
      </w:r>
      <w:r>
        <w:t>They have developed a student-specific combination plan of the push-in and pull-out models for strategic groups.</w:t>
      </w:r>
    </w:p>
    <w:p w14:paraId="6C0988DC" w14:textId="77777777" w:rsidR="00C05027" w:rsidRDefault="00800B10" w:rsidP="001E522D">
      <w:pPr>
        <w:pStyle w:val="Bullet1"/>
      </w:pPr>
      <w:r>
        <w:rPr>
          <w:b/>
        </w:rPr>
        <w:t xml:space="preserve">Highlight: </w:t>
      </w:r>
      <w:r>
        <w:t>For the first time this year,</w:t>
      </w:r>
      <w:r w:rsidRPr="00504697">
        <w:t xml:space="preserve"> </w:t>
      </w:r>
      <w:r w:rsidR="00E87A44" w:rsidRPr="00504697">
        <w:t xml:space="preserve">special </w:t>
      </w:r>
      <w:r w:rsidR="00E87A44">
        <w:t>education (</w:t>
      </w:r>
      <w:r>
        <w:t>SPED</w:t>
      </w:r>
      <w:r w:rsidR="00E87A44">
        <w:t>)</w:t>
      </w:r>
      <w:r>
        <w:t xml:space="preserve"> and ESL teachers are co-planning with a</w:t>
      </w:r>
      <w:r w:rsidR="005D6C93">
        <w:t>ll of the grade</w:t>
      </w:r>
      <w:r w:rsidR="00E87A44">
        <w:t>-</w:t>
      </w:r>
      <w:r w:rsidR="005D6C93">
        <w:t xml:space="preserve">level teachers </w:t>
      </w:r>
      <w:r>
        <w:t>they work with</w:t>
      </w:r>
      <w:r w:rsidR="0011346D">
        <w:t>,</w:t>
      </w:r>
      <w:r>
        <w:t xml:space="preserve"> allowing them to plan and align content instruct</w:t>
      </w:r>
      <w:r w:rsidR="005D6C93">
        <w:t>ion, support</w:t>
      </w:r>
      <w:r w:rsidR="00E87A44">
        <w:t>,</w:t>
      </w:r>
      <w:r w:rsidR="005D6C93">
        <w:t xml:space="preserve"> and modifications. </w:t>
      </w:r>
      <w:r>
        <w:t xml:space="preserve">This integration happens during the </w:t>
      </w:r>
      <w:r w:rsidR="0011346D">
        <w:t xml:space="preserve">morning </w:t>
      </w:r>
      <w:r>
        <w:t>grade</w:t>
      </w:r>
      <w:r w:rsidR="00E87A44">
        <w:t>-</w:t>
      </w:r>
      <w:r>
        <w:t>level content planning on W</w:t>
      </w:r>
      <w:r w:rsidR="005D6C93">
        <w:t>ednesday, Thursday</w:t>
      </w:r>
      <w:r w:rsidR="00E87A44">
        <w:t>,</w:t>
      </w:r>
      <w:r w:rsidR="005D6C93">
        <w:t xml:space="preserve"> and Friday. </w:t>
      </w:r>
      <w:r>
        <w:t xml:space="preserve">The teams rotate between </w:t>
      </w:r>
      <w:r w:rsidR="00E87A44">
        <w:t>m</w:t>
      </w:r>
      <w:r>
        <w:t>ath</w:t>
      </w:r>
      <w:r w:rsidR="0011346D">
        <w:t>ematics</w:t>
      </w:r>
      <w:r>
        <w:t xml:space="preserve"> and ELA every other week. The integration of these teachers strengthens the strong routine and practices established at Morgan during these morning learning sessions. </w:t>
      </w:r>
    </w:p>
    <w:p w14:paraId="6C0988DD" w14:textId="77777777" w:rsidR="00C05027" w:rsidRDefault="00800B10" w:rsidP="001E522D">
      <w:pPr>
        <w:pStyle w:val="Bullet1"/>
      </w:pPr>
      <w:r>
        <w:rPr>
          <w:b/>
        </w:rPr>
        <w:t>Highlight:</w:t>
      </w:r>
      <w:r>
        <w:t xml:space="preserve"> SPED teachers are using Wilson Reading in </w:t>
      </w:r>
      <w:r w:rsidR="0011346D">
        <w:t>G</w:t>
      </w:r>
      <w:r>
        <w:t>rades 2</w:t>
      </w:r>
      <w:r w:rsidR="00E87A44">
        <w:t>–</w:t>
      </w:r>
      <w:r>
        <w:t xml:space="preserve">8 for </w:t>
      </w:r>
      <w:r w:rsidR="00E87A44">
        <w:t xml:space="preserve">students with disabilities </w:t>
      </w:r>
      <w:r>
        <w:t>w</w:t>
      </w:r>
      <w:r w:rsidR="005D6C93">
        <w:t xml:space="preserve">ith approximately 20 students. </w:t>
      </w:r>
      <w:r>
        <w:t xml:space="preserve">Teachers are developing an understanding </w:t>
      </w:r>
      <w:r w:rsidR="00A40958">
        <w:t xml:space="preserve">of </w:t>
      </w:r>
      <w:r>
        <w:t xml:space="preserve">this new intervention and </w:t>
      </w:r>
      <w:r w:rsidR="0011346D">
        <w:t xml:space="preserve">are </w:t>
      </w:r>
      <w:r>
        <w:t xml:space="preserve">better able to use it strategically with students and appropriately match their instructional needs. </w:t>
      </w:r>
    </w:p>
    <w:p w14:paraId="6C0988DE" w14:textId="77777777" w:rsidR="00C05027" w:rsidRDefault="00800B10" w:rsidP="001E522D">
      <w:pPr>
        <w:pStyle w:val="Bullet1"/>
      </w:pPr>
      <w:r>
        <w:rPr>
          <w:b/>
        </w:rPr>
        <w:t>Challenge:</w:t>
      </w:r>
      <w:r>
        <w:t xml:space="preserve"> The SPED and ESL staffing gaps described in Priority Area 1 impact the consistency of instruction and support for these two subgroups.</w:t>
      </w:r>
      <w:r w:rsidR="00D6755F">
        <w:t xml:space="preserve"> </w:t>
      </w:r>
      <w:r w:rsidR="00D6755F" w:rsidRPr="00D6755F">
        <w:t>Morgan leadership has made shifts and used creative staffing to cover instruction</w:t>
      </w:r>
      <w:r w:rsidR="00D6755F">
        <w:t xml:space="preserve"> for these students and continue</w:t>
      </w:r>
      <w:r w:rsidR="00D6755F" w:rsidRPr="00D6755F">
        <w:t xml:space="preserve"> to recruit for and interview highly qualified candidates.  </w:t>
      </w:r>
    </w:p>
    <w:p w14:paraId="6C0988DF" w14:textId="77777777" w:rsidR="00C05027" w:rsidRDefault="00800B10" w:rsidP="001E522D">
      <w:pPr>
        <w:pStyle w:val="BodyText"/>
      </w:pPr>
      <w:r>
        <w:rPr>
          <w:b/>
        </w:rPr>
        <w:t xml:space="preserve">Priority Area 5: </w:t>
      </w:r>
      <w:r>
        <w:t>Enhancing and sustaining family and community engagement.</w:t>
      </w:r>
    </w:p>
    <w:p w14:paraId="6C0988E0" w14:textId="77777777" w:rsidR="00C05027" w:rsidRPr="009E06C3" w:rsidRDefault="00800B10" w:rsidP="001E522D">
      <w:pPr>
        <w:pStyle w:val="Bullet1"/>
        <w:rPr>
          <w:spacing w:val="-4"/>
        </w:rPr>
      </w:pPr>
      <w:r w:rsidRPr="009E06C3">
        <w:rPr>
          <w:b/>
          <w:spacing w:val="-4"/>
        </w:rPr>
        <w:t>Highlight:</w:t>
      </w:r>
      <w:r w:rsidRPr="009E06C3">
        <w:rPr>
          <w:spacing w:val="-4"/>
        </w:rPr>
        <w:t xml:space="preserve"> Morgan teachers have increased the number of community walks and home vi</w:t>
      </w:r>
      <w:r w:rsidR="005D6C93" w:rsidRPr="009E06C3">
        <w:rPr>
          <w:spacing w:val="-4"/>
        </w:rPr>
        <w:t>sits</w:t>
      </w:r>
      <w:r w:rsidR="00A40958" w:rsidRPr="009E06C3">
        <w:rPr>
          <w:spacing w:val="-4"/>
        </w:rPr>
        <w:t xml:space="preserve"> in which</w:t>
      </w:r>
      <w:r w:rsidR="005D6C93" w:rsidRPr="009E06C3">
        <w:rPr>
          <w:spacing w:val="-4"/>
        </w:rPr>
        <w:t xml:space="preserve"> they have participated.</w:t>
      </w:r>
      <w:r w:rsidRPr="009E06C3">
        <w:rPr>
          <w:spacing w:val="-4"/>
        </w:rPr>
        <w:t xml:space="preserve"> Every Morgan te</w:t>
      </w:r>
      <w:r w:rsidR="005D6C93" w:rsidRPr="009E06C3">
        <w:rPr>
          <w:spacing w:val="-4"/>
        </w:rPr>
        <w:t xml:space="preserve">acher present from August </w:t>
      </w:r>
      <w:r w:rsidR="00504697">
        <w:rPr>
          <w:spacing w:val="-4"/>
        </w:rPr>
        <w:t>professional development</w:t>
      </w:r>
      <w:r w:rsidR="005D6C93" w:rsidRPr="009E06C3">
        <w:rPr>
          <w:spacing w:val="-4"/>
        </w:rPr>
        <w:t xml:space="preserve"> </w:t>
      </w:r>
      <w:r w:rsidR="00E87A44">
        <w:rPr>
          <w:spacing w:val="-4"/>
        </w:rPr>
        <w:t>through</w:t>
      </w:r>
      <w:r w:rsidR="00E87A44" w:rsidRPr="009E06C3">
        <w:rPr>
          <w:spacing w:val="-4"/>
        </w:rPr>
        <w:t xml:space="preserve"> </w:t>
      </w:r>
      <w:r w:rsidRPr="009E06C3">
        <w:rPr>
          <w:spacing w:val="-4"/>
        </w:rPr>
        <w:t>November</w:t>
      </w:r>
      <w:r w:rsidR="005D6C93" w:rsidRPr="009E06C3">
        <w:rPr>
          <w:spacing w:val="-4"/>
        </w:rPr>
        <w:t xml:space="preserve"> </w:t>
      </w:r>
      <w:r w:rsidRPr="009E06C3">
        <w:rPr>
          <w:spacing w:val="-4"/>
        </w:rPr>
        <w:t xml:space="preserve">4 has completed at least three home visits to students’ families. </w:t>
      </w:r>
      <w:r w:rsidR="00E87A44">
        <w:rPr>
          <w:spacing w:val="-4"/>
        </w:rPr>
        <w:t xml:space="preserve">Twenty-seven </w:t>
      </w:r>
      <w:r w:rsidRPr="009E06C3">
        <w:rPr>
          <w:spacing w:val="-4"/>
        </w:rPr>
        <w:t xml:space="preserve">out of 35 (77%) </w:t>
      </w:r>
      <w:r w:rsidR="0011346D" w:rsidRPr="009E06C3">
        <w:rPr>
          <w:spacing w:val="-4"/>
        </w:rPr>
        <w:t xml:space="preserve">teachers </w:t>
      </w:r>
      <w:r w:rsidRPr="009E06C3">
        <w:rPr>
          <w:spacing w:val="-4"/>
        </w:rPr>
        <w:t>excee</w:t>
      </w:r>
      <w:r w:rsidR="005D6C93" w:rsidRPr="009E06C3">
        <w:rPr>
          <w:spacing w:val="-4"/>
        </w:rPr>
        <w:t xml:space="preserve">ded the three </w:t>
      </w:r>
      <w:r w:rsidR="00E87A44" w:rsidRPr="009E06C3">
        <w:rPr>
          <w:spacing w:val="-4"/>
        </w:rPr>
        <w:t>home</w:t>
      </w:r>
      <w:r w:rsidR="00E87A44">
        <w:rPr>
          <w:spacing w:val="-4"/>
        </w:rPr>
        <w:t>-</w:t>
      </w:r>
      <w:r w:rsidR="005D6C93" w:rsidRPr="009E06C3">
        <w:rPr>
          <w:spacing w:val="-4"/>
        </w:rPr>
        <w:t xml:space="preserve">visit goal. </w:t>
      </w:r>
      <w:r w:rsidRPr="009E06C3">
        <w:rPr>
          <w:spacing w:val="-4"/>
        </w:rPr>
        <w:t>All teachers have autonomy to pl</w:t>
      </w:r>
      <w:r w:rsidR="0011346D" w:rsidRPr="009E06C3">
        <w:rPr>
          <w:spacing w:val="-4"/>
        </w:rPr>
        <w:t>an their visits strategically; s</w:t>
      </w:r>
      <w:r w:rsidRPr="009E06C3">
        <w:rPr>
          <w:spacing w:val="-4"/>
        </w:rPr>
        <w:t>ome try to visit all families, others choose to revisit and circle back to families</w:t>
      </w:r>
      <w:r w:rsidR="0011346D" w:rsidRPr="009E06C3">
        <w:rPr>
          <w:spacing w:val="-4"/>
        </w:rPr>
        <w:t>,</w:t>
      </w:r>
      <w:r w:rsidRPr="009E06C3">
        <w:rPr>
          <w:spacing w:val="-4"/>
        </w:rPr>
        <w:t xml:space="preserve"> and some strategically choose their visits based on specific issues and concerns.</w:t>
      </w:r>
    </w:p>
    <w:p w14:paraId="6C0988E1" w14:textId="77777777" w:rsidR="00C05027" w:rsidRDefault="00800B10" w:rsidP="001E522D">
      <w:pPr>
        <w:pStyle w:val="Bullet1"/>
      </w:pPr>
      <w:r>
        <w:rPr>
          <w:b/>
        </w:rPr>
        <w:t xml:space="preserve">Highlight: </w:t>
      </w:r>
      <w:r>
        <w:t xml:space="preserve">Morgan has seen an increased presence of families </w:t>
      </w:r>
      <w:r w:rsidR="005D6C93">
        <w:t>in the school so far this year.</w:t>
      </w:r>
      <w:r w:rsidR="00D6755F">
        <w:t xml:space="preserve"> To date, 169 out of 389 (4</w:t>
      </w:r>
      <w:r>
        <w:t xml:space="preserve">4%) Morgan families have participated in </w:t>
      </w:r>
      <w:r w:rsidR="0011346D">
        <w:t xml:space="preserve">at least one </w:t>
      </w:r>
      <w:r>
        <w:t>grade</w:t>
      </w:r>
      <w:r w:rsidR="00E87A44">
        <w:t>-</w:t>
      </w:r>
      <w:r>
        <w:t>level or schoolwide academic event.</w:t>
      </w:r>
    </w:p>
    <w:p w14:paraId="6C0988E2" w14:textId="77777777" w:rsidR="00C05027" w:rsidRDefault="00800B10" w:rsidP="001E522D">
      <w:pPr>
        <w:pStyle w:val="Bullet1"/>
      </w:pPr>
      <w:r>
        <w:rPr>
          <w:b/>
        </w:rPr>
        <w:t>Highlight:</w:t>
      </w:r>
      <w:r>
        <w:t xml:space="preserve"> Morgan has continued with and accelerated </w:t>
      </w:r>
      <w:r w:rsidR="00E87A44">
        <w:t xml:space="preserve">its </w:t>
      </w:r>
      <w:r>
        <w:t xml:space="preserve">staff participation in the work of the South Holyoke Safe Neighborhood Initiative when </w:t>
      </w:r>
      <w:r w:rsidR="00E87A44">
        <w:t xml:space="preserve">it </w:t>
      </w:r>
      <w:r w:rsidR="005D6C93">
        <w:t>sponsor</w:t>
      </w:r>
      <w:r w:rsidR="00E87A44">
        <w:t>s</w:t>
      </w:r>
      <w:r w:rsidR="005D6C93">
        <w:t xml:space="preserve"> events at the school. </w:t>
      </w:r>
      <w:r>
        <w:lastRenderedPageBreak/>
        <w:t>This</w:t>
      </w:r>
      <w:r w:rsidR="00E87A44">
        <w:t xml:space="preserve"> initiative</w:t>
      </w:r>
      <w:r>
        <w:t xml:space="preserve"> is a critical community connection for the students and families at Morgan. Thirteen Morgan staff to date have voluntarily participated in these events.</w:t>
      </w:r>
    </w:p>
    <w:p w14:paraId="6C0988E3" w14:textId="77777777" w:rsidR="00C05027" w:rsidRDefault="00800B10" w:rsidP="0005233E">
      <w:pPr>
        <w:pStyle w:val="Bullet1"/>
      </w:pPr>
      <w:r w:rsidRPr="001E522D">
        <w:rPr>
          <w:b/>
        </w:rPr>
        <w:t>Challenge:</w:t>
      </w:r>
      <w:r>
        <w:t xml:space="preserve"> Morgan leadership acknowledges the need to norm the practice of home visits among all teachers. The data currently show that </w:t>
      </w:r>
      <w:r w:rsidR="001F1B23">
        <w:t xml:space="preserve">certain </w:t>
      </w:r>
      <w:r>
        <w:t>teachers and grade levels are using this practi</w:t>
      </w:r>
      <w:r w:rsidR="005D6C93">
        <w:t xml:space="preserve">ce effectively and consistently. </w:t>
      </w:r>
      <w:r w:rsidR="0011346D">
        <w:t xml:space="preserve">Morgan leadership </w:t>
      </w:r>
      <w:r>
        <w:t>will address this individually with teachers who need to improve as well as address and revisit the practice</w:t>
      </w:r>
      <w:r w:rsidR="00E87A44">
        <w:t xml:space="preserve"> and </w:t>
      </w:r>
      <w:r>
        <w:t xml:space="preserve">expectation schoolwide through the ILT and professional learning.  </w:t>
      </w:r>
    </w:p>
    <w:sectPr w:rsidR="00C05027" w:rsidSect="001E522D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988E6" w14:textId="77777777" w:rsidR="000147E3" w:rsidRDefault="000147E3">
      <w:r>
        <w:separator/>
      </w:r>
    </w:p>
  </w:endnote>
  <w:endnote w:type="continuationSeparator" w:id="0">
    <w:p w14:paraId="6C0988E7" w14:textId="77777777" w:rsidR="000147E3" w:rsidRDefault="0001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988E8" w14:textId="77777777" w:rsidR="00C05027" w:rsidRDefault="00800B10" w:rsidP="001E522D">
    <w:pPr>
      <w:tabs>
        <w:tab w:val="right" w:pos="9360"/>
      </w:tabs>
    </w:pPr>
    <w:r>
      <w:rPr>
        <w:sz w:val="20"/>
        <w:szCs w:val="20"/>
      </w:rPr>
      <w:t>Level 5 Schools Quarter</w:t>
    </w:r>
    <w:r w:rsidR="00C64E8B">
      <w:rPr>
        <w:sz w:val="20"/>
        <w:szCs w:val="20"/>
      </w:rPr>
      <w:t xml:space="preserve"> 2</w:t>
    </w:r>
    <w:r>
      <w:rPr>
        <w:sz w:val="20"/>
        <w:szCs w:val="20"/>
      </w:rPr>
      <w:t xml:space="preserve"> Report</w:t>
    </w:r>
    <w:r>
      <w:rPr>
        <w:sz w:val="20"/>
        <w:szCs w:val="20"/>
      </w:rPr>
      <w:tab/>
      <w:t>Morgan Full Service Community School—</w:t>
    </w:r>
    <w:r w:rsidR="00C42C8A" w:rsidRPr="001E522D">
      <w:rPr>
        <w:sz w:val="20"/>
        <w:szCs w:val="20"/>
      </w:rPr>
      <w:fldChar w:fldCharType="begin"/>
    </w:r>
    <w:r w:rsidRPr="001E522D">
      <w:rPr>
        <w:sz w:val="20"/>
        <w:szCs w:val="20"/>
      </w:rPr>
      <w:instrText>PAGE</w:instrText>
    </w:r>
    <w:r w:rsidR="00C42C8A" w:rsidRPr="001E522D">
      <w:rPr>
        <w:sz w:val="20"/>
        <w:szCs w:val="20"/>
      </w:rPr>
      <w:fldChar w:fldCharType="separate"/>
    </w:r>
    <w:r w:rsidR="005B0C42">
      <w:rPr>
        <w:noProof/>
        <w:sz w:val="20"/>
        <w:szCs w:val="20"/>
      </w:rPr>
      <w:t>5</w:t>
    </w:r>
    <w:r w:rsidR="00C42C8A" w:rsidRPr="001E522D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988E9" w14:textId="77777777" w:rsidR="001E522D" w:rsidRPr="0038697D" w:rsidRDefault="001E522D" w:rsidP="0038697D">
    <w:pPr>
      <w:widowControl/>
      <w:tabs>
        <w:tab w:val="right" w:pos="9360"/>
      </w:tabs>
      <w:rPr>
        <w:sz w:val="20"/>
        <w:szCs w:val="20"/>
      </w:rPr>
    </w:pPr>
    <w:r>
      <w:rPr>
        <w:sz w:val="20"/>
        <w:szCs w:val="20"/>
      </w:rPr>
      <w:t>Level 5 Schools Quarter</w:t>
    </w:r>
    <w:r w:rsidR="00217ADD">
      <w:rPr>
        <w:sz w:val="20"/>
        <w:szCs w:val="20"/>
      </w:rPr>
      <w:t xml:space="preserve"> 2</w:t>
    </w:r>
    <w:r>
      <w:rPr>
        <w:sz w:val="20"/>
        <w:szCs w:val="20"/>
      </w:rPr>
      <w:t xml:space="preserve"> Report</w:t>
    </w:r>
    <w:r>
      <w:rPr>
        <w:sz w:val="20"/>
        <w:szCs w:val="20"/>
      </w:rPr>
      <w:tab/>
      <w:t>Morgan Full Service Community School—</w:t>
    </w:r>
    <w:r w:rsidR="00C42C8A" w:rsidRPr="001E522D">
      <w:rPr>
        <w:sz w:val="20"/>
        <w:szCs w:val="20"/>
      </w:rPr>
      <w:fldChar w:fldCharType="begin"/>
    </w:r>
    <w:r w:rsidRPr="001E522D">
      <w:rPr>
        <w:sz w:val="20"/>
        <w:szCs w:val="20"/>
      </w:rPr>
      <w:instrText>PAGE</w:instrText>
    </w:r>
    <w:r w:rsidR="00C42C8A" w:rsidRPr="001E522D">
      <w:rPr>
        <w:sz w:val="20"/>
        <w:szCs w:val="20"/>
      </w:rPr>
      <w:fldChar w:fldCharType="separate"/>
    </w:r>
    <w:r w:rsidR="005B0C42">
      <w:rPr>
        <w:noProof/>
        <w:sz w:val="20"/>
        <w:szCs w:val="20"/>
      </w:rPr>
      <w:t>1</w:t>
    </w:r>
    <w:r w:rsidR="00C42C8A" w:rsidRPr="001E522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988E4" w14:textId="77777777" w:rsidR="000147E3" w:rsidRDefault="000147E3">
      <w:r>
        <w:separator/>
      </w:r>
    </w:p>
  </w:footnote>
  <w:footnote w:type="continuationSeparator" w:id="0">
    <w:p w14:paraId="6C0988E5" w14:textId="77777777" w:rsidR="000147E3" w:rsidRDefault="0001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4AA6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1CF0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467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062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DC9F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683B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1046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2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4E6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EAE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43E9C"/>
    <w:multiLevelType w:val="multilevel"/>
    <w:tmpl w:val="342612EA"/>
    <w:lvl w:ilvl="0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1" w15:restartNumberingAfterBreak="0">
    <w:nsid w:val="03E771E5"/>
    <w:multiLevelType w:val="multilevel"/>
    <w:tmpl w:val="82BCD3E6"/>
    <w:lvl w:ilvl="0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2" w15:restartNumberingAfterBreak="0">
    <w:nsid w:val="08025869"/>
    <w:multiLevelType w:val="multilevel"/>
    <w:tmpl w:val="D6CAA4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4AB83CBA"/>
    <w:multiLevelType w:val="multilevel"/>
    <w:tmpl w:val="CC0ED0F4"/>
    <w:lvl w:ilvl="0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4" w15:restartNumberingAfterBreak="0">
    <w:nsid w:val="4ADE7B74"/>
    <w:multiLevelType w:val="multilevel"/>
    <w:tmpl w:val="D06071AE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2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5" w15:restartNumberingAfterBreak="0">
    <w:nsid w:val="4B3E3F84"/>
    <w:multiLevelType w:val="hybridMultilevel"/>
    <w:tmpl w:val="5D249CF8"/>
    <w:lvl w:ilvl="0" w:tplc="777C3172">
      <w:start w:val="1"/>
      <w:numFmt w:val="bullet"/>
      <w:pStyle w:val="Bullet1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9D14B1"/>
    <w:multiLevelType w:val="multilevel"/>
    <w:tmpl w:val="1938C430"/>
    <w:lvl w:ilvl="0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7" w15:restartNumberingAfterBreak="0">
    <w:nsid w:val="609A4A33"/>
    <w:multiLevelType w:val="multilevel"/>
    <w:tmpl w:val="71009B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61734F93"/>
    <w:multiLevelType w:val="multilevel"/>
    <w:tmpl w:val="197275D4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9" w15:restartNumberingAfterBreak="0">
    <w:nsid w:val="706A61A9"/>
    <w:multiLevelType w:val="multilevel"/>
    <w:tmpl w:val="D5BE914E"/>
    <w:lvl w:ilvl="0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13"/>
  </w:num>
  <w:num w:numId="5">
    <w:abstractNumId w:val="14"/>
  </w:num>
  <w:num w:numId="6">
    <w:abstractNumId w:val="18"/>
  </w:num>
  <w:num w:numId="7">
    <w:abstractNumId w:val="17"/>
  </w:num>
  <w:num w:numId="8">
    <w:abstractNumId w:val="19"/>
  </w:num>
  <w:num w:numId="9">
    <w:abstractNumId w:val="10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27"/>
    <w:rsid w:val="000147E3"/>
    <w:rsid w:val="000240CD"/>
    <w:rsid w:val="0004280A"/>
    <w:rsid w:val="00090CB9"/>
    <w:rsid w:val="000A3131"/>
    <w:rsid w:val="0011346D"/>
    <w:rsid w:val="00131371"/>
    <w:rsid w:val="001D01F3"/>
    <w:rsid w:val="001E522D"/>
    <w:rsid w:val="001F1B23"/>
    <w:rsid w:val="00214400"/>
    <w:rsid w:val="00214E53"/>
    <w:rsid w:val="00217ADD"/>
    <w:rsid w:val="002C0636"/>
    <w:rsid w:val="003305EE"/>
    <w:rsid w:val="0038697D"/>
    <w:rsid w:val="003A2E54"/>
    <w:rsid w:val="00404EB4"/>
    <w:rsid w:val="00453A87"/>
    <w:rsid w:val="004D329D"/>
    <w:rsid w:val="004F0AE5"/>
    <w:rsid w:val="00504697"/>
    <w:rsid w:val="00546855"/>
    <w:rsid w:val="00566D81"/>
    <w:rsid w:val="005A01BC"/>
    <w:rsid w:val="005B0C42"/>
    <w:rsid w:val="005D6C93"/>
    <w:rsid w:val="006B38FF"/>
    <w:rsid w:val="007534EB"/>
    <w:rsid w:val="00782BBE"/>
    <w:rsid w:val="007C49AB"/>
    <w:rsid w:val="00800B10"/>
    <w:rsid w:val="00872298"/>
    <w:rsid w:val="008952EB"/>
    <w:rsid w:val="008A4DBA"/>
    <w:rsid w:val="008C5284"/>
    <w:rsid w:val="008D50DD"/>
    <w:rsid w:val="009E06C3"/>
    <w:rsid w:val="009E3336"/>
    <w:rsid w:val="00A40958"/>
    <w:rsid w:val="00A60C48"/>
    <w:rsid w:val="00A81921"/>
    <w:rsid w:val="00A95713"/>
    <w:rsid w:val="00B50898"/>
    <w:rsid w:val="00B548A7"/>
    <w:rsid w:val="00B62B76"/>
    <w:rsid w:val="00B73588"/>
    <w:rsid w:val="00BB0121"/>
    <w:rsid w:val="00C05027"/>
    <w:rsid w:val="00C06D0F"/>
    <w:rsid w:val="00C12CA6"/>
    <w:rsid w:val="00C42C8A"/>
    <w:rsid w:val="00C64E8B"/>
    <w:rsid w:val="00C73403"/>
    <w:rsid w:val="00D20900"/>
    <w:rsid w:val="00D6755F"/>
    <w:rsid w:val="00D95A83"/>
    <w:rsid w:val="00E30AFD"/>
    <w:rsid w:val="00E71B6C"/>
    <w:rsid w:val="00E8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C098890"/>
  <w15:docId w15:val="{4E99D7A6-3B19-4037-B6C6-E6CB6508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E52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rsid w:val="001E522D"/>
    <w:pPr>
      <w:keepNext/>
      <w:keepLines/>
      <w:tabs>
        <w:tab w:val="center" w:pos="4680"/>
      </w:tabs>
      <w:spacing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rsid w:val="001E522D"/>
    <w:pPr>
      <w:tabs>
        <w:tab w:val="center" w:pos="4680"/>
      </w:tabs>
      <w:spacing w:before="240" w:after="12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rsid w:val="001E522D"/>
    <w:pPr>
      <w:keepNext/>
      <w:keepLines/>
      <w:tabs>
        <w:tab w:val="left" w:pos="5400"/>
      </w:tabs>
      <w:ind w:left="720"/>
      <w:outlineLvl w:val="2"/>
    </w:pPr>
    <w:rPr>
      <w:rFonts w:ascii="Arial" w:eastAsia="Arial" w:hAnsi="Arial" w:cs="Arial"/>
      <w:i/>
      <w:sz w:val="18"/>
      <w:szCs w:val="18"/>
    </w:rPr>
  </w:style>
  <w:style w:type="paragraph" w:styleId="Heading4">
    <w:name w:val="heading 4"/>
    <w:basedOn w:val="Normal"/>
    <w:next w:val="Normal"/>
    <w:rsid w:val="001E522D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rsid w:val="001E522D"/>
    <w:pPr>
      <w:keepNext/>
      <w:keepLines/>
      <w:outlineLvl w:val="4"/>
    </w:pPr>
    <w:rPr>
      <w:i/>
    </w:rPr>
  </w:style>
  <w:style w:type="paragraph" w:styleId="Heading6">
    <w:name w:val="heading 6"/>
    <w:basedOn w:val="Normal"/>
    <w:next w:val="Normal"/>
    <w:rsid w:val="001E522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E522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E522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12CA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C12CA6"/>
    <w:tblPr>
      <w:tblStyleRowBandSize w:val="1"/>
      <w:tblStyleColBandSize w:val="1"/>
    </w:tblPr>
  </w:style>
  <w:style w:type="table" w:customStyle="1" w:styleId="a1">
    <w:basedOn w:val="TableNormal"/>
    <w:rsid w:val="00C12CA6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E5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2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2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2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2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2D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1E522D"/>
    <w:pPr>
      <w:widowControl/>
      <w:spacing w:before="240"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522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522D"/>
    <w:pPr>
      <w:ind w:left="720"/>
      <w:contextualSpacing/>
    </w:pPr>
  </w:style>
  <w:style w:type="paragraph" w:customStyle="1" w:styleId="Bullet1">
    <w:name w:val="Bullet 1"/>
    <w:basedOn w:val="ListParagraph"/>
    <w:rsid w:val="001E522D"/>
    <w:pPr>
      <w:widowControl/>
      <w:numPr>
        <w:numId w:val="10"/>
      </w:numPr>
      <w:spacing w:before="120" w:after="120"/>
      <w:ind w:left="720"/>
      <w:contextualSpacing w:val="0"/>
    </w:pPr>
  </w:style>
  <w:style w:type="paragraph" w:styleId="Footer">
    <w:name w:val="footer"/>
    <w:basedOn w:val="Normal"/>
    <w:link w:val="FooterChar"/>
    <w:uiPriority w:val="99"/>
    <w:unhideWhenUsed/>
    <w:rsid w:val="001E5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22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5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22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52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E522D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paragraph" w:customStyle="1" w:styleId="Tablenote">
    <w:name w:val="Table note"/>
    <w:basedOn w:val="Normal"/>
    <w:rsid w:val="001E522D"/>
    <w:pPr>
      <w:tabs>
        <w:tab w:val="center" w:pos="4680"/>
      </w:tabs>
      <w:spacing w:before="1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DESE-231-30671</_dlc_DocId>
    <_dlc_DocIdUrl xmlns="733efe1c-5bbe-4968-87dc-d400e65c879f">
      <Url>https://sharepoint.doemass.org/ese/webteam/cps/_layouts/DocIdRedir.aspx?ID=DESE-231-30671</Url>
      <Description>DESE-231-30671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241A1450-B4B4-4D2D-8D18-69F68C7A940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7046D5-AAEF-48AA-9B01-84BE6ABE2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EF26A-F87D-4B5B-BBCB-2F615BF7FAC4}">
  <ds:schemaRefs>
    <ds:schemaRef ds:uri="733efe1c-5bbe-4968-87dc-d400e65c879f"/>
    <ds:schemaRef ds:uri="http://schemas.microsoft.com/office/2006/documentManagement/types"/>
    <ds:schemaRef ds:uri="0a4e05da-b9bc-4326-ad73-01ef31b95567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8FD95C9-018A-4C1D-AD73-BBD221823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Morgan School Quarter 2 Report</vt:lpstr>
    </vt:vector>
  </TitlesOfParts>
  <Company>Holyoke Public Schools</Company>
  <LinksUpToDate>false</LinksUpToDate>
  <CharactersWithSpaces>12844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1/24/17 BESE Meeting: Morgan School Quarter 2 Report</dc:title>
  <dc:creator>ESE</dc:creator>
  <cp:lastModifiedBy>Giovanni, Danielle (EOE)</cp:lastModifiedBy>
  <cp:revision>2</cp:revision>
  <cp:lastPrinted>2016-12-19T19:17:00Z</cp:lastPrinted>
  <dcterms:created xsi:type="dcterms:W3CDTF">2017-01-22T19:53:00Z</dcterms:created>
  <dcterms:modified xsi:type="dcterms:W3CDTF">2017-01-22T19:53:00Z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4f0717d0-f7ee-440e-8aaa-bd2787a76e94</vt:lpwstr>
  </property>
  <property fmtid="{D5CDD505-2E9C-101B-9397-08002B2CF9AE}" pid="4" name="metadate">
    <vt:lpwstr>Jan 22 2017</vt:lpwstr>
  </property>
</Properties>
</file>