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89" w:rsidRDefault="00E83CFC" w:rsidP="00E83CFC">
      <w:pPr>
        <w:jc w:val="center"/>
        <w:rPr>
          <w:b/>
          <w:sz w:val="22"/>
          <w:szCs w:val="22"/>
        </w:rPr>
      </w:pPr>
      <w:bookmarkStart w:id="0" w:name="_GoBack"/>
      <w:bookmarkEnd w:id="0"/>
      <w:r w:rsidRPr="00654913">
        <w:rPr>
          <w:b/>
          <w:sz w:val="22"/>
          <w:szCs w:val="22"/>
        </w:rPr>
        <w:t>BOARD OF HIGHER EDUCATION</w:t>
      </w:r>
      <w:r w:rsidR="00383201">
        <w:rPr>
          <w:b/>
          <w:sz w:val="22"/>
          <w:szCs w:val="22"/>
        </w:rPr>
        <w:t xml:space="preserve"> AND</w:t>
      </w:r>
    </w:p>
    <w:p w:rsidR="00383201" w:rsidRPr="00654913" w:rsidRDefault="00383201" w:rsidP="00E83CFC">
      <w:pPr>
        <w:jc w:val="center"/>
        <w:rPr>
          <w:b/>
          <w:sz w:val="22"/>
          <w:szCs w:val="22"/>
        </w:rPr>
      </w:pPr>
      <w:r>
        <w:rPr>
          <w:b/>
          <w:sz w:val="22"/>
          <w:szCs w:val="22"/>
        </w:rPr>
        <w:t>BOARD OF ELEMENTARY AND SECONDARY EDUCATION</w:t>
      </w:r>
    </w:p>
    <w:p w:rsidR="00E83CFC" w:rsidRPr="00654913" w:rsidRDefault="00383201" w:rsidP="00E83CFC">
      <w:pPr>
        <w:jc w:val="center"/>
        <w:rPr>
          <w:b/>
          <w:sz w:val="22"/>
          <w:szCs w:val="22"/>
        </w:rPr>
      </w:pPr>
      <w:r>
        <w:rPr>
          <w:b/>
          <w:sz w:val="22"/>
          <w:szCs w:val="22"/>
        </w:rPr>
        <w:t>JOINT RESOLUTION</w:t>
      </w:r>
    </w:p>
    <w:p w:rsidR="003A6CB2" w:rsidRDefault="003A6CB2" w:rsidP="00E83CFC">
      <w:pPr>
        <w:jc w:val="center"/>
        <w:rPr>
          <w:sz w:val="22"/>
          <w:szCs w:val="22"/>
        </w:rPr>
      </w:pPr>
    </w:p>
    <w:tbl>
      <w:tblPr>
        <w:tblW w:w="0" w:type="auto"/>
        <w:tblInd w:w="18" w:type="dxa"/>
        <w:tblLayout w:type="fixed"/>
        <w:tblLook w:val="01E0" w:firstRow="1" w:lastRow="1" w:firstColumn="1" w:lastColumn="1" w:noHBand="0" w:noVBand="0"/>
      </w:tblPr>
      <w:tblGrid>
        <w:gridCol w:w="1705"/>
        <w:gridCol w:w="4145"/>
        <w:gridCol w:w="720"/>
        <w:gridCol w:w="2268"/>
      </w:tblGrid>
      <w:tr w:rsidR="00E83CFC" w:rsidRPr="003C01A9" w:rsidTr="001557FE">
        <w:trPr>
          <w:trHeight w:val="405"/>
        </w:trPr>
        <w:tc>
          <w:tcPr>
            <w:tcW w:w="1705" w:type="dxa"/>
          </w:tcPr>
          <w:p w:rsidR="00E83CFC" w:rsidRPr="003C01A9" w:rsidRDefault="00E83CFC" w:rsidP="009626D9">
            <w:pPr>
              <w:spacing w:after="140"/>
              <w:rPr>
                <w:b/>
                <w:sz w:val="22"/>
                <w:szCs w:val="22"/>
              </w:rPr>
            </w:pPr>
          </w:p>
        </w:tc>
        <w:tc>
          <w:tcPr>
            <w:tcW w:w="4145" w:type="dxa"/>
          </w:tcPr>
          <w:p w:rsidR="00E83CFC" w:rsidRPr="003C01A9" w:rsidRDefault="00E83CFC" w:rsidP="009626D9">
            <w:pPr>
              <w:spacing w:after="140"/>
              <w:rPr>
                <w:sz w:val="22"/>
                <w:szCs w:val="22"/>
              </w:rPr>
            </w:pPr>
          </w:p>
        </w:tc>
        <w:tc>
          <w:tcPr>
            <w:tcW w:w="720" w:type="dxa"/>
          </w:tcPr>
          <w:p w:rsidR="00E83CFC" w:rsidRPr="003C01A9" w:rsidRDefault="00E83CFC" w:rsidP="009626D9">
            <w:pPr>
              <w:spacing w:after="140"/>
              <w:jc w:val="right"/>
              <w:rPr>
                <w:sz w:val="22"/>
                <w:szCs w:val="22"/>
              </w:rPr>
            </w:pPr>
            <w:r w:rsidRPr="003C01A9">
              <w:rPr>
                <w:b/>
                <w:sz w:val="22"/>
                <w:szCs w:val="22"/>
              </w:rPr>
              <w:t>NO</w:t>
            </w:r>
            <w:r w:rsidRPr="003C01A9">
              <w:rPr>
                <w:sz w:val="22"/>
                <w:szCs w:val="22"/>
              </w:rPr>
              <w:t>.:</w:t>
            </w:r>
          </w:p>
        </w:tc>
        <w:tc>
          <w:tcPr>
            <w:tcW w:w="2268" w:type="dxa"/>
          </w:tcPr>
          <w:p w:rsidR="00E83CFC" w:rsidRDefault="00DF494F" w:rsidP="00147803">
            <w:pPr>
              <w:spacing w:after="140"/>
              <w:rPr>
                <w:sz w:val="22"/>
                <w:szCs w:val="22"/>
              </w:rPr>
            </w:pPr>
            <w:r w:rsidRPr="003C01A9">
              <w:rPr>
                <w:sz w:val="22"/>
                <w:szCs w:val="22"/>
              </w:rPr>
              <w:t xml:space="preserve">BHE </w:t>
            </w:r>
            <w:r w:rsidR="00A91845">
              <w:rPr>
                <w:sz w:val="22"/>
                <w:szCs w:val="22"/>
              </w:rPr>
              <w:t>1</w:t>
            </w:r>
            <w:r w:rsidR="004E6A5E">
              <w:rPr>
                <w:sz w:val="22"/>
                <w:szCs w:val="22"/>
              </w:rPr>
              <w:t>8</w:t>
            </w:r>
            <w:r w:rsidR="00A91845">
              <w:rPr>
                <w:sz w:val="22"/>
                <w:szCs w:val="22"/>
              </w:rPr>
              <w:t>-</w:t>
            </w:r>
            <w:r w:rsidR="004E6A5E">
              <w:rPr>
                <w:sz w:val="22"/>
                <w:szCs w:val="22"/>
              </w:rPr>
              <w:t>XX</w:t>
            </w:r>
          </w:p>
          <w:p w:rsidR="00383201" w:rsidRPr="003C01A9" w:rsidRDefault="00383201" w:rsidP="00A91845">
            <w:pPr>
              <w:spacing w:after="140"/>
              <w:rPr>
                <w:sz w:val="22"/>
                <w:szCs w:val="22"/>
              </w:rPr>
            </w:pPr>
            <w:r>
              <w:rPr>
                <w:sz w:val="22"/>
                <w:szCs w:val="22"/>
              </w:rPr>
              <w:t xml:space="preserve">BESE </w:t>
            </w:r>
          </w:p>
        </w:tc>
      </w:tr>
      <w:tr w:rsidR="00B813F4" w:rsidRPr="003C01A9" w:rsidTr="001557FE">
        <w:trPr>
          <w:trHeight w:val="405"/>
        </w:trPr>
        <w:tc>
          <w:tcPr>
            <w:tcW w:w="1705" w:type="dxa"/>
            <w:tcBorders>
              <w:bottom w:val="single" w:sz="4" w:space="0" w:color="auto"/>
            </w:tcBorders>
          </w:tcPr>
          <w:p w:rsidR="00B813F4" w:rsidRPr="003C01A9" w:rsidRDefault="00B813F4" w:rsidP="009626D9">
            <w:pPr>
              <w:spacing w:after="140"/>
              <w:rPr>
                <w:b/>
                <w:sz w:val="22"/>
                <w:szCs w:val="22"/>
              </w:rPr>
            </w:pPr>
          </w:p>
        </w:tc>
        <w:tc>
          <w:tcPr>
            <w:tcW w:w="4865" w:type="dxa"/>
            <w:gridSpan w:val="2"/>
            <w:tcBorders>
              <w:bottom w:val="single" w:sz="4" w:space="0" w:color="auto"/>
            </w:tcBorders>
          </w:tcPr>
          <w:p w:rsidR="00B813F4" w:rsidRPr="003C01A9" w:rsidRDefault="00B813F4" w:rsidP="009626D9">
            <w:pPr>
              <w:spacing w:after="140"/>
              <w:jc w:val="right"/>
              <w:rPr>
                <w:b/>
                <w:sz w:val="22"/>
                <w:szCs w:val="22"/>
              </w:rPr>
            </w:pPr>
            <w:r w:rsidRPr="003C01A9">
              <w:rPr>
                <w:b/>
                <w:sz w:val="22"/>
                <w:szCs w:val="22"/>
              </w:rPr>
              <w:t>BOARD DATE:</w:t>
            </w:r>
          </w:p>
        </w:tc>
        <w:tc>
          <w:tcPr>
            <w:tcW w:w="2268" w:type="dxa"/>
            <w:tcBorders>
              <w:bottom w:val="single" w:sz="4" w:space="0" w:color="auto"/>
            </w:tcBorders>
          </w:tcPr>
          <w:p w:rsidR="00B813F4" w:rsidRPr="003C01A9" w:rsidRDefault="00CB73A2" w:rsidP="004E6A5E">
            <w:pPr>
              <w:spacing w:after="140"/>
              <w:rPr>
                <w:sz w:val="22"/>
                <w:szCs w:val="22"/>
              </w:rPr>
            </w:pPr>
            <w:r>
              <w:rPr>
                <w:sz w:val="22"/>
                <w:szCs w:val="22"/>
              </w:rPr>
              <w:t>January 2</w:t>
            </w:r>
            <w:r w:rsidR="004E6A5E">
              <w:rPr>
                <w:sz w:val="22"/>
                <w:szCs w:val="22"/>
              </w:rPr>
              <w:t>3</w:t>
            </w:r>
            <w:r w:rsidR="00F15E26">
              <w:rPr>
                <w:sz w:val="22"/>
                <w:szCs w:val="22"/>
              </w:rPr>
              <w:t xml:space="preserve">, </w:t>
            </w:r>
            <w:r w:rsidR="00772D02">
              <w:rPr>
                <w:sz w:val="22"/>
                <w:szCs w:val="22"/>
              </w:rPr>
              <w:t>201</w:t>
            </w:r>
            <w:r w:rsidR="004E6A5E">
              <w:rPr>
                <w:sz w:val="22"/>
                <w:szCs w:val="22"/>
              </w:rPr>
              <w:t>8</w:t>
            </w:r>
          </w:p>
        </w:tc>
      </w:tr>
      <w:tr w:rsidR="00E83CFC" w:rsidRPr="003C01A9" w:rsidTr="001557FE">
        <w:trPr>
          <w:trHeight w:val="170"/>
        </w:trPr>
        <w:tc>
          <w:tcPr>
            <w:tcW w:w="1705" w:type="dxa"/>
            <w:tcBorders>
              <w:top w:val="single" w:sz="4" w:space="0" w:color="auto"/>
            </w:tcBorders>
          </w:tcPr>
          <w:p w:rsidR="003A6CB2" w:rsidRPr="003C01A9" w:rsidRDefault="003A6CB2" w:rsidP="00E83CFC">
            <w:pPr>
              <w:rPr>
                <w:b/>
                <w:sz w:val="22"/>
                <w:szCs w:val="22"/>
              </w:rPr>
            </w:pPr>
          </w:p>
        </w:tc>
        <w:tc>
          <w:tcPr>
            <w:tcW w:w="7133" w:type="dxa"/>
            <w:gridSpan w:val="3"/>
            <w:tcBorders>
              <w:top w:val="single" w:sz="4" w:space="0" w:color="auto"/>
            </w:tcBorders>
          </w:tcPr>
          <w:p w:rsidR="00E83CFC" w:rsidRPr="003C01A9" w:rsidRDefault="00E83CFC" w:rsidP="00E83CFC">
            <w:pPr>
              <w:rPr>
                <w:sz w:val="22"/>
                <w:szCs w:val="22"/>
              </w:rPr>
            </w:pPr>
          </w:p>
        </w:tc>
      </w:tr>
      <w:tr w:rsidR="008B02A6" w:rsidRPr="003C01A9" w:rsidTr="001557FE">
        <w:trPr>
          <w:trHeight w:val="432"/>
        </w:trPr>
        <w:tc>
          <w:tcPr>
            <w:tcW w:w="8838" w:type="dxa"/>
            <w:gridSpan w:val="4"/>
          </w:tcPr>
          <w:p w:rsidR="00772D02" w:rsidRPr="003C01A9" w:rsidRDefault="00772D02" w:rsidP="007B6613">
            <w:pPr>
              <w:spacing w:after="140"/>
              <w:rPr>
                <w:b/>
                <w:caps/>
                <w:sz w:val="22"/>
                <w:szCs w:val="22"/>
              </w:rPr>
            </w:pPr>
            <w:r>
              <w:rPr>
                <w:b/>
                <w:caps/>
                <w:sz w:val="22"/>
                <w:szCs w:val="22"/>
              </w:rPr>
              <w:t xml:space="preserve">RESOLUTION </w:t>
            </w:r>
            <w:r w:rsidR="00F72493">
              <w:rPr>
                <w:b/>
                <w:caps/>
                <w:sz w:val="22"/>
                <w:szCs w:val="22"/>
              </w:rPr>
              <w:t xml:space="preserve">regarding </w:t>
            </w:r>
            <w:r w:rsidR="007B6613">
              <w:rPr>
                <w:b/>
                <w:caps/>
                <w:sz w:val="22"/>
                <w:szCs w:val="22"/>
              </w:rPr>
              <w:t xml:space="preserve">INCREASING ACCESS TO HIGH SCHOOL LEVEL COMPUTER SCIENCE </w:t>
            </w:r>
          </w:p>
        </w:tc>
      </w:tr>
      <w:tr w:rsidR="00E83CFC" w:rsidRPr="003C01A9" w:rsidTr="000B2871">
        <w:trPr>
          <w:trHeight w:val="8550"/>
        </w:trPr>
        <w:tc>
          <w:tcPr>
            <w:tcW w:w="1705" w:type="dxa"/>
          </w:tcPr>
          <w:p w:rsidR="00E83CFC" w:rsidRPr="003C01A9" w:rsidRDefault="00E83CFC" w:rsidP="00E83CFC">
            <w:pPr>
              <w:rPr>
                <w:sz w:val="22"/>
                <w:szCs w:val="22"/>
              </w:rPr>
            </w:pPr>
            <w:r w:rsidRPr="003C01A9">
              <w:rPr>
                <w:b/>
                <w:sz w:val="22"/>
                <w:szCs w:val="22"/>
              </w:rPr>
              <w:t>MOVED</w:t>
            </w:r>
            <w:r w:rsidRPr="003C01A9">
              <w:rPr>
                <w:sz w:val="22"/>
                <w:szCs w:val="22"/>
              </w:rPr>
              <w:t>:</w:t>
            </w:r>
          </w:p>
        </w:tc>
        <w:tc>
          <w:tcPr>
            <w:tcW w:w="7133" w:type="dxa"/>
            <w:gridSpan w:val="3"/>
            <w:vMerge w:val="restart"/>
          </w:tcPr>
          <w:p w:rsidR="007B6613" w:rsidRPr="007B6613" w:rsidRDefault="007B6613" w:rsidP="007B6613">
            <w:pPr>
              <w:rPr>
                <w:rFonts w:cs="Arial"/>
                <w:sz w:val="22"/>
                <w:szCs w:val="22"/>
              </w:rPr>
            </w:pPr>
            <w:r w:rsidRPr="007B6613">
              <w:rPr>
                <w:rFonts w:cs="Arial"/>
                <w:sz w:val="22"/>
                <w:szCs w:val="22"/>
              </w:rPr>
              <w:t xml:space="preserve">that the Board of Elementary and Secondary Education (BESE) and the Board of Higher Education (BHE) (collectively “the Boards”) hereby charge the Commissioner of the Department of Higher Education (DHE) and the Commissioner of the Department of Elementary and Secondary Education (DESE) to convene a working group, which will be charged with developing a specific proposal intended to accomplish two goals: </w:t>
            </w:r>
          </w:p>
          <w:p w:rsidR="007B6613" w:rsidRPr="007B6613" w:rsidRDefault="007B6613" w:rsidP="007B6613">
            <w:pPr>
              <w:ind w:left="990" w:hanging="990"/>
              <w:rPr>
                <w:rFonts w:cs="Arial"/>
                <w:sz w:val="22"/>
                <w:szCs w:val="22"/>
              </w:rPr>
            </w:pPr>
          </w:p>
          <w:p w:rsidR="007B6613" w:rsidRDefault="007B6613" w:rsidP="007B6613">
            <w:pPr>
              <w:pStyle w:val="ListParagraph"/>
              <w:numPr>
                <w:ilvl w:val="0"/>
                <w:numId w:val="2"/>
              </w:numPr>
              <w:contextualSpacing/>
              <w:rPr>
                <w:rFonts w:cs="Arial"/>
                <w:sz w:val="22"/>
                <w:szCs w:val="22"/>
              </w:rPr>
            </w:pPr>
            <w:r w:rsidRPr="007B6613">
              <w:rPr>
                <w:rFonts w:cs="Arial"/>
                <w:sz w:val="22"/>
                <w:szCs w:val="22"/>
              </w:rPr>
              <w:t>To develop a long term strategy to enable many more students graduating from Massachusetts public high schools to study computer science/computational thinking as part of MassCore</w:t>
            </w:r>
            <w:r w:rsidR="00A664A6">
              <w:rPr>
                <w:rFonts w:cs="Arial"/>
                <w:sz w:val="22"/>
                <w:szCs w:val="22"/>
              </w:rPr>
              <w:t>, the recommended program of studies in high school</w:t>
            </w:r>
            <w:r w:rsidRPr="007B6613">
              <w:rPr>
                <w:rFonts w:cs="Arial"/>
                <w:sz w:val="22"/>
                <w:szCs w:val="22"/>
              </w:rPr>
              <w:t>.</w:t>
            </w:r>
          </w:p>
          <w:p w:rsidR="007B6613" w:rsidRPr="007B6613" w:rsidRDefault="007B6613" w:rsidP="007B6613">
            <w:pPr>
              <w:pStyle w:val="ListParagraph"/>
              <w:contextualSpacing/>
              <w:rPr>
                <w:rFonts w:cs="Arial"/>
                <w:sz w:val="22"/>
                <w:szCs w:val="22"/>
              </w:rPr>
            </w:pPr>
          </w:p>
          <w:p w:rsidR="007B6613" w:rsidRPr="007B6613" w:rsidRDefault="007B6613" w:rsidP="007B6613">
            <w:pPr>
              <w:pStyle w:val="ListParagraph"/>
              <w:numPr>
                <w:ilvl w:val="0"/>
                <w:numId w:val="2"/>
              </w:numPr>
              <w:contextualSpacing/>
              <w:rPr>
                <w:rFonts w:cs="Arial"/>
                <w:sz w:val="22"/>
                <w:szCs w:val="22"/>
              </w:rPr>
            </w:pPr>
            <w:r w:rsidRPr="007B6613">
              <w:rPr>
                <w:rFonts w:cs="Arial"/>
                <w:sz w:val="22"/>
                <w:szCs w:val="22"/>
              </w:rPr>
              <w:t xml:space="preserve">To increase the number of students interested in pursuing computer science as a field of study in postsecondary education and, by extension, those students interested in pursuing careers in technology following graduation from a postsecondary institution.  </w:t>
            </w:r>
          </w:p>
          <w:p w:rsidR="007B6613" w:rsidRPr="007B6613" w:rsidRDefault="007B6613" w:rsidP="007B6613">
            <w:pPr>
              <w:ind w:left="360"/>
              <w:rPr>
                <w:rFonts w:cs="Arial"/>
                <w:sz w:val="22"/>
                <w:szCs w:val="22"/>
              </w:rPr>
            </w:pPr>
          </w:p>
          <w:p w:rsidR="007B6613" w:rsidRPr="007B6613" w:rsidRDefault="007B6613" w:rsidP="007B6613">
            <w:pPr>
              <w:rPr>
                <w:rFonts w:cs="Arial"/>
                <w:sz w:val="22"/>
                <w:szCs w:val="22"/>
              </w:rPr>
            </w:pPr>
            <w:r w:rsidRPr="0059246C">
              <w:rPr>
                <w:rFonts w:cs="Arial"/>
                <w:sz w:val="22"/>
                <w:szCs w:val="22"/>
              </w:rPr>
              <w:t>Possible issues to be considered by the working group should include,</w:t>
            </w:r>
            <w:r w:rsidRPr="007B6613">
              <w:rPr>
                <w:rFonts w:cs="Arial"/>
                <w:sz w:val="22"/>
                <w:szCs w:val="22"/>
              </w:rPr>
              <w:t xml:space="preserve"> but not be limited to, the following: </w:t>
            </w:r>
          </w:p>
          <w:p w:rsidR="007B6613" w:rsidRPr="007B6613" w:rsidRDefault="007B6613" w:rsidP="007B6613">
            <w:pPr>
              <w:rPr>
                <w:rFonts w:cs="Arial"/>
                <w:sz w:val="22"/>
                <w:szCs w:val="22"/>
              </w:rPr>
            </w:pP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Moving computer science from use as an “additional core course” in MassCore to allow for a computer science course to substitute for other Mass Core course</w:t>
            </w:r>
            <w:r w:rsidR="00A664A6">
              <w:rPr>
                <w:rFonts w:cs="Arial"/>
                <w:sz w:val="22"/>
                <w:szCs w:val="22"/>
              </w:rPr>
              <w:t>s</w:t>
            </w:r>
            <w:r w:rsidRPr="007B6613">
              <w:rPr>
                <w:rFonts w:cs="Arial"/>
                <w:sz w:val="22"/>
                <w:szCs w:val="22"/>
              </w:rPr>
              <w:t>;</w:t>
            </w: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 xml:space="preserve">Exploring how a computer science </w:t>
            </w:r>
            <w:r w:rsidR="00A664A6">
              <w:rPr>
                <w:rFonts w:cs="Arial"/>
                <w:sz w:val="22"/>
                <w:szCs w:val="22"/>
              </w:rPr>
              <w:t xml:space="preserve">component in </w:t>
            </w:r>
            <w:r w:rsidRPr="007B6613">
              <w:rPr>
                <w:rFonts w:cs="Arial"/>
                <w:sz w:val="22"/>
                <w:szCs w:val="22"/>
              </w:rPr>
              <w:t>MassCore might be met through a multi-year, integrated course of study or pathway;</w:t>
            </w: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 xml:space="preserve">Ensuring that any computer science course or pathway that is incorporated into MassCore is aligned with the 2016 Digital Literacy and Computer Science standards; </w:t>
            </w: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 xml:space="preserve">Developing an assessment strategy that provides the opportunity to demonstrate competency in computer science as </w:t>
            </w:r>
            <w:r w:rsidRPr="007B6613">
              <w:rPr>
                <w:rFonts w:cs="Arial"/>
                <w:sz w:val="22"/>
                <w:szCs w:val="22"/>
              </w:rPr>
              <w:lastRenderedPageBreak/>
              <w:t xml:space="preserve">a means of meeting the high school Competency Determination (CD) for purposes of high school graduation; </w:t>
            </w: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 xml:space="preserve">Exploring the incorporation of computer science into higher education admissions criteria as an incentive for expanded computer science offerings; </w:t>
            </w: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 xml:space="preserve">Identifying and addressing barriers to ensuring equitable access to all students to pursue courses in computer science and/or digital literacy.  </w:t>
            </w:r>
          </w:p>
          <w:p w:rsidR="007B6613" w:rsidRPr="007B6613" w:rsidRDefault="007B6613" w:rsidP="007B6613">
            <w:pPr>
              <w:pStyle w:val="ListParagraph"/>
              <w:numPr>
                <w:ilvl w:val="0"/>
                <w:numId w:val="3"/>
              </w:numPr>
              <w:contextualSpacing/>
              <w:rPr>
                <w:rFonts w:cs="Arial"/>
                <w:sz w:val="22"/>
                <w:szCs w:val="22"/>
              </w:rPr>
            </w:pPr>
            <w:r w:rsidRPr="007B6613">
              <w:rPr>
                <w:rFonts w:cs="Arial"/>
                <w:sz w:val="22"/>
                <w:szCs w:val="22"/>
              </w:rPr>
              <w:t xml:space="preserve">Exploring alignment of computer science with existing math pathways; </w:t>
            </w:r>
          </w:p>
          <w:p w:rsidR="007B6613" w:rsidRPr="007B6613" w:rsidRDefault="007B6613" w:rsidP="007B6613">
            <w:pPr>
              <w:pStyle w:val="ListParagraph"/>
              <w:rPr>
                <w:rFonts w:cs="Arial"/>
                <w:sz w:val="22"/>
                <w:szCs w:val="22"/>
              </w:rPr>
            </w:pPr>
          </w:p>
          <w:p w:rsidR="007B6613" w:rsidRPr="007B6613" w:rsidRDefault="007B6613" w:rsidP="007B6613">
            <w:pPr>
              <w:rPr>
                <w:rFonts w:cs="Arial"/>
                <w:sz w:val="22"/>
                <w:szCs w:val="22"/>
              </w:rPr>
            </w:pPr>
            <w:r w:rsidRPr="007B6613">
              <w:rPr>
                <w:rFonts w:cs="Arial"/>
                <w:sz w:val="22"/>
                <w:szCs w:val="22"/>
              </w:rPr>
              <w:t>No later than June 30, 2018</w:t>
            </w:r>
            <w:r w:rsidR="00A664A6">
              <w:rPr>
                <w:rFonts w:cs="Arial"/>
                <w:sz w:val="22"/>
                <w:szCs w:val="22"/>
              </w:rPr>
              <w:t>,</w:t>
            </w:r>
            <w:r w:rsidRPr="007B6613">
              <w:rPr>
                <w:rFonts w:cs="Arial"/>
                <w:sz w:val="22"/>
                <w:szCs w:val="22"/>
              </w:rPr>
              <w:t xml:space="preserve"> the Commissioners shall report back to and seek final approval from the BHE and BESE boards, respectively, either individually or through a joint session, on a specific proposal related to computer science.</w:t>
            </w:r>
          </w:p>
          <w:p w:rsidR="002A5783" w:rsidRDefault="002A5783" w:rsidP="007B6613">
            <w:pPr>
              <w:pStyle w:val="ListParagraph"/>
              <w:rPr>
                <w:sz w:val="22"/>
                <w:szCs w:val="22"/>
              </w:rPr>
            </w:pPr>
          </w:p>
        </w:tc>
      </w:tr>
      <w:tr w:rsidR="00E83CFC" w:rsidRPr="003C01A9" w:rsidTr="001557FE">
        <w:trPr>
          <w:trHeight w:val="7650"/>
        </w:trPr>
        <w:tc>
          <w:tcPr>
            <w:tcW w:w="1705" w:type="dxa"/>
          </w:tcPr>
          <w:p w:rsidR="00E83CFC" w:rsidRPr="003C01A9" w:rsidRDefault="00E83CFC" w:rsidP="00E83CFC">
            <w:pPr>
              <w:rPr>
                <w:sz w:val="22"/>
                <w:szCs w:val="22"/>
              </w:rPr>
            </w:pPr>
          </w:p>
        </w:tc>
        <w:tc>
          <w:tcPr>
            <w:tcW w:w="7133" w:type="dxa"/>
            <w:gridSpan w:val="3"/>
            <w:vMerge/>
          </w:tcPr>
          <w:p w:rsidR="00E83CFC" w:rsidRPr="003C01A9" w:rsidRDefault="00E83CFC" w:rsidP="00E83CFC">
            <w:pPr>
              <w:rPr>
                <w:sz w:val="22"/>
                <w:szCs w:val="22"/>
              </w:rPr>
            </w:pPr>
          </w:p>
        </w:tc>
      </w:tr>
      <w:tr w:rsidR="00E83CFC" w:rsidRPr="003C01A9" w:rsidTr="001557FE">
        <w:trPr>
          <w:trHeight w:val="360"/>
        </w:trPr>
        <w:tc>
          <w:tcPr>
            <w:tcW w:w="1705" w:type="dxa"/>
          </w:tcPr>
          <w:p w:rsidR="00E83CFC" w:rsidRPr="003C01A9" w:rsidRDefault="00E83CFC" w:rsidP="009626D9">
            <w:pPr>
              <w:spacing w:after="140"/>
              <w:rPr>
                <w:sz w:val="22"/>
                <w:szCs w:val="22"/>
              </w:rPr>
            </w:pPr>
            <w:r w:rsidRPr="003C01A9">
              <w:rPr>
                <w:sz w:val="22"/>
                <w:szCs w:val="22"/>
              </w:rPr>
              <w:lastRenderedPageBreak/>
              <w:t>Authority:</w:t>
            </w:r>
          </w:p>
        </w:tc>
        <w:tc>
          <w:tcPr>
            <w:tcW w:w="7133" w:type="dxa"/>
            <w:gridSpan w:val="3"/>
          </w:tcPr>
          <w:p w:rsidR="00E83CFC" w:rsidRPr="003C01A9" w:rsidRDefault="006C3D10" w:rsidP="0059246C">
            <w:pPr>
              <w:spacing w:after="140"/>
              <w:rPr>
                <w:sz w:val="22"/>
                <w:szCs w:val="22"/>
              </w:rPr>
            </w:pPr>
            <w:r>
              <w:rPr>
                <w:sz w:val="22"/>
                <w:szCs w:val="22"/>
              </w:rPr>
              <w:t xml:space="preserve">M.G.L. c. 15A, </w:t>
            </w:r>
            <w:r>
              <w:rPr>
                <w:rFonts w:cs="Arial"/>
                <w:sz w:val="22"/>
                <w:szCs w:val="22"/>
              </w:rPr>
              <w:t>§</w:t>
            </w:r>
            <w:r>
              <w:rPr>
                <w:sz w:val="22"/>
                <w:szCs w:val="22"/>
              </w:rPr>
              <w:t xml:space="preserve">9(u) and </w:t>
            </w:r>
            <w:r w:rsidR="000B2871">
              <w:rPr>
                <w:sz w:val="22"/>
                <w:szCs w:val="22"/>
              </w:rPr>
              <w:t>M.G.L. c. 69,</w:t>
            </w:r>
            <w:r w:rsidR="0059246C">
              <w:rPr>
                <w:sz w:val="22"/>
                <w:szCs w:val="22"/>
              </w:rPr>
              <w:t xml:space="preserve"> </w:t>
            </w:r>
            <w:r w:rsidR="0059246C">
              <w:rPr>
                <w:rFonts w:cs="Arial"/>
                <w:sz w:val="22"/>
                <w:szCs w:val="22"/>
              </w:rPr>
              <w:t>§</w:t>
            </w:r>
            <w:r w:rsidR="0059246C">
              <w:rPr>
                <w:sz w:val="22"/>
                <w:szCs w:val="22"/>
              </w:rPr>
              <w:t>1B</w:t>
            </w:r>
            <w:r w:rsidR="000B2871">
              <w:rPr>
                <w:sz w:val="22"/>
                <w:szCs w:val="22"/>
              </w:rPr>
              <w:t xml:space="preserve"> </w:t>
            </w:r>
          </w:p>
        </w:tc>
      </w:tr>
      <w:tr w:rsidR="00E83CFC" w:rsidRPr="003C01A9" w:rsidTr="001557FE">
        <w:trPr>
          <w:trHeight w:val="360"/>
        </w:trPr>
        <w:tc>
          <w:tcPr>
            <w:tcW w:w="1705" w:type="dxa"/>
          </w:tcPr>
          <w:p w:rsidR="00E83CFC" w:rsidRPr="003C01A9" w:rsidRDefault="00E83CFC" w:rsidP="009626D9">
            <w:pPr>
              <w:spacing w:after="140"/>
              <w:rPr>
                <w:sz w:val="22"/>
                <w:szCs w:val="22"/>
              </w:rPr>
            </w:pPr>
            <w:r w:rsidRPr="003C01A9">
              <w:rPr>
                <w:sz w:val="22"/>
                <w:szCs w:val="22"/>
              </w:rPr>
              <w:t>Contact:</w:t>
            </w:r>
          </w:p>
        </w:tc>
        <w:tc>
          <w:tcPr>
            <w:tcW w:w="7133" w:type="dxa"/>
            <w:gridSpan w:val="3"/>
          </w:tcPr>
          <w:p w:rsidR="00E83CFC" w:rsidRDefault="006F559E" w:rsidP="009D2502">
            <w:pPr>
              <w:spacing w:after="140"/>
              <w:rPr>
                <w:sz w:val="22"/>
                <w:szCs w:val="22"/>
              </w:rPr>
            </w:pPr>
            <w:r>
              <w:rPr>
                <w:sz w:val="22"/>
                <w:szCs w:val="22"/>
              </w:rPr>
              <w:t>Carlos E. Santiago, Commissioner</w:t>
            </w:r>
            <w:r w:rsidR="001B3C72">
              <w:rPr>
                <w:sz w:val="22"/>
                <w:szCs w:val="22"/>
              </w:rPr>
              <w:t>, Department of Higher Education</w:t>
            </w:r>
          </w:p>
          <w:p w:rsidR="006F559E" w:rsidRPr="003C01A9" w:rsidRDefault="007B6613" w:rsidP="007B6613">
            <w:pPr>
              <w:spacing w:after="140"/>
              <w:rPr>
                <w:sz w:val="22"/>
                <w:szCs w:val="22"/>
              </w:rPr>
            </w:pPr>
            <w:r>
              <w:rPr>
                <w:sz w:val="22"/>
                <w:szCs w:val="22"/>
              </w:rPr>
              <w:t>Jeff Wulfson, Acting</w:t>
            </w:r>
            <w:r w:rsidR="006F559E">
              <w:rPr>
                <w:sz w:val="22"/>
                <w:szCs w:val="22"/>
              </w:rPr>
              <w:t xml:space="preserve"> Commissioner</w:t>
            </w:r>
            <w:r w:rsidR="001B3C72">
              <w:rPr>
                <w:sz w:val="22"/>
                <w:szCs w:val="22"/>
              </w:rPr>
              <w:t>, Department of Elementary and Secondary Education.</w:t>
            </w:r>
          </w:p>
        </w:tc>
      </w:tr>
    </w:tbl>
    <w:p w:rsidR="00A30463" w:rsidRDefault="00A30463" w:rsidP="00E83CFC">
      <w:pPr>
        <w:rPr>
          <w:sz w:val="22"/>
          <w:szCs w:val="22"/>
        </w:rPr>
      </w:pPr>
    </w:p>
    <w:p w:rsidR="00E83CFC" w:rsidRPr="00654913" w:rsidRDefault="00E83CFC" w:rsidP="00E83CFC">
      <w:pPr>
        <w:rPr>
          <w:sz w:val="22"/>
          <w:szCs w:val="22"/>
        </w:rPr>
      </w:pPr>
    </w:p>
    <w:sectPr w:rsidR="00E83CFC" w:rsidRPr="00654913" w:rsidSect="0052446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5BB" w:rsidRDefault="009175BB" w:rsidP="00A86F74">
      <w:r>
        <w:separator/>
      </w:r>
    </w:p>
  </w:endnote>
  <w:endnote w:type="continuationSeparator" w:id="0">
    <w:p w:rsidR="009175BB" w:rsidRDefault="009175BB" w:rsidP="00A8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5BB" w:rsidRDefault="009175BB" w:rsidP="00A86F74">
      <w:r>
        <w:separator/>
      </w:r>
    </w:p>
  </w:footnote>
  <w:footnote w:type="continuationSeparator" w:id="0">
    <w:p w:rsidR="009175BB" w:rsidRDefault="009175BB" w:rsidP="00A86F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3CB8"/>
    <w:multiLevelType w:val="hybridMultilevel"/>
    <w:tmpl w:val="EE54C44C"/>
    <w:lvl w:ilvl="0" w:tplc="1988E50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97D34"/>
    <w:multiLevelType w:val="hybridMultilevel"/>
    <w:tmpl w:val="6FD6F6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34750"/>
    <w:multiLevelType w:val="hybridMultilevel"/>
    <w:tmpl w:val="A9D61C0E"/>
    <w:lvl w:ilvl="0" w:tplc="B58AF278">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02"/>
    <w:rsid w:val="00030E7A"/>
    <w:rsid w:val="00061055"/>
    <w:rsid w:val="000610A6"/>
    <w:rsid w:val="00096168"/>
    <w:rsid w:val="000A103B"/>
    <w:rsid w:val="000A2C14"/>
    <w:rsid w:val="000A61B9"/>
    <w:rsid w:val="000B2871"/>
    <w:rsid w:val="000C30D4"/>
    <w:rsid w:val="000F6230"/>
    <w:rsid w:val="0014374C"/>
    <w:rsid w:val="00146276"/>
    <w:rsid w:val="00147803"/>
    <w:rsid w:val="00152683"/>
    <w:rsid w:val="001557FE"/>
    <w:rsid w:val="001650F9"/>
    <w:rsid w:val="001B3C72"/>
    <w:rsid w:val="001C4CDE"/>
    <w:rsid w:val="001C6BC6"/>
    <w:rsid w:val="00203FF7"/>
    <w:rsid w:val="00256528"/>
    <w:rsid w:val="00256A87"/>
    <w:rsid w:val="00264DF7"/>
    <w:rsid w:val="002A4CD7"/>
    <w:rsid w:val="002A5783"/>
    <w:rsid w:val="002F2704"/>
    <w:rsid w:val="003029C4"/>
    <w:rsid w:val="00304A9E"/>
    <w:rsid w:val="00321DA2"/>
    <w:rsid w:val="00343302"/>
    <w:rsid w:val="003569C1"/>
    <w:rsid w:val="003720AA"/>
    <w:rsid w:val="00383201"/>
    <w:rsid w:val="003A41F8"/>
    <w:rsid w:val="003A6CB2"/>
    <w:rsid w:val="003C01A9"/>
    <w:rsid w:val="003E246A"/>
    <w:rsid w:val="003E7F67"/>
    <w:rsid w:val="00430BE5"/>
    <w:rsid w:val="004544F4"/>
    <w:rsid w:val="00474CB7"/>
    <w:rsid w:val="004B6C18"/>
    <w:rsid w:val="004C42E9"/>
    <w:rsid w:val="004E5096"/>
    <w:rsid w:val="004E6A5E"/>
    <w:rsid w:val="00504CD2"/>
    <w:rsid w:val="005078ED"/>
    <w:rsid w:val="005145AD"/>
    <w:rsid w:val="00524466"/>
    <w:rsid w:val="0053143D"/>
    <w:rsid w:val="00531562"/>
    <w:rsid w:val="00545328"/>
    <w:rsid w:val="00553E16"/>
    <w:rsid w:val="00564730"/>
    <w:rsid w:val="0059246C"/>
    <w:rsid w:val="005A1E89"/>
    <w:rsid w:val="005A415D"/>
    <w:rsid w:val="005B2139"/>
    <w:rsid w:val="005E2EA6"/>
    <w:rsid w:val="0060689D"/>
    <w:rsid w:val="00622964"/>
    <w:rsid w:val="006442CE"/>
    <w:rsid w:val="00654913"/>
    <w:rsid w:val="006945E0"/>
    <w:rsid w:val="00694993"/>
    <w:rsid w:val="006B35E0"/>
    <w:rsid w:val="006B6D11"/>
    <w:rsid w:val="006C3D10"/>
    <w:rsid w:val="006F559E"/>
    <w:rsid w:val="00702351"/>
    <w:rsid w:val="00736368"/>
    <w:rsid w:val="007471DE"/>
    <w:rsid w:val="00772D02"/>
    <w:rsid w:val="00780FD1"/>
    <w:rsid w:val="007B4C13"/>
    <w:rsid w:val="007B6613"/>
    <w:rsid w:val="007C3683"/>
    <w:rsid w:val="007D3A2C"/>
    <w:rsid w:val="007D570A"/>
    <w:rsid w:val="007F5A41"/>
    <w:rsid w:val="007F7185"/>
    <w:rsid w:val="008035D4"/>
    <w:rsid w:val="008050BB"/>
    <w:rsid w:val="008176E5"/>
    <w:rsid w:val="00835A67"/>
    <w:rsid w:val="00874D6B"/>
    <w:rsid w:val="00895FF3"/>
    <w:rsid w:val="008B02A6"/>
    <w:rsid w:val="008C1421"/>
    <w:rsid w:val="008D679A"/>
    <w:rsid w:val="008E7179"/>
    <w:rsid w:val="008F2D08"/>
    <w:rsid w:val="0090248C"/>
    <w:rsid w:val="009175BB"/>
    <w:rsid w:val="00926851"/>
    <w:rsid w:val="00937091"/>
    <w:rsid w:val="009626D9"/>
    <w:rsid w:val="00963184"/>
    <w:rsid w:val="00965937"/>
    <w:rsid w:val="00977285"/>
    <w:rsid w:val="00987405"/>
    <w:rsid w:val="009A4420"/>
    <w:rsid w:val="009D009E"/>
    <w:rsid w:val="009D2502"/>
    <w:rsid w:val="009E007C"/>
    <w:rsid w:val="009E515F"/>
    <w:rsid w:val="009F0546"/>
    <w:rsid w:val="009F4E47"/>
    <w:rsid w:val="00A135CD"/>
    <w:rsid w:val="00A26362"/>
    <w:rsid w:val="00A30463"/>
    <w:rsid w:val="00A410F6"/>
    <w:rsid w:val="00A541D6"/>
    <w:rsid w:val="00A664A6"/>
    <w:rsid w:val="00A86F74"/>
    <w:rsid w:val="00A91845"/>
    <w:rsid w:val="00AB4252"/>
    <w:rsid w:val="00AC490C"/>
    <w:rsid w:val="00AD7C5E"/>
    <w:rsid w:val="00AF0F3B"/>
    <w:rsid w:val="00B01E82"/>
    <w:rsid w:val="00B03A99"/>
    <w:rsid w:val="00B047FA"/>
    <w:rsid w:val="00B75EE1"/>
    <w:rsid w:val="00B813F4"/>
    <w:rsid w:val="00B93FE3"/>
    <w:rsid w:val="00BA78AF"/>
    <w:rsid w:val="00BC0BB2"/>
    <w:rsid w:val="00BC7DB4"/>
    <w:rsid w:val="00BC7F85"/>
    <w:rsid w:val="00BD554D"/>
    <w:rsid w:val="00BE500E"/>
    <w:rsid w:val="00BF7A46"/>
    <w:rsid w:val="00C2424A"/>
    <w:rsid w:val="00C2581E"/>
    <w:rsid w:val="00C31DBB"/>
    <w:rsid w:val="00C640E6"/>
    <w:rsid w:val="00C65C27"/>
    <w:rsid w:val="00C72D28"/>
    <w:rsid w:val="00C73B79"/>
    <w:rsid w:val="00C8188B"/>
    <w:rsid w:val="00C8652E"/>
    <w:rsid w:val="00C86BF5"/>
    <w:rsid w:val="00CA3C05"/>
    <w:rsid w:val="00CB73A2"/>
    <w:rsid w:val="00CC431D"/>
    <w:rsid w:val="00CD3513"/>
    <w:rsid w:val="00CD3C69"/>
    <w:rsid w:val="00CF0C5C"/>
    <w:rsid w:val="00D1205D"/>
    <w:rsid w:val="00D6634E"/>
    <w:rsid w:val="00D86A59"/>
    <w:rsid w:val="00DF494F"/>
    <w:rsid w:val="00E21FFA"/>
    <w:rsid w:val="00E4078F"/>
    <w:rsid w:val="00E426F8"/>
    <w:rsid w:val="00E82185"/>
    <w:rsid w:val="00E83CFC"/>
    <w:rsid w:val="00EA56BA"/>
    <w:rsid w:val="00EE0393"/>
    <w:rsid w:val="00F15E26"/>
    <w:rsid w:val="00F204A4"/>
    <w:rsid w:val="00F236E1"/>
    <w:rsid w:val="00F25910"/>
    <w:rsid w:val="00F34FBA"/>
    <w:rsid w:val="00F6201E"/>
    <w:rsid w:val="00F72493"/>
    <w:rsid w:val="00FA3BA5"/>
    <w:rsid w:val="00FA62D3"/>
    <w:rsid w:val="00FC1337"/>
    <w:rsid w:val="00FE207F"/>
    <w:rsid w:val="00FE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FE88F4-4C6B-48EF-BE5F-443597CF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6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3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53E16"/>
    <w:pPr>
      <w:ind w:left="720"/>
    </w:pPr>
  </w:style>
  <w:style w:type="paragraph" w:styleId="FootnoteText">
    <w:name w:val="footnote text"/>
    <w:basedOn w:val="Normal"/>
    <w:link w:val="FootnoteTextChar"/>
    <w:uiPriority w:val="99"/>
    <w:semiHidden/>
    <w:unhideWhenUsed/>
    <w:rsid w:val="00A86F74"/>
    <w:rPr>
      <w:sz w:val="20"/>
      <w:szCs w:val="20"/>
    </w:rPr>
  </w:style>
  <w:style w:type="character" w:customStyle="1" w:styleId="FootnoteTextChar">
    <w:name w:val="Footnote Text Char"/>
    <w:link w:val="FootnoteText"/>
    <w:uiPriority w:val="99"/>
    <w:semiHidden/>
    <w:rsid w:val="00A86F74"/>
    <w:rPr>
      <w:rFonts w:ascii="Arial" w:hAnsi="Arial"/>
    </w:rPr>
  </w:style>
  <w:style w:type="character" w:styleId="FootnoteReference">
    <w:name w:val="footnote reference"/>
    <w:uiPriority w:val="99"/>
    <w:semiHidden/>
    <w:unhideWhenUsed/>
    <w:rsid w:val="00A86F74"/>
    <w:rPr>
      <w:vertAlign w:val="superscript"/>
    </w:rPr>
  </w:style>
  <w:style w:type="character" w:styleId="CommentReference">
    <w:name w:val="annotation reference"/>
    <w:uiPriority w:val="99"/>
    <w:semiHidden/>
    <w:unhideWhenUsed/>
    <w:rsid w:val="00E21FFA"/>
    <w:rPr>
      <w:sz w:val="16"/>
      <w:szCs w:val="16"/>
    </w:rPr>
  </w:style>
  <w:style w:type="paragraph" w:styleId="CommentText">
    <w:name w:val="annotation text"/>
    <w:basedOn w:val="Normal"/>
    <w:link w:val="CommentTextChar"/>
    <w:uiPriority w:val="99"/>
    <w:unhideWhenUsed/>
    <w:rsid w:val="00E21FFA"/>
    <w:rPr>
      <w:sz w:val="20"/>
      <w:szCs w:val="20"/>
    </w:rPr>
  </w:style>
  <w:style w:type="character" w:customStyle="1" w:styleId="CommentTextChar">
    <w:name w:val="Comment Text Char"/>
    <w:link w:val="CommentText"/>
    <w:uiPriority w:val="99"/>
    <w:rsid w:val="00E21FFA"/>
    <w:rPr>
      <w:rFonts w:ascii="Arial" w:hAnsi="Arial"/>
    </w:rPr>
  </w:style>
  <w:style w:type="paragraph" w:styleId="CommentSubject">
    <w:name w:val="annotation subject"/>
    <w:basedOn w:val="CommentText"/>
    <w:next w:val="CommentText"/>
    <w:link w:val="CommentSubjectChar"/>
    <w:uiPriority w:val="99"/>
    <w:semiHidden/>
    <w:unhideWhenUsed/>
    <w:rsid w:val="00E21FFA"/>
    <w:rPr>
      <w:b/>
      <w:bCs/>
    </w:rPr>
  </w:style>
  <w:style w:type="character" w:customStyle="1" w:styleId="CommentSubjectChar">
    <w:name w:val="Comment Subject Char"/>
    <w:link w:val="CommentSubject"/>
    <w:uiPriority w:val="99"/>
    <w:semiHidden/>
    <w:rsid w:val="00E21FFA"/>
    <w:rPr>
      <w:rFonts w:ascii="Arial" w:hAnsi="Arial"/>
      <w:b/>
      <w:bCs/>
    </w:rPr>
  </w:style>
  <w:style w:type="paragraph" w:styleId="BalloonText">
    <w:name w:val="Balloon Text"/>
    <w:basedOn w:val="Normal"/>
    <w:link w:val="BalloonTextChar"/>
    <w:uiPriority w:val="99"/>
    <w:semiHidden/>
    <w:unhideWhenUsed/>
    <w:rsid w:val="00E21FFA"/>
    <w:rPr>
      <w:rFonts w:ascii="Tahoma" w:hAnsi="Tahoma" w:cs="Tahoma"/>
      <w:sz w:val="16"/>
      <w:szCs w:val="16"/>
    </w:rPr>
  </w:style>
  <w:style w:type="character" w:customStyle="1" w:styleId="BalloonTextChar">
    <w:name w:val="Balloon Text Char"/>
    <w:link w:val="BalloonText"/>
    <w:uiPriority w:val="99"/>
    <w:semiHidden/>
    <w:rsid w:val="00E21FFA"/>
    <w:rPr>
      <w:rFonts w:ascii="Tahoma" w:hAnsi="Tahoma" w:cs="Tahoma"/>
      <w:sz w:val="16"/>
      <w:szCs w:val="16"/>
    </w:rPr>
  </w:style>
  <w:style w:type="paragraph" w:styleId="Revision">
    <w:name w:val="Revision"/>
    <w:hidden/>
    <w:uiPriority w:val="99"/>
    <w:semiHidden/>
    <w:rsid w:val="008F2D08"/>
    <w:rPr>
      <w:rFonts w:ascii="Arial" w:hAnsi="Arial"/>
      <w:sz w:val="24"/>
      <w:szCs w:val="24"/>
    </w:rPr>
  </w:style>
  <w:style w:type="character" w:customStyle="1" w:styleId="ListParagraphChar">
    <w:name w:val="List Paragraph Char"/>
    <w:basedOn w:val="DefaultParagraphFont"/>
    <w:link w:val="ListParagraph"/>
    <w:uiPriority w:val="99"/>
    <w:locked/>
    <w:rsid w:val="007B661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9737">
      <w:bodyDiv w:val="1"/>
      <w:marLeft w:val="0"/>
      <w:marRight w:val="0"/>
      <w:marTop w:val="0"/>
      <w:marBottom w:val="0"/>
      <w:divBdr>
        <w:top w:val="none" w:sz="0" w:space="0" w:color="auto"/>
        <w:left w:val="none" w:sz="0" w:space="0" w:color="auto"/>
        <w:bottom w:val="none" w:sz="0" w:space="0" w:color="auto"/>
        <w:right w:val="none" w:sz="0" w:space="0" w:color="auto"/>
      </w:divBdr>
    </w:div>
    <w:div w:id="962468647">
      <w:bodyDiv w:val="1"/>
      <w:marLeft w:val="0"/>
      <w:marRight w:val="0"/>
      <w:marTop w:val="0"/>
      <w:marBottom w:val="0"/>
      <w:divBdr>
        <w:top w:val="none" w:sz="0" w:space="0" w:color="auto"/>
        <w:left w:val="none" w:sz="0" w:space="0" w:color="auto"/>
        <w:bottom w:val="none" w:sz="0" w:space="0" w:color="auto"/>
        <w:right w:val="none" w:sz="0" w:space="0" w:color="auto"/>
      </w:divBdr>
    </w:div>
    <w:div w:id="1272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Workgroup%20Templates\~BHE%20Meetings\BHE%20Mo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DESE-231-39249</_dlc_DocId>
    <_dlc_DocIdUrl xmlns="733efe1c-5bbe-4968-87dc-d400e65c879f">
      <Url>https://sharepoint.doemass.org/ese/webteam/cps/_layouts/DocIdRedir.aspx?ID=DESE-231-39249</Url>
      <Description>DESE-231-39249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02B6-BECF-466E-A887-EF0439761B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8CE705-4DD8-4354-A8C4-1ADC7AE8F40C}">
  <ds:schemaRefs>
    <ds:schemaRef ds:uri="http://schemas.microsoft.com/sharepoint/v3/contenttype/forms"/>
  </ds:schemaRefs>
</ds:datastoreItem>
</file>

<file path=customXml/itemProps3.xml><?xml version="1.0" encoding="utf-8"?>
<ds:datastoreItem xmlns:ds="http://schemas.openxmlformats.org/officeDocument/2006/customXml" ds:itemID="{7EFFF67E-F05C-445F-9AEF-83D7CD61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FD7C3-5CC0-4D83-84CF-A5389374EEF2}">
  <ds:schemaRefs>
    <ds:schemaRef ds:uri="http://schemas.microsoft.com/sharepoint/events"/>
  </ds:schemaRefs>
</ds:datastoreItem>
</file>

<file path=customXml/itemProps5.xml><?xml version="1.0" encoding="utf-8"?>
<ds:datastoreItem xmlns:ds="http://schemas.openxmlformats.org/officeDocument/2006/customXml" ds:itemID="{AA29C3C1-E97A-43D8-AEF1-019DC5DB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BHE Motion Template.dot</Template>
  <TotalTime>0</TotalTime>
  <Pages>2</Pages>
  <Words>408</Words>
  <Characters>2332</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Jan 2018 bhe/bese joint resolution</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2018 Joint Item 3 Attachment bhe/bese joint resolution</dc:title>
  <dc:creator>ESE</dc:creator>
  <cp:lastModifiedBy>Zou, Dong</cp:lastModifiedBy>
  <cp:revision>2</cp:revision>
  <cp:lastPrinted>2018-01-10T16:26:00Z</cp:lastPrinted>
  <dcterms:created xsi:type="dcterms:W3CDTF">2018-01-19T19:50:00Z</dcterms:created>
  <dcterms:modified xsi:type="dcterms:W3CDTF">2018-01-19T19:50:00Z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2018</vt:lpwstr>
  </property>
</Properties>
</file>