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306A5D"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bookmarkStart w:id="0" w:name="_GoBack"/>
        <w:bookmarkEnd w:id="0"/>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962D23" w:rsidP="003648E8">
            <w:pPr>
              <w:pStyle w:val="ESEReportName"/>
            </w:pPr>
            <w:r>
              <w:t>Martin Luther King</w:t>
            </w:r>
            <w:r w:rsidR="00664628">
              <w:t>,</w:t>
            </w:r>
            <w:r>
              <w:t xml:space="preserve"> Jr. Charter School of Excellence</w:t>
            </w:r>
            <w:r w:rsidR="003648E8">
              <w:t xml:space="preserve"> – Report on Probationary Conditions</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3E7C09">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Default="003648E8" w:rsidP="003648E8">
            <w:pPr>
              <w:pStyle w:val="arial9"/>
            </w:pPr>
            <w:r>
              <w:t>January 2013</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306A5D" w:rsidP="008734A6">
            <w:pPr>
              <w:jc w:val="center"/>
            </w:pPr>
            <w:r>
              <w:rPr>
                <w:noProof/>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A34DA1">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t>1</w:t>
            </w:r>
            <w:r w:rsidR="00A34DA1">
              <w:t>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306A5D" w:rsidP="00C118B2">
            <w:pPr>
              <w:jc w:val="center"/>
              <w:rPr>
                <w:sz w:val="18"/>
              </w:rPr>
            </w:pPr>
            <w:r>
              <w:rPr>
                <w:noProof/>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D45D4" w:rsidRDefault="004D45D4" w:rsidP="00C118B2"/>
    <w:p w:rsidR="00AF71BF" w:rsidRDefault="00AF71BF" w:rsidP="00AF71BF">
      <w:r>
        <w:t xml:space="preserve"> </w:t>
      </w:r>
    </w:p>
    <w:p w:rsidR="003F3636" w:rsidRDefault="003F3636"/>
    <w:p w:rsidR="003F3636" w:rsidRDefault="003F3636"/>
    <w:p w:rsidR="00306A5D" w:rsidRDefault="00306A5D" w:rsidP="00B258B7">
      <w:pPr>
        <w:pStyle w:val="Level1"/>
        <w:sectPr w:rsidR="00306A5D" w:rsidSect="007B0A58">
          <w:type w:val="continuous"/>
          <w:pgSz w:w="12240" w:h="15840"/>
          <w:pgMar w:top="1440" w:right="1440" w:bottom="446" w:left="1440" w:header="720" w:footer="720" w:gutter="0"/>
          <w:pgNumType w:start="1"/>
          <w:cols w:space="720"/>
        </w:sectPr>
      </w:pPr>
    </w:p>
    <w:p w:rsidR="00DE11AD" w:rsidRPr="00ED7643" w:rsidRDefault="00DE11AD" w:rsidP="00DE11AD">
      <w:pPr>
        <w:pStyle w:val="BodyText2"/>
        <w:ind w:right="-360"/>
        <w:rPr>
          <w:b/>
          <w:u w:val="single"/>
        </w:rPr>
      </w:pPr>
      <w:r>
        <w:rPr>
          <w:b/>
          <w:u w:val="single"/>
        </w:rPr>
        <w:lastRenderedPageBreak/>
        <w:t>Martin Luther King</w:t>
      </w:r>
      <w:r w:rsidR="00D81A4E">
        <w:rPr>
          <w:b/>
          <w:u w:val="single"/>
        </w:rPr>
        <w:t>,</w:t>
      </w:r>
      <w:r>
        <w:rPr>
          <w:b/>
          <w:u w:val="single"/>
        </w:rPr>
        <w:t xml:space="preserve"> Jr. Charter School of Excellence</w:t>
      </w:r>
    </w:p>
    <w:p w:rsidR="00DE11AD" w:rsidRDefault="00DE11AD" w:rsidP="00DE11AD">
      <w:pPr>
        <w:autoSpaceDE w:val="0"/>
        <w:autoSpaceDN w:val="0"/>
        <w:adjustRightInd w:val="0"/>
      </w:pPr>
    </w:p>
    <w:tbl>
      <w:tblPr>
        <w:tblW w:w="9331" w:type="dxa"/>
        <w:jc w:val="center"/>
        <w:tblInd w:w="-203" w:type="dxa"/>
        <w:tblCellMar>
          <w:left w:w="0" w:type="dxa"/>
          <w:right w:w="0" w:type="dxa"/>
        </w:tblCellMar>
        <w:tblLook w:val="0000" w:firstRow="0" w:lastRow="0" w:firstColumn="0" w:lastColumn="0" w:noHBand="0" w:noVBand="0"/>
      </w:tblPr>
      <w:tblGrid>
        <w:gridCol w:w="2831"/>
        <w:gridCol w:w="1791"/>
        <w:gridCol w:w="2189"/>
        <w:gridCol w:w="2520"/>
      </w:tblGrid>
      <w:tr w:rsidR="00DE11AD" w:rsidTr="009312FB">
        <w:trPr>
          <w:jc w:val="center"/>
        </w:trPr>
        <w:tc>
          <w:tcPr>
            <w:tcW w:w="2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Type of Charter</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1AD" w:rsidRPr="005F6217" w:rsidRDefault="00DE11AD" w:rsidP="00B648FD">
            <w:pPr>
              <w:spacing w:before="60" w:after="60"/>
            </w:pPr>
            <w:r>
              <w:t>Commonwealth</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Location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11AD" w:rsidRDefault="00DE11AD" w:rsidP="00B648FD">
            <w:pPr>
              <w:spacing w:before="60" w:after="60"/>
            </w:pPr>
            <w:r>
              <w:t>Springfield</w:t>
            </w:r>
          </w:p>
        </w:tc>
      </w:tr>
      <w:tr w:rsidR="00DE11AD" w:rsidTr="00B648FD">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Regional/Non-Regional</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Pr="005F6217" w:rsidRDefault="00DE11AD" w:rsidP="00B648FD">
            <w:pPr>
              <w:spacing w:before="60" w:after="60"/>
            </w:pPr>
            <w:r>
              <w:t>Non-Regional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Districts in Region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Pr="003F3802" w:rsidRDefault="00DE11AD" w:rsidP="00B648FD">
            <w:pPr>
              <w:spacing w:before="60" w:after="60"/>
            </w:pPr>
            <w:r w:rsidRPr="003F3802">
              <w:t>NA</w:t>
            </w:r>
          </w:p>
        </w:tc>
      </w:tr>
      <w:tr w:rsidR="00DE11AD" w:rsidTr="00B648FD">
        <w:trPr>
          <w:trHeight w:val="282"/>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Year Opened</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Default="00DE11AD" w:rsidP="00B648FD">
            <w:pPr>
              <w:spacing w:before="60" w:after="60"/>
            </w:pPr>
            <w:r>
              <w:t>2006</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Pr>
                <w:b/>
                <w:bCs/>
                <w:sz w:val="22"/>
                <w:szCs w:val="22"/>
              </w:rPr>
              <w:t>Year Renewed</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Default="00DE11AD" w:rsidP="00B648FD">
            <w:pPr>
              <w:spacing w:before="60" w:after="60"/>
            </w:pPr>
            <w:r>
              <w:t>2011</w:t>
            </w:r>
          </w:p>
        </w:tc>
      </w:tr>
      <w:tr w:rsidR="00DE11AD" w:rsidTr="00B648FD">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Maximum Enrollment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Default="00DE11AD" w:rsidP="00B648FD">
            <w:pPr>
              <w:spacing w:before="60" w:after="60"/>
            </w:pPr>
            <w:r>
              <w:t>360</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Pr="00B91205" w:rsidRDefault="00DE11AD" w:rsidP="00B648FD">
            <w:pPr>
              <w:spacing w:before="60" w:after="60"/>
              <w:rPr>
                <w:b/>
                <w:bCs/>
                <w:sz w:val="22"/>
                <w:szCs w:val="22"/>
              </w:rPr>
            </w:pPr>
            <w:r w:rsidRPr="00B91205">
              <w:rPr>
                <w:b/>
                <w:bCs/>
                <w:sz w:val="22"/>
                <w:szCs w:val="22"/>
              </w:rPr>
              <w:t>Current Enrollment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Default="00410C5F" w:rsidP="00B648FD">
            <w:pPr>
              <w:spacing w:before="60" w:after="60"/>
            </w:pPr>
            <w:r>
              <w:t>366</w:t>
            </w:r>
          </w:p>
        </w:tc>
      </w:tr>
      <w:tr w:rsidR="00DE11AD" w:rsidTr="00B648FD">
        <w:trPr>
          <w:trHeight w:val="80"/>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B91205">
              <w:rPr>
                <w:b/>
                <w:bCs/>
                <w:sz w:val="22"/>
                <w:szCs w:val="22"/>
              </w:rPr>
              <w:t>Waitlist</w:t>
            </w:r>
            <w:r w:rsidRPr="00454628">
              <w:rPr>
                <w:b/>
                <w:bCs/>
                <w:sz w:val="22"/>
                <w:szCs w:val="22"/>
              </w:rPr>
              <w:t xml:space="preserve">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Default="00410C5F" w:rsidP="00B648FD">
            <w:pPr>
              <w:spacing w:before="60" w:after="60"/>
            </w:pPr>
            <w:r>
              <w:t>142</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Pr="00454628" w:rsidRDefault="00DE11AD" w:rsidP="00B648FD">
            <w:pPr>
              <w:spacing w:before="60" w:after="60"/>
              <w:rPr>
                <w:b/>
                <w:bCs/>
                <w:sz w:val="22"/>
                <w:szCs w:val="22"/>
              </w:rPr>
            </w:pPr>
            <w:r w:rsidRPr="00454628">
              <w:rPr>
                <w:b/>
                <w:bCs/>
                <w:sz w:val="22"/>
                <w:szCs w:val="22"/>
              </w:rPr>
              <w:t>Grade Span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DE11AD" w:rsidRDefault="00DE11AD" w:rsidP="00B648FD">
            <w:pPr>
              <w:spacing w:before="60" w:after="60"/>
            </w:pPr>
            <w:r>
              <w:t>K-5</w:t>
            </w:r>
          </w:p>
        </w:tc>
      </w:tr>
    </w:tbl>
    <w:p w:rsidR="00DE11AD" w:rsidRDefault="00DE11AD" w:rsidP="00DE11AD"/>
    <w:p w:rsidR="00DE11AD" w:rsidRPr="0046037F" w:rsidRDefault="00DE11AD" w:rsidP="00DE11AD">
      <w:r>
        <w:t>Mission s</w:t>
      </w:r>
      <w:r w:rsidRPr="00ED7643">
        <w:t>tatement</w:t>
      </w:r>
      <w:r>
        <w:t xml:space="preserve">: </w:t>
      </w:r>
      <w:r w:rsidRPr="0046037F">
        <w:t xml:space="preserve">“Martin Luther King, Jr. </w:t>
      </w:r>
      <w:smartTag w:uri="urn:schemas-microsoft-com:office:smarttags" w:element="PlaceName">
        <w:r w:rsidRPr="0046037F">
          <w:t>Charter</w:t>
        </w:r>
      </w:smartTag>
      <w:r w:rsidRPr="0046037F">
        <w:t xml:space="preserve"> </w:t>
      </w:r>
      <w:smartTag w:uri="urn:schemas-microsoft-com:office:smarttags" w:element="PlaceType">
        <w:r w:rsidRPr="0046037F">
          <w:t>School</w:t>
        </w:r>
      </w:smartTag>
      <w:r w:rsidRPr="0046037F">
        <w:t xml:space="preserve"> of Excellence prepares kindergarten through 5</w:t>
      </w:r>
      <w:r w:rsidRPr="0046037F">
        <w:rPr>
          <w:vertAlign w:val="superscript"/>
        </w:rPr>
        <w:t>th</w:t>
      </w:r>
      <w:r w:rsidRPr="0046037F">
        <w:t xml:space="preserve"> grade students of </w:t>
      </w:r>
      <w:smartTag w:uri="urn:schemas-microsoft-com:office:smarttags" w:element="City">
        <w:smartTag w:uri="urn:schemas-microsoft-com:office:smarttags" w:element="place">
          <w:r w:rsidRPr="0046037F">
            <w:t>Springfield</w:t>
          </w:r>
        </w:smartTag>
      </w:smartTag>
      <w:r w:rsidRPr="0046037F">
        <w:t xml:space="preserve"> for academic success and engaged citizenship through insistence on rigorous, challenging work. The school incorporates Dr. King’s commitment to the highest standards in scholarship, civic participation and the ideal of the beloved community.”</w:t>
      </w:r>
    </w:p>
    <w:p w:rsidR="00DE11AD" w:rsidRDefault="00DE11AD" w:rsidP="00DE11AD"/>
    <w:p w:rsidR="00DE11AD" w:rsidRDefault="00DE11AD" w:rsidP="00DE11AD">
      <w:pPr>
        <w:pStyle w:val="BodyTextIndent"/>
        <w:spacing w:after="0"/>
        <w:ind w:left="0" w:right="-360"/>
        <w:rPr>
          <w:b/>
          <w:bCs/>
        </w:rPr>
      </w:pPr>
      <w:r>
        <w:rPr>
          <w:b/>
          <w:bCs/>
        </w:rPr>
        <w:t xml:space="preserve">Report on Conditions </w:t>
      </w:r>
    </w:p>
    <w:p w:rsidR="00DE11AD" w:rsidRPr="00FD514D" w:rsidRDefault="00DE11AD" w:rsidP="00DE11AD"/>
    <w:p w:rsidR="00DE11AD" w:rsidRDefault="00DE11AD" w:rsidP="00DE11AD">
      <w:pPr>
        <w:pStyle w:val="BodyText"/>
        <w:widowControl/>
        <w:spacing w:after="0"/>
        <w:ind w:right="-360"/>
        <w:rPr>
          <w:szCs w:val="24"/>
        </w:rPr>
      </w:pPr>
      <w:r>
        <w:t>In January 2011, the Board renewed the charter of MLK with probationary conditions that required the school make major improvements in academic performance, school leadership, and school programs.</w:t>
      </w:r>
      <w:r w:rsidRPr="00366F3E">
        <w:t xml:space="preserve"> </w:t>
      </w:r>
      <w:r w:rsidR="0097109A">
        <w:t>The following is a report on the progress the school has made in terms of the conditions imposed.</w:t>
      </w:r>
    </w:p>
    <w:p w:rsidR="00DE11AD" w:rsidRDefault="00DE11AD" w:rsidP="00DE11AD"/>
    <w:p w:rsidR="00DE11AD" w:rsidRDefault="00DE11AD" w:rsidP="00DE11AD">
      <w:pPr>
        <w:pStyle w:val="BodyText2"/>
        <w:tabs>
          <w:tab w:val="num" w:pos="2520"/>
        </w:tabs>
        <w:ind w:right="-360"/>
      </w:pPr>
      <w:r w:rsidRPr="00463AEF">
        <w:rPr>
          <w:b/>
        </w:rPr>
        <w:t>Condition 1:</w:t>
      </w:r>
      <w:r w:rsidRPr="00463AEF">
        <w:t xml:space="preserve"> </w:t>
      </w:r>
      <w:r>
        <w:t>By December 2012, Martin Luther King</w:t>
      </w:r>
      <w:r w:rsidR="00D81A4E">
        <w:t>,</w:t>
      </w:r>
      <w:r>
        <w:t xml:space="preserve"> Jr. Charter School of Excellence shall demonstrate that it is an academic success by:</w:t>
      </w:r>
    </w:p>
    <w:p w:rsidR="00DE11AD" w:rsidRDefault="00DE11AD" w:rsidP="00DE11AD">
      <w:pPr>
        <w:pStyle w:val="BodyText2"/>
        <w:numPr>
          <w:ilvl w:val="0"/>
          <w:numId w:val="10"/>
        </w:numPr>
        <w:tabs>
          <w:tab w:val="num" w:pos="3240"/>
        </w:tabs>
        <w:ind w:right="-360"/>
      </w:pPr>
      <w:r>
        <w:rPr>
          <w:szCs w:val="24"/>
        </w:rPr>
        <w:t xml:space="preserve">meeting academic growth standards as established by the Department, or by making Adequate Yearly Progress (AYP) in the aggregate and for all statistically significant subgroups in English language arts and mathematics by 2012; and </w:t>
      </w:r>
    </w:p>
    <w:p w:rsidR="00DE11AD" w:rsidRDefault="00DE11AD" w:rsidP="00DE11AD">
      <w:pPr>
        <w:pStyle w:val="BodyText2"/>
        <w:numPr>
          <w:ilvl w:val="0"/>
          <w:numId w:val="10"/>
        </w:numPr>
        <w:tabs>
          <w:tab w:val="num" w:pos="3240"/>
        </w:tabs>
        <w:ind w:right="-360"/>
      </w:pPr>
      <w:r>
        <w:t>providing evidence to the Department that the school has met or is making substantial progress towards meeting all benchmarks in its 2011-2016 accountability plan.</w:t>
      </w:r>
    </w:p>
    <w:p w:rsidR="00DE11AD" w:rsidRPr="00463AEF" w:rsidRDefault="00DE11AD" w:rsidP="00DE11AD"/>
    <w:p w:rsidR="00DE11AD" w:rsidRDefault="00DE11AD" w:rsidP="00DE11AD">
      <w:pPr>
        <w:ind w:left="720"/>
        <w:rPr>
          <w:b/>
        </w:rPr>
      </w:pPr>
      <w:r w:rsidRPr="00463AEF">
        <w:rPr>
          <w:b/>
        </w:rPr>
        <w:t xml:space="preserve">Status: </w:t>
      </w:r>
      <w:r w:rsidR="00167B28">
        <w:rPr>
          <w:b/>
        </w:rPr>
        <w:t>Met</w:t>
      </w:r>
    </w:p>
    <w:p w:rsidR="00DE11AD" w:rsidRDefault="00DE11AD" w:rsidP="00DE11AD">
      <w:pPr>
        <w:ind w:left="720"/>
      </w:pPr>
      <w:r>
        <w:t>In 2012, MLK achieved strong median student growth percentiles (SGP) for mathematics</w:t>
      </w:r>
      <w:r w:rsidRPr="00CA68B3">
        <w:t xml:space="preserve"> </w:t>
      </w:r>
      <w:r>
        <w:t>and adequate growth for English language arts (ELA). Please see the table below:</w:t>
      </w:r>
    </w:p>
    <w:p w:rsidR="00DE11AD" w:rsidRDefault="00DE11AD" w:rsidP="00DE11AD">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6"/>
        <w:gridCol w:w="706"/>
        <w:gridCol w:w="706"/>
        <w:gridCol w:w="706"/>
      </w:tblGrid>
      <w:tr w:rsidR="00DE11AD" w:rsidRPr="00CA68B3" w:rsidTr="00B648FD">
        <w:trPr>
          <w:trHeight w:val="384"/>
          <w:jc w:val="center"/>
        </w:trPr>
        <w:tc>
          <w:tcPr>
            <w:tcW w:w="0" w:type="auto"/>
            <w:gridSpan w:val="5"/>
            <w:shd w:val="clear" w:color="auto" w:fill="BFBFBF"/>
            <w:vAlign w:val="center"/>
          </w:tcPr>
          <w:p w:rsidR="00DE11AD" w:rsidRPr="00CA68B3" w:rsidRDefault="00DE11AD" w:rsidP="00B648FD">
            <w:pPr>
              <w:jc w:val="center"/>
              <w:rPr>
                <w:rFonts w:ascii="Arial" w:hAnsi="Arial" w:cs="Arial"/>
                <w:b/>
                <w:bCs/>
                <w:i/>
              </w:rPr>
            </w:pPr>
            <w:r w:rsidRPr="00CA68B3">
              <w:rPr>
                <w:rFonts w:ascii="Arial" w:hAnsi="Arial" w:cs="Arial"/>
                <w:b/>
                <w:bCs/>
                <w:i/>
              </w:rPr>
              <w:t>MLK Median Student Growth Percentile</w:t>
            </w:r>
          </w:p>
        </w:tc>
      </w:tr>
      <w:tr w:rsidR="00DE11AD" w:rsidRPr="00CA68B3" w:rsidTr="00B648FD">
        <w:trPr>
          <w:trHeight w:val="384"/>
          <w:jc w:val="center"/>
        </w:trPr>
        <w:tc>
          <w:tcPr>
            <w:tcW w:w="0" w:type="auto"/>
            <w:shd w:val="clear" w:color="auto" w:fill="D9D9D9"/>
            <w:vAlign w:val="center"/>
          </w:tcPr>
          <w:p w:rsidR="00DE11AD" w:rsidRPr="00CA68B3" w:rsidRDefault="00DE11AD" w:rsidP="00B648FD">
            <w:pPr>
              <w:jc w:val="center"/>
              <w:rPr>
                <w:rFonts w:ascii="Arial" w:hAnsi="Arial" w:cs="Arial"/>
                <w:b/>
                <w:bCs/>
              </w:rPr>
            </w:pPr>
            <w:r w:rsidRPr="00CA68B3">
              <w:rPr>
                <w:rFonts w:ascii="Arial" w:hAnsi="Arial" w:cs="Arial"/>
                <w:b/>
                <w:bCs/>
              </w:rPr>
              <w:t>Year</w:t>
            </w:r>
          </w:p>
        </w:tc>
        <w:tc>
          <w:tcPr>
            <w:tcW w:w="0" w:type="auto"/>
            <w:shd w:val="clear" w:color="auto" w:fill="D9D9D9"/>
            <w:vAlign w:val="center"/>
          </w:tcPr>
          <w:p w:rsidR="00DE11AD" w:rsidRPr="00CA68B3" w:rsidRDefault="00DE11AD" w:rsidP="00B648FD">
            <w:pPr>
              <w:jc w:val="center"/>
              <w:rPr>
                <w:rFonts w:ascii="Arial" w:hAnsi="Arial" w:cs="Arial"/>
                <w:b/>
                <w:bCs/>
                <w:sz w:val="22"/>
                <w:szCs w:val="22"/>
              </w:rPr>
            </w:pPr>
            <w:r w:rsidRPr="00CA68B3">
              <w:rPr>
                <w:rFonts w:ascii="Arial" w:hAnsi="Arial" w:cs="Arial"/>
                <w:b/>
                <w:bCs/>
                <w:sz w:val="22"/>
                <w:szCs w:val="22"/>
              </w:rPr>
              <w:t>2009</w:t>
            </w:r>
          </w:p>
        </w:tc>
        <w:tc>
          <w:tcPr>
            <w:tcW w:w="0" w:type="auto"/>
            <w:shd w:val="clear" w:color="auto" w:fill="D9D9D9"/>
            <w:vAlign w:val="center"/>
          </w:tcPr>
          <w:p w:rsidR="00DE11AD" w:rsidRPr="00CA68B3" w:rsidRDefault="00DE11AD" w:rsidP="00B648FD">
            <w:pPr>
              <w:jc w:val="center"/>
              <w:rPr>
                <w:rFonts w:ascii="Arial" w:hAnsi="Arial" w:cs="Arial"/>
                <w:b/>
                <w:bCs/>
                <w:sz w:val="22"/>
                <w:szCs w:val="22"/>
              </w:rPr>
            </w:pPr>
            <w:r w:rsidRPr="00CA68B3">
              <w:rPr>
                <w:rFonts w:ascii="Arial" w:hAnsi="Arial" w:cs="Arial"/>
                <w:b/>
                <w:bCs/>
                <w:sz w:val="22"/>
                <w:szCs w:val="22"/>
              </w:rPr>
              <w:t>2010</w:t>
            </w:r>
          </w:p>
        </w:tc>
        <w:tc>
          <w:tcPr>
            <w:tcW w:w="0" w:type="auto"/>
            <w:shd w:val="clear" w:color="auto" w:fill="D9D9D9"/>
            <w:vAlign w:val="center"/>
          </w:tcPr>
          <w:p w:rsidR="00DE11AD" w:rsidRPr="00CA68B3" w:rsidRDefault="00DE11AD" w:rsidP="00B648FD">
            <w:pPr>
              <w:jc w:val="center"/>
              <w:rPr>
                <w:rFonts w:ascii="Arial" w:hAnsi="Arial" w:cs="Arial"/>
                <w:b/>
                <w:bCs/>
                <w:sz w:val="22"/>
                <w:szCs w:val="22"/>
              </w:rPr>
            </w:pPr>
            <w:r w:rsidRPr="00CA68B3">
              <w:rPr>
                <w:rFonts w:ascii="Arial" w:hAnsi="Arial" w:cs="Arial"/>
                <w:b/>
                <w:bCs/>
                <w:sz w:val="22"/>
                <w:szCs w:val="22"/>
              </w:rPr>
              <w:t>2011</w:t>
            </w:r>
          </w:p>
        </w:tc>
        <w:tc>
          <w:tcPr>
            <w:tcW w:w="0" w:type="auto"/>
            <w:shd w:val="clear" w:color="auto" w:fill="D9D9D9"/>
            <w:vAlign w:val="center"/>
          </w:tcPr>
          <w:p w:rsidR="00DE11AD" w:rsidRPr="00CA68B3" w:rsidRDefault="00DE11AD" w:rsidP="00B648FD">
            <w:pPr>
              <w:jc w:val="center"/>
              <w:rPr>
                <w:rFonts w:ascii="Arial" w:hAnsi="Arial" w:cs="Arial"/>
                <w:b/>
                <w:bCs/>
                <w:sz w:val="22"/>
                <w:szCs w:val="22"/>
              </w:rPr>
            </w:pPr>
            <w:r w:rsidRPr="00CA68B3">
              <w:rPr>
                <w:rFonts w:ascii="Arial" w:hAnsi="Arial" w:cs="Arial"/>
                <w:b/>
                <w:bCs/>
                <w:sz w:val="22"/>
                <w:szCs w:val="22"/>
              </w:rPr>
              <w:t>2012</w:t>
            </w:r>
          </w:p>
        </w:tc>
      </w:tr>
      <w:tr w:rsidR="00DE11AD" w:rsidRPr="00CA68B3" w:rsidTr="00B648FD">
        <w:trPr>
          <w:trHeight w:val="352"/>
          <w:jc w:val="center"/>
        </w:trPr>
        <w:tc>
          <w:tcPr>
            <w:tcW w:w="0" w:type="auto"/>
            <w:shd w:val="clear" w:color="auto" w:fill="D9D9D9"/>
            <w:vAlign w:val="center"/>
          </w:tcPr>
          <w:p w:rsidR="00DE11AD" w:rsidRPr="00CA68B3" w:rsidRDefault="00DE11AD" w:rsidP="00B648FD">
            <w:pPr>
              <w:jc w:val="center"/>
              <w:rPr>
                <w:rFonts w:ascii="Arial" w:hAnsi="Arial" w:cs="Arial"/>
                <w:b/>
                <w:bCs/>
              </w:rPr>
            </w:pPr>
            <w:r w:rsidRPr="00CA68B3">
              <w:rPr>
                <w:rFonts w:ascii="Arial" w:hAnsi="Arial" w:cs="Arial"/>
                <w:b/>
                <w:bCs/>
              </w:rPr>
              <w:t>English Language Arts</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48.0</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44.0</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32.0</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50.5</w:t>
            </w:r>
          </w:p>
        </w:tc>
      </w:tr>
      <w:tr w:rsidR="00DE11AD" w:rsidRPr="00CA68B3" w:rsidTr="00B648FD">
        <w:trPr>
          <w:trHeight w:val="384"/>
          <w:jc w:val="center"/>
        </w:trPr>
        <w:tc>
          <w:tcPr>
            <w:tcW w:w="0" w:type="auto"/>
            <w:shd w:val="clear" w:color="auto" w:fill="D9D9D9"/>
            <w:vAlign w:val="center"/>
          </w:tcPr>
          <w:p w:rsidR="00DE11AD" w:rsidRPr="00CA68B3" w:rsidRDefault="00DE11AD" w:rsidP="00B648FD">
            <w:pPr>
              <w:jc w:val="center"/>
              <w:rPr>
                <w:rFonts w:ascii="Arial" w:hAnsi="Arial" w:cs="Arial"/>
                <w:b/>
                <w:bCs/>
              </w:rPr>
            </w:pPr>
            <w:r w:rsidRPr="00CA68B3">
              <w:rPr>
                <w:rFonts w:ascii="Arial" w:hAnsi="Arial" w:cs="Arial"/>
                <w:b/>
                <w:bCs/>
              </w:rPr>
              <w:t>Mathematics</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27.0</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32.0</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55.0</w:t>
            </w:r>
          </w:p>
        </w:tc>
        <w:tc>
          <w:tcPr>
            <w:tcW w:w="0" w:type="auto"/>
            <w:vAlign w:val="center"/>
          </w:tcPr>
          <w:p w:rsidR="00DE11AD" w:rsidRPr="00CA68B3" w:rsidRDefault="00DE11AD" w:rsidP="00B648FD">
            <w:pPr>
              <w:jc w:val="center"/>
              <w:rPr>
                <w:rFonts w:ascii="Arial" w:hAnsi="Arial" w:cs="Arial"/>
                <w:b/>
                <w:bCs/>
              </w:rPr>
            </w:pPr>
            <w:r>
              <w:rPr>
                <w:rFonts w:ascii="Arial" w:hAnsi="Arial" w:cs="Arial"/>
                <w:b/>
                <w:bCs/>
              </w:rPr>
              <w:t>73.0</w:t>
            </w:r>
          </w:p>
        </w:tc>
      </w:tr>
    </w:tbl>
    <w:p w:rsidR="00DE11AD" w:rsidRDefault="00DE11AD" w:rsidP="00DE11AD">
      <w:pPr>
        <w:ind w:left="720"/>
      </w:pPr>
    </w:p>
    <w:p w:rsidR="00DE11AD" w:rsidRDefault="00DE11AD" w:rsidP="00DE11AD">
      <w:pPr>
        <w:ind w:left="720"/>
      </w:pPr>
      <w:r>
        <w:t>As shown in the graphs below,</w:t>
      </w:r>
      <w:r w:rsidR="002103C1">
        <w:t xml:space="preserve"> however,</w:t>
      </w:r>
      <w:r>
        <w:t xml:space="preserve"> MLK has not demonstrated gains in absolute ELA scores since the imposition of conditions. </w:t>
      </w:r>
      <w:r w:rsidR="002F1916">
        <w:t xml:space="preserve">The school’s </w:t>
      </w:r>
      <w:r>
        <w:t xml:space="preserve">CPI </w:t>
      </w:r>
      <w:r w:rsidR="002F1916">
        <w:t xml:space="preserve">in ELA </w:t>
      </w:r>
      <w:r>
        <w:t xml:space="preserve">has fallen in the last two successive administrations of the MCAS. Conversely, MLK has seen substantial gains in overall mathematics CPI since 2010. </w:t>
      </w:r>
      <w:r w:rsidR="00B91205">
        <w:t xml:space="preserve">Since 2010, aggregate mathematics </w:t>
      </w:r>
      <w:r w:rsidR="00782021">
        <w:t>performance</w:t>
      </w:r>
      <w:r w:rsidR="00B91205">
        <w:t xml:space="preserve"> has increased by 14.4 points. </w:t>
      </w:r>
      <w:r>
        <w:t xml:space="preserve">Additionally, in 2011, MLK did not make </w:t>
      </w:r>
      <w:r>
        <w:lastRenderedPageBreak/>
        <w:t xml:space="preserve">AYP in ELA for the aggregate or for subgroups. In 2011, MLK made AYP for the aggregate in mathematics, but not for all subgroups. </w:t>
      </w:r>
    </w:p>
    <w:p w:rsidR="00DE11AD" w:rsidRDefault="00DE11AD" w:rsidP="00DE11AD">
      <w:pPr>
        <w:ind w:left="720"/>
      </w:pPr>
    </w:p>
    <w:tbl>
      <w:tblPr>
        <w:tblW w:w="10172"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040"/>
      </w:tblGrid>
      <w:tr w:rsidR="00DE11AD" w:rsidTr="00B648FD">
        <w:trPr>
          <w:jc w:val="center"/>
        </w:trPr>
        <w:tc>
          <w:tcPr>
            <w:tcW w:w="5132" w:type="dxa"/>
          </w:tcPr>
          <w:p w:rsidR="00DE11AD" w:rsidRDefault="00DE11AD" w:rsidP="00B648FD">
            <w:r>
              <w:rPr>
                <w:noProof/>
              </w:rPr>
              <w:drawing>
                <wp:inline distT="0" distB="0" distL="0" distR="0">
                  <wp:extent cx="3190875" cy="2276475"/>
                  <wp:effectExtent l="19050" t="0" r="9525" b="0"/>
                  <wp:docPr id="7" name="Chart 1" descr="Year MLK ELA Annual CPI MLK ELA Gain Targets&#10;2004   &#10;2005   &#10;2006   &#10;2007   &#10;2008  78.8 &#10;2009  71.1 82.3&#10;2010  72.6 76.9&#10;2011  67.2 82.7&#10;2012  66.2 69.9&#10;2013   75.7&#10;2014   8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Year MLK ELA Annual CPI MLK ELA Gain Targets&#10;2004   &#10;2005   &#10;2006   &#10;2007   &#10;2008  78.8 &#10;2009  71.1 82.3&#10;2010  72.6 76.9&#10;2011  67.2 82.7&#10;2012  66.2 69.9&#10;2013   75.7&#10;2014   81.5&#10;"/>
                          <pic:cNvPicPr>
                            <a:picLocks noChangeAspect="1" noChangeArrowheads="1"/>
                          </pic:cNvPicPr>
                        </pic:nvPicPr>
                        <pic:blipFill>
                          <a:blip r:embed="rId12" cstate="print"/>
                          <a:srcRect/>
                          <a:stretch>
                            <a:fillRect/>
                          </a:stretch>
                        </pic:blipFill>
                        <pic:spPr bwMode="auto">
                          <a:xfrm>
                            <a:off x="0" y="0"/>
                            <a:ext cx="3190875" cy="2276475"/>
                          </a:xfrm>
                          <a:prstGeom prst="rect">
                            <a:avLst/>
                          </a:prstGeom>
                          <a:noFill/>
                          <a:ln w="9525">
                            <a:noFill/>
                            <a:miter lim="800000"/>
                            <a:headEnd/>
                            <a:tailEnd/>
                          </a:ln>
                        </pic:spPr>
                      </pic:pic>
                    </a:graphicData>
                  </a:graphic>
                </wp:inline>
              </w:drawing>
            </w:r>
          </w:p>
        </w:tc>
        <w:tc>
          <w:tcPr>
            <w:tcW w:w="5040" w:type="dxa"/>
          </w:tcPr>
          <w:p w:rsidR="00DE11AD" w:rsidRDefault="00DE11AD" w:rsidP="00B648FD">
            <w:r>
              <w:rPr>
                <w:noProof/>
              </w:rPr>
              <w:drawing>
                <wp:inline distT="0" distB="0" distL="0" distR="0">
                  <wp:extent cx="3096407" cy="2208895"/>
                  <wp:effectExtent l="4824" t="0" r="3919" b="905"/>
                  <wp:docPr id="8" name="Chart 2" descr="Year MLK Math Annual CPI MLK Math Gain Targets&#10;2004   &#10;2005   &#10;2006   &#10;2007   &#10;2008  51.9 &#10;2009  59.8 59.9&#10;2010  54.3 67.8&#10;2011  62.9 75.9&#10;2012  68.7 66.0&#10;2013   74.0&#10;2014   82.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DE11AD" w:rsidRDefault="00DE11AD" w:rsidP="00DE11AD">
      <w:pPr>
        <w:ind w:left="720"/>
      </w:pPr>
    </w:p>
    <w:p w:rsidR="00DE11AD" w:rsidRPr="004C57A7" w:rsidRDefault="00DE11AD" w:rsidP="00DE11AD">
      <w:pPr>
        <w:ind w:left="720"/>
      </w:pPr>
      <w:r>
        <w:t xml:space="preserve">In 2012, </w:t>
      </w:r>
      <w:r w:rsidR="00167B28" w:rsidRPr="00167B28">
        <w:t xml:space="preserve">MLK met a majority of </w:t>
      </w:r>
      <w:r w:rsidRPr="00167B28">
        <w:t>measures</w:t>
      </w:r>
      <w:r w:rsidR="00167B28">
        <w:t xml:space="preserve"> contained in its accountability plan.</w:t>
      </w:r>
    </w:p>
    <w:p w:rsidR="00DE11AD" w:rsidRDefault="00DE11AD" w:rsidP="00DE11AD">
      <w:pPr>
        <w:rPr>
          <w:b/>
        </w:rPr>
      </w:pPr>
    </w:p>
    <w:p w:rsidR="00DE11AD" w:rsidRDefault="00DE11AD" w:rsidP="00DE11AD">
      <w:r>
        <w:rPr>
          <w:b/>
        </w:rPr>
        <w:t xml:space="preserve">Condition 2: </w:t>
      </w:r>
      <w:r>
        <w:t>No later than December 2011, Martin Luther King</w:t>
      </w:r>
      <w:r w:rsidR="00D81A4E">
        <w:t>,</w:t>
      </w:r>
      <w:r>
        <w:t xml:space="preserve"> Jr. Charter School of Excellence shall provide evidence of a fully documented curriculum that is aligned to the </w:t>
      </w:r>
      <w:smartTag w:uri="urn:schemas-microsoft-com:office:smarttags" w:element="place">
        <w:smartTag w:uri="urn:schemas-microsoft-com:office:smarttags" w:element="State">
          <w:r>
            <w:t>Massachusetts</w:t>
          </w:r>
        </w:smartTag>
      </w:smartTag>
      <w:r>
        <w:t xml:space="preserve"> curriculum frameworks.</w:t>
      </w:r>
    </w:p>
    <w:p w:rsidR="00DE11AD" w:rsidRDefault="00DE11AD" w:rsidP="00DE11AD"/>
    <w:p w:rsidR="00DE11AD" w:rsidRDefault="00DE11AD" w:rsidP="00DE11AD">
      <w:pPr>
        <w:ind w:left="720"/>
        <w:rPr>
          <w:b/>
        </w:rPr>
      </w:pPr>
      <w:r w:rsidRPr="00463AEF">
        <w:rPr>
          <w:b/>
        </w:rPr>
        <w:t xml:space="preserve">Status: </w:t>
      </w:r>
      <w:r>
        <w:rPr>
          <w:b/>
        </w:rPr>
        <w:t>Met after deadline</w:t>
      </w:r>
    </w:p>
    <w:p w:rsidR="00DE11AD" w:rsidRDefault="00DE11AD" w:rsidP="00DE11AD">
      <w:pPr>
        <w:ind w:left="720"/>
      </w:pPr>
      <w:r>
        <w:t>During the year six site visit, in the 2011-12 school year, site visitors determined that the school had partially met this measure. At the time of the visit, MLK had fully documented curriculum maps for each subject area: English language arts, mathematics, social studies, and science. The curriculum maps were aligned to the Common Core or Massachusetts curriculum frameworks as required.</w:t>
      </w:r>
      <w:r w:rsidR="00F948C3">
        <w:t xml:space="preserve"> U</w:t>
      </w:r>
      <w:r>
        <w:t>nit plans</w:t>
      </w:r>
      <w:r w:rsidR="00F948C3">
        <w:t>, however,</w:t>
      </w:r>
      <w:r>
        <w:t xml:space="preserve"> were not yet fully documented. A unit plan template was in place and had been used to create unit plans for all units taught so far in the school year. School administrators reported that once the unit plans were complete and in place, the school would have a fully documented curriculum. By the end of the 2011-12 school year, MLK teachers finished creating unit plans. During the summer of 2012</w:t>
      </w:r>
      <w:r w:rsidR="00DC2609">
        <w:t>,</w:t>
      </w:r>
      <w:r>
        <w:t xml:space="preserve"> the school’s instructional leader reported that the units were realigned to curriculum maps and the entire curriculum was reviewed for alignment to the Common Core and state standards. </w:t>
      </w:r>
    </w:p>
    <w:p w:rsidR="00DE11AD" w:rsidRDefault="00DE11AD" w:rsidP="00DE11AD"/>
    <w:p w:rsidR="00DE11AD" w:rsidRDefault="00DE11AD" w:rsidP="00DE11AD">
      <w:r>
        <w:rPr>
          <w:b/>
        </w:rPr>
        <w:t xml:space="preserve">Condition 3: </w:t>
      </w:r>
      <w:r>
        <w:t>No later than June 30, 2011, Martin Luther King</w:t>
      </w:r>
      <w:r w:rsidR="00D81A4E">
        <w:t>,</w:t>
      </w:r>
      <w:r>
        <w:t xml:space="preserve"> Jr. Charter School of Excellence shall provide to the Charter School Office an evaluation of its leadership structure, an organizational chart with accompanying job descriptions, and a plan to fully staff the administrative structure.</w:t>
      </w:r>
    </w:p>
    <w:p w:rsidR="00DE11AD" w:rsidRDefault="00DE11AD" w:rsidP="00DE11AD"/>
    <w:p w:rsidR="00DE11AD" w:rsidRDefault="00DE11AD" w:rsidP="00DE11AD">
      <w:pPr>
        <w:ind w:left="720"/>
        <w:rPr>
          <w:b/>
        </w:rPr>
      </w:pPr>
      <w:r w:rsidRPr="00463AEF">
        <w:rPr>
          <w:b/>
        </w:rPr>
        <w:t xml:space="preserve">Status: </w:t>
      </w:r>
      <w:r>
        <w:rPr>
          <w:b/>
        </w:rPr>
        <w:t>Met</w:t>
      </w:r>
    </w:p>
    <w:p w:rsidR="00DE11AD" w:rsidRPr="00C83EA1" w:rsidRDefault="00DE11AD" w:rsidP="00DE11AD">
      <w:pPr>
        <w:ind w:left="720"/>
        <w:rPr>
          <w:b/>
        </w:rPr>
      </w:pPr>
      <w:r>
        <w:t>As required by the conditions, MLK evaluated its leadership structure, developed a new organizational chart to fit the school’s needs</w:t>
      </w:r>
      <w:r w:rsidR="00DC2609">
        <w:t>,</w:t>
      </w:r>
      <w:r>
        <w:t xml:space="preserve"> and has fully staffed its administration. In May 2011, MLK submitted to the Charter School Office an evaluation of its leadership structure, a revised organizational structure, and job descriptions for the administrative </w:t>
      </w:r>
      <w:r>
        <w:lastRenderedPageBreak/>
        <w:t xml:space="preserve">team. The school also submitted a plan to fully staff the administrative structure. With the hire of a new instructional leader in June 2011, the school’s administrative structure was fully staffed. </w:t>
      </w:r>
    </w:p>
    <w:p w:rsidR="00374579" w:rsidRDefault="00374579" w:rsidP="00AF71BF">
      <w:pPr>
        <w:ind w:left="720"/>
      </w:pPr>
    </w:p>
    <w:p w:rsidR="00374579" w:rsidRDefault="00374579" w:rsidP="00374579">
      <w:pPr>
        <w:pStyle w:val="Body"/>
        <w:spacing w:after="0"/>
      </w:pPr>
    </w:p>
    <w:p w:rsidR="00374579" w:rsidRDefault="00374579" w:rsidP="00AF71BF">
      <w:pPr>
        <w:ind w:left="720"/>
      </w:pPr>
    </w:p>
    <w:p w:rsidR="00736AA7" w:rsidRPr="00736AA7" w:rsidRDefault="00736AA7" w:rsidP="00AF71BF">
      <w:pPr>
        <w:pStyle w:val="Heading2"/>
      </w:pPr>
    </w:p>
    <w:sectPr w:rsidR="00736AA7" w:rsidRPr="00736AA7" w:rsidSect="00AF71BF">
      <w:headerReference w:type="default" r:id="rId14"/>
      <w:footerReference w:type="default" r:id="rId15"/>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2E" w:rsidRDefault="0093072E" w:rsidP="00FD2C86">
      <w:r>
        <w:separator/>
      </w:r>
    </w:p>
  </w:endnote>
  <w:endnote w:type="continuationSeparator" w:id="0">
    <w:p w:rsidR="0093072E" w:rsidRDefault="0093072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9D" w:rsidRDefault="00E1609D">
    <w:pPr>
      <w:pStyle w:val="Footer"/>
      <w:jc w:val="right"/>
    </w:pPr>
  </w:p>
  <w:p w:rsidR="00E1609D" w:rsidRDefault="00E1609D" w:rsidP="00116BAE">
    <w:pPr>
      <w:ind w:right="360"/>
      <w:rPr>
        <w:i/>
        <w:sz w:val="20"/>
        <w:szCs w:val="20"/>
      </w:rPr>
    </w:pPr>
    <w:smartTag w:uri="urn:schemas-microsoft-com:office:smarttags" w:element="place">
      <w:smartTag w:uri="urn:schemas-microsoft-com:office:smarttags" w:element="PlaceName">
        <w:r w:rsidRPr="00865F84">
          <w:rPr>
            <w:i/>
            <w:sz w:val="20"/>
            <w:szCs w:val="20"/>
          </w:rPr>
          <w:t>Charter</w:t>
        </w:r>
      </w:smartTag>
      <w:r w:rsidRPr="00865F84">
        <w:rPr>
          <w:i/>
          <w:sz w:val="20"/>
          <w:szCs w:val="20"/>
        </w:rPr>
        <w:t xml:space="preserve"> </w:t>
      </w:r>
      <w:smartTag w:uri="urn:schemas-microsoft-com:office:smarttags" w:element="PlaceType">
        <w:r w:rsidRPr="00865F84">
          <w:rPr>
            <w:i/>
            <w:sz w:val="20"/>
            <w:szCs w:val="20"/>
          </w:rPr>
          <w:t>School</w:t>
        </w:r>
      </w:smartTag>
    </w:smartTag>
    <w:r w:rsidRPr="00865F84">
      <w:rPr>
        <w:i/>
        <w:sz w:val="20"/>
        <w:szCs w:val="20"/>
      </w:rPr>
      <w:t xml:space="preserve"> Office</w:t>
    </w:r>
  </w:p>
  <w:p w:rsidR="00E1609D" w:rsidRPr="00526B02" w:rsidRDefault="00E1609D" w:rsidP="00526B02">
    <w:pPr>
      <w:pStyle w:val="Footer"/>
    </w:pPr>
    <w:r w:rsidRPr="00865F84">
      <w:rPr>
        <w:szCs w:val="20"/>
      </w:rPr>
      <w:t>Massachusetts Department of Elementary and Secondary Education</w:t>
    </w:r>
    <w:r w:rsidRPr="00116BAE">
      <w:t xml:space="preserve"> </w:t>
    </w:r>
    <w:sdt>
      <w:sdtPr>
        <w:id w:val="20330985"/>
        <w:docPartObj>
          <w:docPartGallery w:val="Page Numbers (Bottom of Page)"/>
          <w:docPartUnique/>
        </w:docPartObj>
      </w:sdtPr>
      <w:sdtEndPr/>
      <w:sdtContent>
        <w:sdt>
          <w:sdtPr>
            <w:id w:val="565050523"/>
            <w:docPartObj>
              <w:docPartGallery w:val="Page Numbers (Top of Page)"/>
              <w:docPartUnique/>
            </w:docPartObj>
          </w:sdtPr>
          <w:sdtEndPr/>
          <w:sdtContent>
            <w:r>
              <w:tab/>
              <w:t xml:space="preserve">Page </w:t>
            </w:r>
            <w:r w:rsidR="00217C6E">
              <w:rPr>
                <w:b/>
                <w:sz w:val="24"/>
              </w:rPr>
              <w:fldChar w:fldCharType="begin"/>
            </w:r>
            <w:r>
              <w:rPr>
                <w:b/>
              </w:rPr>
              <w:instrText xml:space="preserve"> PAGE </w:instrText>
            </w:r>
            <w:r w:rsidR="00217C6E">
              <w:rPr>
                <w:b/>
                <w:sz w:val="24"/>
              </w:rPr>
              <w:fldChar w:fldCharType="separate"/>
            </w:r>
            <w:r w:rsidR="003E7C09">
              <w:rPr>
                <w:b/>
                <w:noProof/>
              </w:rPr>
              <w:t>1</w:t>
            </w:r>
            <w:r w:rsidR="00217C6E">
              <w:rPr>
                <w:b/>
                <w:sz w:val="24"/>
              </w:rPr>
              <w:fldChar w:fldCharType="end"/>
            </w:r>
            <w: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2E" w:rsidRDefault="0093072E" w:rsidP="00FD2C86">
      <w:r>
        <w:separator/>
      </w:r>
    </w:p>
  </w:footnote>
  <w:footnote w:type="continuationSeparator" w:id="0">
    <w:p w:rsidR="0093072E" w:rsidRDefault="0093072E" w:rsidP="00FD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9D" w:rsidRDefault="00E16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15E51539"/>
    <w:multiLevelType w:val="hybridMultilevel"/>
    <w:tmpl w:val="1688E0BE"/>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383B77DF"/>
    <w:multiLevelType w:val="hybridMultilevel"/>
    <w:tmpl w:val="D6C28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986C3B"/>
    <w:multiLevelType w:val="hybridMultilevel"/>
    <w:tmpl w:val="C396FECE"/>
    <w:lvl w:ilvl="0" w:tplc="E34803E4">
      <w:start w:val="1"/>
      <w:numFmt w:val="bullet"/>
      <w:pStyle w:val="SiteVisitBullet"/>
      <w:lvlText w:val=""/>
      <w:lvlJc w:val="left"/>
      <w:pPr>
        <w:tabs>
          <w:tab w:val="num" w:pos="720"/>
        </w:tabs>
        <w:ind w:left="64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DE46F3"/>
    <w:multiLevelType w:val="hybridMultilevel"/>
    <w:tmpl w:val="4536A05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7"/>
  </w:num>
  <w:num w:numId="8">
    <w:abstractNumId w:val="1"/>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7"/>
    <w:rsid w:val="000307B6"/>
    <w:rsid w:val="000506EE"/>
    <w:rsid w:val="00052866"/>
    <w:rsid w:val="000711BA"/>
    <w:rsid w:val="000766B1"/>
    <w:rsid w:val="00092A27"/>
    <w:rsid w:val="000C3B85"/>
    <w:rsid w:val="000C5AF1"/>
    <w:rsid w:val="000D0E81"/>
    <w:rsid w:val="000D1FA5"/>
    <w:rsid w:val="00116BAE"/>
    <w:rsid w:val="00147F76"/>
    <w:rsid w:val="00152CC8"/>
    <w:rsid w:val="00161EEF"/>
    <w:rsid w:val="00167B28"/>
    <w:rsid w:val="0017022D"/>
    <w:rsid w:val="00175151"/>
    <w:rsid w:val="00185444"/>
    <w:rsid w:val="001A028D"/>
    <w:rsid w:val="001B0849"/>
    <w:rsid w:val="001B25AC"/>
    <w:rsid w:val="001C1CF3"/>
    <w:rsid w:val="001C425E"/>
    <w:rsid w:val="001F35ED"/>
    <w:rsid w:val="002034A0"/>
    <w:rsid w:val="0020780F"/>
    <w:rsid w:val="002103C1"/>
    <w:rsid w:val="00217C6E"/>
    <w:rsid w:val="00263107"/>
    <w:rsid w:val="00267D2C"/>
    <w:rsid w:val="00274356"/>
    <w:rsid w:val="0027466C"/>
    <w:rsid w:val="002944AC"/>
    <w:rsid w:val="002B51B3"/>
    <w:rsid w:val="002C120B"/>
    <w:rsid w:val="002F1916"/>
    <w:rsid w:val="00306A5D"/>
    <w:rsid w:val="00322780"/>
    <w:rsid w:val="00345DE2"/>
    <w:rsid w:val="003648E8"/>
    <w:rsid w:val="00374579"/>
    <w:rsid w:val="003B39A1"/>
    <w:rsid w:val="003E7C09"/>
    <w:rsid w:val="003F21DC"/>
    <w:rsid w:val="003F3636"/>
    <w:rsid w:val="00410C5F"/>
    <w:rsid w:val="00424331"/>
    <w:rsid w:val="004254CC"/>
    <w:rsid w:val="00440BAB"/>
    <w:rsid w:val="00451BE0"/>
    <w:rsid w:val="00464491"/>
    <w:rsid w:val="00481DA2"/>
    <w:rsid w:val="00484A33"/>
    <w:rsid w:val="004C69D1"/>
    <w:rsid w:val="004D45D4"/>
    <w:rsid w:val="004E0CA6"/>
    <w:rsid w:val="004F1C4B"/>
    <w:rsid w:val="005109E5"/>
    <w:rsid w:val="005152E7"/>
    <w:rsid w:val="00526B02"/>
    <w:rsid w:val="005503EA"/>
    <w:rsid w:val="0056549B"/>
    <w:rsid w:val="005A367D"/>
    <w:rsid w:val="005B3408"/>
    <w:rsid w:val="005B6A82"/>
    <w:rsid w:val="005D3539"/>
    <w:rsid w:val="005F037D"/>
    <w:rsid w:val="005F152D"/>
    <w:rsid w:val="005F1897"/>
    <w:rsid w:val="00664628"/>
    <w:rsid w:val="00675B1B"/>
    <w:rsid w:val="00694ADA"/>
    <w:rsid w:val="0069558B"/>
    <w:rsid w:val="006C5ACA"/>
    <w:rsid w:val="006C6F88"/>
    <w:rsid w:val="006D1B5E"/>
    <w:rsid w:val="006F4CF2"/>
    <w:rsid w:val="00704742"/>
    <w:rsid w:val="0071259C"/>
    <w:rsid w:val="00731A10"/>
    <w:rsid w:val="00736AA7"/>
    <w:rsid w:val="00740C0D"/>
    <w:rsid w:val="00755977"/>
    <w:rsid w:val="00761C56"/>
    <w:rsid w:val="00765318"/>
    <w:rsid w:val="0077336E"/>
    <w:rsid w:val="007771D5"/>
    <w:rsid w:val="00782021"/>
    <w:rsid w:val="00787754"/>
    <w:rsid w:val="007A045F"/>
    <w:rsid w:val="007A58EE"/>
    <w:rsid w:val="007A69E1"/>
    <w:rsid w:val="007B0A58"/>
    <w:rsid w:val="007E31B2"/>
    <w:rsid w:val="00832115"/>
    <w:rsid w:val="00864ADF"/>
    <w:rsid w:val="00871349"/>
    <w:rsid w:val="008734A6"/>
    <w:rsid w:val="0088258A"/>
    <w:rsid w:val="008844FF"/>
    <w:rsid w:val="00891967"/>
    <w:rsid w:val="008C575C"/>
    <w:rsid w:val="008F22BC"/>
    <w:rsid w:val="00901891"/>
    <w:rsid w:val="00907BC7"/>
    <w:rsid w:val="009123EA"/>
    <w:rsid w:val="00917329"/>
    <w:rsid w:val="0093072E"/>
    <w:rsid w:val="009312FB"/>
    <w:rsid w:val="00942F20"/>
    <w:rsid w:val="00962D23"/>
    <w:rsid w:val="0097109A"/>
    <w:rsid w:val="00974B3F"/>
    <w:rsid w:val="00976882"/>
    <w:rsid w:val="009A3016"/>
    <w:rsid w:val="009B627A"/>
    <w:rsid w:val="009C02D9"/>
    <w:rsid w:val="009C4322"/>
    <w:rsid w:val="009C550C"/>
    <w:rsid w:val="009D7BA2"/>
    <w:rsid w:val="009E45FA"/>
    <w:rsid w:val="009E64F7"/>
    <w:rsid w:val="009E6BEF"/>
    <w:rsid w:val="00A06D51"/>
    <w:rsid w:val="00A11174"/>
    <w:rsid w:val="00A200A5"/>
    <w:rsid w:val="00A34DA1"/>
    <w:rsid w:val="00A4219B"/>
    <w:rsid w:val="00A5157F"/>
    <w:rsid w:val="00A73051"/>
    <w:rsid w:val="00AA2AF8"/>
    <w:rsid w:val="00AD0A1F"/>
    <w:rsid w:val="00AD298F"/>
    <w:rsid w:val="00AD72FC"/>
    <w:rsid w:val="00AE179A"/>
    <w:rsid w:val="00AE53BE"/>
    <w:rsid w:val="00AF3F4A"/>
    <w:rsid w:val="00AF71BF"/>
    <w:rsid w:val="00B129CE"/>
    <w:rsid w:val="00B17D59"/>
    <w:rsid w:val="00B258B7"/>
    <w:rsid w:val="00B27685"/>
    <w:rsid w:val="00B316B3"/>
    <w:rsid w:val="00B42CA2"/>
    <w:rsid w:val="00B601E6"/>
    <w:rsid w:val="00B616AF"/>
    <w:rsid w:val="00B87F39"/>
    <w:rsid w:val="00B9061D"/>
    <w:rsid w:val="00B91205"/>
    <w:rsid w:val="00BC01CA"/>
    <w:rsid w:val="00BC227D"/>
    <w:rsid w:val="00BE39EF"/>
    <w:rsid w:val="00BF3479"/>
    <w:rsid w:val="00C052D1"/>
    <w:rsid w:val="00C118B2"/>
    <w:rsid w:val="00CA0058"/>
    <w:rsid w:val="00CC22F1"/>
    <w:rsid w:val="00CC60E3"/>
    <w:rsid w:val="00CE1085"/>
    <w:rsid w:val="00CF6B07"/>
    <w:rsid w:val="00D40A4A"/>
    <w:rsid w:val="00D50A7B"/>
    <w:rsid w:val="00D53B5E"/>
    <w:rsid w:val="00D60AE5"/>
    <w:rsid w:val="00D674EF"/>
    <w:rsid w:val="00D72BD5"/>
    <w:rsid w:val="00D81A4E"/>
    <w:rsid w:val="00DA1190"/>
    <w:rsid w:val="00DC2609"/>
    <w:rsid w:val="00DD4A21"/>
    <w:rsid w:val="00DE0201"/>
    <w:rsid w:val="00DE11AD"/>
    <w:rsid w:val="00DF45FF"/>
    <w:rsid w:val="00E04B8E"/>
    <w:rsid w:val="00E1126D"/>
    <w:rsid w:val="00E1609D"/>
    <w:rsid w:val="00E34296"/>
    <w:rsid w:val="00E83408"/>
    <w:rsid w:val="00EB1F6F"/>
    <w:rsid w:val="00EB7F04"/>
    <w:rsid w:val="00EC2EED"/>
    <w:rsid w:val="00EE48CB"/>
    <w:rsid w:val="00F13965"/>
    <w:rsid w:val="00F35C70"/>
    <w:rsid w:val="00F36062"/>
    <w:rsid w:val="00F37391"/>
    <w:rsid w:val="00F44C7B"/>
    <w:rsid w:val="00F47C49"/>
    <w:rsid w:val="00F66EB7"/>
    <w:rsid w:val="00F7387F"/>
    <w:rsid w:val="00F76553"/>
    <w:rsid w:val="00F948C3"/>
    <w:rsid w:val="00FD2C86"/>
    <w:rsid w:val="00FD67A2"/>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rsid w:val="00B258B7"/>
    <w:pPr>
      <w:keepNext/>
    </w:pPr>
    <w:rPr>
      <w:i/>
    </w:rPr>
  </w:style>
  <w:style w:type="paragraph" w:customStyle="1" w:styleId="Level1">
    <w:name w:val="Level 1"/>
    <w:basedOn w:val="Normal"/>
    <w:autoRedefine/>
    <w:rsid w:val="00B258B7"/>
    <w:pPr>
      <w:keepNext/>
      <w:spacing w:before="200" w:after="120"/>
    </w:pPr>
    <w:rPr>
      <w:b/>
    </w:rPr>
  </w:style>
  <w:style w:type="character" w:customStyle="1" w:styleId="FindingChar">
    <w:name w:val="Finding Char"/>
    <w:basedOn w:val="DefaultParagraphFont"/>
    <w:link w:val="Finding"/>
    <w:rsid w:val="00B258B7"/>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DF45FF"/>
    <w:pPr>
      <w:keepNext/>
      <w:spacing w:after="240"/>
    </w:pPr>
    <w:rPr>
      <w:b/>
    </w:rPr>
  </w:style>
  <w:style w:type="character" w:customStyle="1" w:styleId="SiteVisitQuestionChar">
    <w:name w:val="Site Visit Question Char"/>
    <w:basedOn w:val="BodyChar"/>
    <w:link w:val="SiteVisitQuestion"/>
    <w:rsid w:val="00DF45FF"/>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2">
    <w:name w:val="Body Text 2"/>
    <w:basedOn w:val="Normal"/>
    <w:link w:val="BodyText2Char"/>
    <w:rsid w:val="00AF71BF"/>
    <w:rPr>
      <w:szCs w:val="20"/>
    </w:rPr>
  </w:style>
  <w:style w:type="character" w:customStyle="1" w:styleId="BodyText2Char">
    <w:name w:val="Body Text 2 Char"/>
    <w:basedOn w:val="DefaultParagraphFont"/>
    <w:link w:val="BodyText2"/>
    <w:rsid w:val="00AF71BF"/>
    <w:rPr>
      <w:sz w:val="24"/>
    </w:rPr>
  </w:style>
  <w:style w:type="paragraph" w:styleId="BodyText">
    <w:name w:val="Body Text"/>
    <w:basedOn w:val="Normal"/>
    <w:link w:val="BodyTextChar"/>
    <w:rsid w:val="00AF71BF"/>
    <w:pPr>
      <w:widowControl w:val="0"/>
      <w:spacing w:after="120"/>
    </w:pPr>
    <w:rPr>
      <w:snapToGrid w:val="0"/>
      <w:szCs w:val="20"/>
    </w:rPr>
  </w:style>
  <w:style w:type="character" w:customStyle="1" w:styleId="BodyTextChar">
    <w:name w:val="Body Text Char"/>
    <w:basedOn w:val="DefaultParagraphFont"/>
    <w:link w:val="BodyText"/>
    <w:rsid w:val="00AF71BF"/>
    <w:rPr>
      <w:snapToGrid w:val="0"/>
      <w:sz w:val="24"/>
    </w:rPr>
  </w:style>
  <w:style w:type="paragraph" w:styleId="BodyTextIndent">
    <w:name w:val="Body Text Indent"/>
    <w:basedOn w:val="Normal"/>
    <w:link w:val="BodyTextIndentChar"/>
    <w:rsid w:val="00AF71BF"/>
    <w:pPr>
      <w:spacing w:after="120"/>
      <w:ind w:left="360"/>
    </w:pPr>
  </w:style>
  <w:style w:type="character" w:customStyle="1" w:styleId="BodyTextIndentChar">
    <w:name w:val="Body Text Indent Char"/>
    <w:basedOn w:val="DefaultParagraphFont"/>
    <w:link w:val="BodyTextIndent"/>
    <w:rsid w:val="00AF71BF"/>
    <w:rPr>
      <w:sz w:val="24"/>
      <w:szCs w:val="24"/>
    </w:rPr>
  </w:style>
  <w:style w:type="paragraph" w:styleId="Revision">
    <w:name w:val="Revision"/>
    <w:hidden/>
    <w:uiPriority w:val="99"/>
    <w:semiHidden/>
    <w:rsid w:val="009312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rsid w:val="00B258B7"/>
    <w:pPr>
      <w:keepNext/>
    </w:pPr>
    <w:rPr>
      <w:i/>
    </w:rPr>
  </w:style>
  <w:style w:type="paragraph" w:customStyle="1" w:styleId="Level1">
    <w:name w:val="Level 1"/>
    <w:basedOn w:val="Normal"/>
    <w:autoRedefine/>
    <w:rsid w:val="00B258B7"/>
    <w:pPr>
      <w:keepNext/>
      <w:spacing w:before="200" w:after="120"/>
    </w:pPr>
    <w:rPr>
      <w:b/>
    </w:rPr>
  </w:style>
  <w:style w:type="character" w:customStyle="1" w:styleId="FindingChar">
    <w:name w:val="Finding Char"/>
    <w:basedOn w:val="DefaultParagraphFont"/>
    <w:link w:val="Finding"/>
    <w:rsid w:val="00B258B7"/>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DF45FF"/>
    <w:pPr>
      <w:keepNext/>
      <w:spacing w:after="240"/>
    </w:pPr>
    <w:rPr>
      <w:b/>
    </w:rPr>
  </w:style>
  <w:style w:type="character" w:customStyle="1" w:styleId="SiteVisitQuestionChar">
    <w:name w:val="Site Visit Question Char"/>
    <w:basedOn w:val="BodyChar"/>
    <w:link w:val="SiteVisitQuestion"/>
    <w:rsid w:val="00DF45FF"/>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2">
    <w:name w:val="Body Text 2"/>
    <w:basedOn w:val="Normal"/>
    <w:link w:val="BodyText2Char"/>
    <w:rsid w:val="00AF71BF"/>
    <w:rPr>
      <w:szCs w:val="20"/>
    </w:rPr>
  </w:style>
  <w:style w:type="character" w:customStyle="1" w:styleId="BodyText2Char">
    <w:name w:val="Body Text 2 Char"/>
    <w:basedOn w:val="DefaultParagraphFont"/>
    <w:link w:val="BodyText2"/>
    <w:rsid w:val="00AF71BF"/>
    <w:rPr>
      <w:sz w:val="24"/>
    </w:rPr>
  </w:style>
  <w:style w:type="paragraph" w:styleId="BodyText">
    <w:name w:val="Body Text"/>
    <w:basedOn w:val="Normal"/>
    <w:link w:val="BodyTextChar"/>
    <w:rsid w:val="00AF71BF"/>
    <w:pPr>
      <w:widowControl w:val="0"/>
      <w:spacing w:after="120"/>
    </w:pPr>
    <w:rPr>
      <w:snapToGrid w:val="0"/>
      <w:szCs w:val="20"/>
    </w:rPr>
  </w:style>
  <w:style w:type="character" w:customStyle="1" w:styleId="BodyTextChar">
    <w:name w:val="Body Text Char"/>
    <w:basedOn w:val="DefaultParagraphFont"/>
    <w:link w:val="BodyText"/>
    <w:rsid w:val="00AF71BF"/>
    <w:rPr>
      <w:snapToGrid w:val="0"/>
      <w:sz w:val="24"/>
    </w:rPr>
  </w:style>
  <w:style w:type="paragraph" w:styleId="BodyTextIndent">
    <w:name w:val="Body Text Indent"/>
    <w:basedOn w:val="Normal"/>
    <w:link w:val="BodyTextIndentChar"/>
    <w:rsid w:val="00AF71BF"/>
    <w:pPr>
      <w:spacing w:after="120"/>
      <w:ind w:left="360"/>
    </w:pPr>
  </w:style>
  <w:style w:type="character" w:customStyle="1" w:styleId="BodyTextIndentChar">
    <w:name w:val="Body Text Indent Char"/>
    <w:basedOn w:val="DefaultParagraphFont"/>
    <w:link w:val="BodyTextIndent"/>
    <w:rsid w:val="00AF71BF"/>
    <w:rPr>
      <w:sz w:val="24"/>
      <w:szCs w:val="24"/>
    </w:rPr>
  </w:style>
  <w:style w:type="paragraph" w:styleId="Revision">
    <w:name w:val="Revision"/>
    <w:hidden/>
    <w:uiPriority w:val="99"/>
    <w:semiHidden/>
    <w:rsid w:val="00931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54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7988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Charter%20Schools\Accountability\CPI%20Trend%20Graphs%201005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US"/>
              <a:t>Annual Math CPI Trend</a:t>
            </a:r>
          </a:p>
        </c:rich>
      </c:tx>
      <c:layout>
        <c:manualLayout>
          <c:xMode val="edge"/>
          <c:yMode val="edge"/>
          <c:x val="0.3479327001898499"/>
          <c:y val="5.1194539249146964E-2"/>
        </c:manualLayout>
      </c:layout>
      <c:overlay val="0"/>
      <c:spPr>
        <a:noFill/>
        <a:ln w="25400">
          <a:noFill/>
        </a:ln>
      </c:spPr>
    </c:title>
    <c:autoTitleDeleted val="0"/>
    <c:plotArea>
      <c:layout>
        <c:manualLayout>
          <c:layoutTarget val="inner"/>
          <c:xMode val="edge"/>
          <c:yMode val="edge"/>
          <c:x val="0.14111955672035792"/>
          <c:y val="0.15358361774744075"/>
          <c:w val="0.8004885200172005"/>
          <c:h val="0.63139931740614597"/>
        </c:manualLayout>
      </c:layout>
      <c:lineChart>
        <c:grouping val="standard"/>
        <c:varyColors val="0"/>
        <c:ser>
          <c:idx val="3"/>
          <c:order val="0"/>
          <c:tx>
            <c:strRef>
              <c:f>Template!$C$19</c:f>
              <c:strCache>
                <c:ptCount val="1"/>
                <c:pt idx="0">
                  <c:v>MLK Math Annual CPI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delete val="1"/>
            </c:dLbl>
            <c:dLbl>
              <c:idx val="1"/>
              <c:layout>
                <c:manualLayout>
                  <c:x val="-1.7599208251258248E-2"/>
                  <c:y val="1.2152678867359951E-2"/>
                </c:manualLayout>
              </c:layout>
              <c:dLblPos val="r"/>
              <c:showLegendKey val="0"/>
              <c:showVal val="1"/>
              <c:showCatName val="0"/>
              <c:showSerName val="0"/>
              <c:showPercent val="0"/>
              <c:showBubbleSize val="0"/>
            </c:dLbl>
            <c:dLbl>
              <c:idx val="2"/>
              <c:layout>
                <c:manualLayout>
                  <c:x val="-3.1954411023873905E-2"/>
                  <c:y val="3.4822319565003215E-2"/>
                </c:manualLayout>
              </c:layout>
              <c:dLblPos val="r"/>
              <c:showLegendKey val="0"/>
              <c:showVal val="1"/>
              <c:showCatName val="0"/>
              <c:showSerName val="0"/>
              <c:showPercent val="0"/>
              <c:showBubbleSize val="0"/>
            </c:dLbl>
            <c:dLbl>
              <c:idx val="3"/>
              <c:layout>
                <c:manualLayout>
                  <c:x val="-3.1711294405871289E-2"/>
                  <c:y val="2.4874365107091991E-2"/>
                </c:manualLayout>
              </c:layout>
              <c:dLblPos val="r"/>
              <c:showLegendKey val="0"/>
              <c:showVal val="1"/>
              <c:showCatName val="0"/>
              <c:showSerName val="0"/>
              <c:showPercent val="0"/>
              <c:showBubbleSize val="0"/>
            </c:dLbl>
            <c:dLbl>
              <c:idx val="4"/>
              <c:layout>
                <c:manualLayout>
                  <c:x val="-3.1467922345346386E-2"/>
                  <c:y val="2.3996846810530909E-2"/>
                </c:manualLayout>
              </c:layout>
              <c:dLblPos val="r"/>
              <c:showLegendKey val="0"/>
              <c:showVal val="1"/>
              <c:showCatName val="0"/>
              <c:showSerName val="0"/>
              <c:showPercent val="0"/>
              <c:showBubbleSize val="0"/>
            </c:dLbl>
            <c:dLbl>
              <c:idx val="5"/>
              <c:layout>
                <c:manualLayout>
                  <c:x val="-2.8791454479297988E-2"/>
                  <c:y val="2.7311995556869542E-2"/>
                </c:manualLayout>
              </c:layout>
              <c:dLblPos val="r"/>
              <c:showLegendKey val="0"/>
              <c:showVal val="1"/>
              <c:showCatName val="0"/>
              <c:showSerName val="0"/>
              <c:showPercent val="0"/>
              <c:showBubbleSize val="0"/>
            </c:dLbl>
            <c:numFmt formatCode="0.0" sourceLinked="0"/>
            <c:spPr>
              <a:noFill/>
              <a:ln w="25400">
                <a:noFill/>
              </a:ln>
            </c:spPr>
            <c:txPr>
              <a:bodyPr/>
              <a:lstStyle/>
              <a:p>
                <a:pPr>
                  <a:defRPr sz="85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showLeaderLines val="0"/>
          </c:dLbls>
          <c:cat>
            <c:numLit>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Lit>
          </c:cat>
          <c:val>
            <c:numRef>
              <c:f>Template!$C$20:$C$30</c:f>
              <c:numCache>
                <c:formatCode>General</c:formatCode>
                <c:ptCount val="11"/>
                <c:pt idx="4" formatCode="0.0">
                  <c:v>51.9</c:v>
                </c:pt>
                <c:pt idx="5" formatCode="0.0">
                  <c:v>59.8</c:v>
                </c:pt>
                <c:pt idx="6">
                  <c:v>54.3</c:v>
                </c:pt>
                <c:pt idx="7">
                  <c:v>62.9</c:v>
                </c:pt>
                <c:pt idx="8">
                  <c:v>68.7</c:v>
                </c:pt>
              </c:numCache>
            </c:numRef>
          </c:val>
          <c:smooth val="0"/>
        </c:ser>
        <c:ser>
          <c:idx val="1"/>
          <c:order val="1"/>
          <c:tx>
            <c:strRef>
              <c:f>Template!$D$19</c:f>
              <c:strCache>
                <c:ptCount val="1"/>
                <c:pt idx="0">
                  <c:v>MLK Math Gain Targets</c:v>
                </c:pt>
              </c:strCache>
            </c:strRef>
          </c:tx>
          <c:spPr>
            <a:ln w="12700">
              <a:solidFill>
                <a:srgbClr val="800000"/>
              </a:solidFill>
              <a:prstDash val="solid"/>
            </a:ln>
          </c:spPr>
          <c:marker>
            <c:symbol val="star"/>
            <c:size val="5"/>
            <c:spPr>
              <a:noFill/>
              <a:ln>
                <a:solidFill>
                  <a:srgbClr val="800000"/>
                </a:solidFill>
                <a:prstDash val="solid"/>
              </a:ln>
            </c:spPr>
          </c:marker>
          <c:cat>
            <c:numLit>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Lit>
          </c:cat>
          <c:val>
            <c:numRef>
              <c:f>Template!$D$20:$D$30</c:f>
              <c:numCache>
                <c:formatCode>General</c:formatCode>
                <c:ptCount val="11"/>
                <c:pt idx="5" formatCode="0.0">
                  <c:v>59.916666666666437</c:v>
                </c:pt>
                <c:pt idx="6" formatCode="0.0">
                  <c:v>67.84</c:v>
                </c:pt>
                <c:pt idx="7" formatCode="0.0">
                  <c:v>75.88000000000001</c:v>
                </c:pt>
                <c:pt idx="8" formatCode="0.0">
                  <c:v>66</c:v>
                </c:pt>
                <c:pt idx="9" formatCode="0.0">
                  <c:v>74.040000000000006</c:v>
                </c:pt>
                <c:pt idx="10" formatCode="0.0">
                  <c:v>82.080000000000013</c:v>
                </c:pt>
              </c:numCache>
            </c:numRef>
          </c:val>
          <c:smooth val="0"/>
        </c:ser>
        <c:ser>
          <c:idx val="0"/>
          <c:order val="2"/>
          <c:tx>
            <c:v>State Math Performance Targets</c:v>
          </c:tx>
          <c:spPr>
            <a:ln w="12700">
              <a:solidFill>
                <a:srgbClr val="000000"/>
              </a:solidFill>
              <a:prstDash val="sysDash"/>
            </a:ln>
          </c:spPr>
          <c:marker>
            <c:symbol val="none"/>
          </c:marker>
          <c:cat>
            <c:numLit>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Lit>
          </c:cat>
          <c:val>
            <c:numRef>
              <c:f>Template!$B$20:$B$30</c:f>
              <c:numCache>
                <c:formatCode>General</c:formatCode>
                <c:ptCount val="11"/>
              </c:numCache>
            </c:numRef>
          </c:val>
          <c:smooth val="0"/>
        </c:ser>
        <c:dLbls>
          <c:showLegendKey val="0"/>
          <c:showVal val="0"/>
          <c:showCatName val="0"/>
          <c:showSerName val="0"/>
          <c:showPercent val="0"/>
          <c:showBubbleSize val="0"/>
        </c:dLbls>
        <c:marker val="1"/>
        <c:smooth val="0"/>
        <c:axId val="112791040"/>
        <c:axId val="91805312"/>
      </c:lineChart>
      <c:catAx>
        <c:axId val="112791040"/>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Year</a:t>
                </a:r>
              </a:p>
            </c:rich>
          </c:tx>
          <c:layout>
            <c:manualLayout>
              <c:xMode val="edge"/>
              <c:yMode val="edge"/>
              <c:x val="0.50365083174334668"/>
              <c:y val="0.901023890784982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91805312"/>
        <c:crosses val="autoZero"/>
        <c:auto val="1"/>
        <c:lblAlgn val="ctr"/>
        <c:lblOffset val="100"/>
        <c:tickLblSkip val="1"/>
        <c:tickMarkSkip val="1"/>
        <c:noMultiLvlLbl val="0"/>
      </c:catAx>
      <c:valAx>
        <c:axId val="91805312"/>
        <c:scaling>
          <c:orientation val="minMax"/>
          <c:max val="100"/>
          <c:min val="30"/>
        </c:scaling>
        <c:delete val="0"/>
        <c:axPos val="l"/>
        <c:title>
          <c:tx>
            <c:rich>
              <a:bodyPr/>
              <a:lstStyle/>
              <a:p>
                <a:pPr>
                  <a:defRPr sz="900" b="1" i="0" u="none" strike="noStrike" baseline="0">
                    <a:solidFill>
                      <a:srgbClr val="000000"/>
                    </a:solidFill>
                    <a:latin typeface="Arial"/>
                    <a:ea typeface="Arial"/>
                    <a:cs typeface="Arial"/>
                  </a:defRPr>
                </a:pPr>
                <a:r>
                  <a:rPr lang="en-US"/>
                  <a:t>CPI</a:t>
                </a:r>
              </a:p>
            </c:rich>
          </c:tx>
          <c:layout>
            <c:manualLayout>
              <c:xMode val="edge"/>
              <c:yMode val="edge"/>
              <c:x val="1.9464766444187369E-2"/>
              <c:y val="0.4300341296928335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2791040"/>
        <c:crosses val="autoZero"/>
        <c:crossBetween val="midCat"/>
        <c:majorUnit val="10"/>
      </c:valAx>
      <c:spPr>
        <a:noFill/>
        <a:ln w="12700">
          <a:solidFill>
            <a:srgbClr val="808080"/>
          </a:solidFill>
          <a:prstDash val="solid"/>
        </a:ln>
      </c:spPr>
    </c:plotArea>
    <c:legend>
      <c:legendPos val="r"/>
      <c:legendEntry>
        <c:idx val="2"/>
        <c:delete val="1"/>
      </c:legendEntry>
      <c:layout>
        <c:manualLayout>
          <c:xMode val="edge"/>
          <c:yMode val="edge"/>
          <c:x val="0.35198727896239335"/>
          <c:y val="0.64163822525597458"/>
          <c:w val="0.58150989752009608"/>
          <c:h val="0.1319681456200232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4A22A-5B7F-4F59-A54A-7652817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Board Memorandum Attachment, Charter Schools – Report on Probation for Martin Luther King, Jr. Charter School of Excellence, January 2013</vt:lpstr>
    </vt:vector>
  </TitlesOfParts>
  <Company>Massachusetts Department of Elementary and Secondary Education</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Charter Schools – Report on Probation for Martin Luther King, Jr. Charter School of Excellence, January 2013</dc:title>
  <dc:creator>ESE</dc:creator>
  <cp:lastModifiedBy>ESE</cp:lastModifiedBy>
  <cp:revision>2</cp:revision>
  <cp:lastPrinted>2013-01-17T21:04:00Z</cp:lastPrinted>
  <dcterms:created xsi:type="dcterms:W3CDTF">2013-01-25T21:12:00Z</dcterms:created>
  <dcterms:modified xsi:type="dcterms:W3CDTF">2013-01-25T21:12:00Z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2013</vt:lpwstr>
  </property>
</Properties>
</file>