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470"/>
        <w:gridCol w:w="4668"/>
      </w:tblGrid>
      <w:tr w:rsidR="00662189" w:rsidRPr="00D51194" w:rsidTr="00393D8E">
        <w:tc>
          <w:tcPr>
            <w:tcW w:w="8856" w:type="dxa"/>
            <w:gridSpan w:val="3"/>
            <w:shd w:val="clear" w:color="auto" w:fill="CCCCCC"/>
          </w:tcPr>
          <w:p w:rsidR="00662189" w:rsidRPr="00D51194" w:rsidRDefault="00662189" w:rsidP="00F5219F">
            <w:pPr>
              <w:jc w:val="center"/>
              <w:rPr>
                <w:b/>
                <w:szCs w:val="24"/>
              </w:rPr>
            </w:pPr>
            <w:bookmarkStart w:id="0" w:name="_GoBack"/>
            <w:bookmarkEnd w:id="0"/>
            <w:r w:rsidRPr="00D51194">
              <w:rPr>
                <w:b/>
                <w:caps/>
                <w:szCs w:val="24"/>
              </w:rPr>
              <w:t>final application REVIEW 2012-2013</w:t>
            </w:r>
          </w:p>
        </w:tc>
      </w:tr>
      <w:tr w:rsidR="00662189" w:rsidRPr="00D51194" w:rsidTr="00AA7B60">
        <w:tc>
          <w:tcPr>
            <w:tcW w:w="2718" w:type="dxa"/>
          </w:tcPr>
          <w:p w:rsidR="00662189" w:rsidRPr="00D51194" w:rsidRDefault="00662189" w:rsidP="000F000D">
            <w:pPr>
              <w:rPr>
                <w:b/>
                <w:bCs/>
                <w:szCs w:val="24"/>
              </w:rPr>
            </w:pPr>
            <w:r w:rsidRPr="00D51194">
              <w:rPr>
                <w:b/>
                <w:bCs/>
                <w:szCs w:val="24"/>
              </w:rPr>
              <w:t>Proposed School Name:</w:t>
            </w:r>
          </w:p>
        </w:tc>
        <w:tc>
          <w:tcPr>
            <w:tcW w:w="6138" w:type="dxa"/>
            <w:gridSpan w:val="2"/>
          </w:tcPr>
          <w:p w:rsidR="00662189" w:rsidRPr="00D51194" w:rsidRDefault="00662189" w:rsidP="00AA7B60">
            <w:pPr>
              <w:rPr>
                <w:szCs w:val="24"/>
              </w:rPr>
            </w:pPr>
            <w:r w:rsidRPr="00D51194">
              <w:rPr>
                <w:szCs w:val="24"/>
              </w:rPr>
              <w:t xml:space="preserve">Phoenix </w:t>
            </w:r>
            <w:r w:rsidR="00AA7B60" w:rsidRPr="00D51194">
              <w:rPr>
                <w:szCs w:val="24"/>
              </w:rPr>
              <w:t xml:space="preserve">Academy Public </w:t>
            </w:r>
            <w:r w:rsidRPr="00D51194">
              <w:rPr>
                <w:szCs w:val="24"/>
              </w:rPr>
              <w:t xml:space="preserve">Charter </w:t>
            </w:r>
            <w:r w:rsidR="00AA7B60" w:rsidRPr="00D51194">
              <w:rPr>
                <w:szCs w:val="24"/>
              </w:rPr>
              <w:t>High School</w:t>
            </w:r>
            <w:r w:rsidR="00BA2A3E" w:rsidRPr="00D51194">
              <w:rPr>
                <w:szCs w:val="24"/>
              </w:rPr>
              <w:t xml:space="preserve"> </w:t>
            </w:r>
            <w:r w:rsidRPr="00D51194">
              <w:rPr>
                <w:szCs w:val="24"/>
              </w:rPr>
              <w:t>Springfield</w:t>
            </w:r>
          </w:p>
        </w:tc>
      </w:tr>
      <w:tr w:rsidR="00662189" w:rsidRPr="00D51194" w:rsidTr="00393D8E">
        <w:tc>
          <w:tcPr>
            <w:tcW w:w="8856" w:type="dxa"/>
            <w:gridSpan w:val="3"/>
            <w:shd w:val="clear" w:color="auto" w:fill="C0C0C0"/>
          </w:tcPr>
          <w:p w:rsidR="00662189" w:rsidRPr="00D51194" w:rsidRDefault="00662189" w:rsidP="00393D8E">
            <w:pPr>
              <w:rPr>
                <w:szCs w:val="24"/>
              </w:rPr>
            </w:pPr>
          </w:p>
        </w:tc>
      </w:tr>
      <w:tr w:rsidR="00662189" w:rsidRPr="00D51194" w:rsidTr="00393D8E">
        <w:tc>
          <w:tcPr>
            <w:tcW w:w="4188" w:type="dxa"/>
            <w:gridSpan w:val="2"/>
          </w:tcPr>
          <w:p w:rsidR="00662189" w:rsidRPr="00D51194" w:rsidRDefault="00662189" w:rsidP="00393D8E">
            <w:pPr>
              <w:rPr>
                <w:b/>
                <w:bCs/>
                <w:szCs w:val="24"/>
              </w:rPr>
            </w:pPr>
            <w:r w:rsidRPr="00D51194">
              <w:rPr>
                <w:b/>
                <w:bCs/>
                <w:szCs w:val="24"/>
              </w:rPr>
              <w:t>Grades Served At Full Capacity:</w:t>
            </w:r>
          </w:p>
        </w:tc>
        <w:tc>
          <w:tcPr>
            <w:tcW w:w="4668" w:type="dxa"/>
          </w:tcPr>
          <w:p w:rsidR="00662189" w:rsidRPr="00D51194" w:rsidRDefault="00662189" w:rsidP="00393D8E">
            <w:pPr>
              <w:rPr>
                <w:szCs w:val="24"/>
              </w:rPr>
            </w:pPr>
            <w:r w:rsidRPr="00D51194">
              <w:rPr>
                <w:szCs w:val="24"/>
              </w:rPr>
              <w:t>9-12</w:t>
            </w:r>
          </w:p>
        </w:tc>
      </w:tr>
      <w:tr w:rsidR="00662189" w:rsidRPr="00D51194" w:rsidTr="00393D8E">
        <w:tc>
          <w:tcPr>
            <w:tcW w:w="4188" w:type="dxa"/>
            <w:gridSpan w:val="2"/>
          </w:tcPr>
          <w:p w:rsidR="00662189" w:rsidRPr="00D51194" w:rsidRDefault="00662189" w:rsidP="00393D8E">
            <w:pPr>
              <w:rPr>
                <w:b/>
                <w:bCs/>
                <w:szCs w:val="24"/>
              </w:rPr>
            </w:pPr>
            <w:r w:rsidRPr="00D51194">
              <w:rPr>
                <w:b/>
                <w:bCs/>
                <w:szCs w:val="24"/>
              </w:rPr>
              <w:t>Number of Students At Full Capacity:</w:t>
            </w:r>
          </w:p>
        </w:tc>
        <w:tc>
          <w:tcPr>
            <w:tcW w:w="4668" w:type="dxa"/>
          </w:tcPr>
          <w:p w:rsidR="00662189" w:rsidRPr="00D51194" w:rsidRDefault="00662189" w:rsidP="00393D8E">
            <w:pPr>
              <w:rPr>
                <w:szCs w:val="24"/>
              </w:rPr>
            </w:pPr>
            <w:r w:rsidRPr="00D51194">
              <w:rPr>
                <w:szCs w:val="24"/>
              </w:rPr>
              <w:t>250</w:t>
            </w:r>
          </w:p>
        </w:tc>
      </w:tr>
      <w:tr w:rsidR="00662189" w:rsidRPr="00D51194" w:rsidTr="00393D8E">
        <w:tc>
          <w:tcPr>
            <w:tcW w:w="4188" w:type="dxa"/>
            <w:gridSpan w:val="2"/>
          </w:tcPr>
          <w:p w:rsidR="00662189" w:rsidRPr="00D51194" w:rsidRDefault="00662189" w:rsidP="00393D8E">
            <w:pPr>
              <w:rPr>
                <w:b/>
                <w:bCs/>
                <w:szCs w:val="24"/>
              </w:rPr>
            </w:pPr>
            <w:r w:rsidRPr="00D51194">
              <w:rPr>
                <w:b/>
                <w:bCs/>
                <w:szCs w:val="24"/>
              </w:rPr>
              <w:t>Proposed School Location:</w:t>
            </w:r>
          </w:p>
        </w:tc>
        <w:tc>
          <w:tcPr>
            <w:tcW w:w="4668" w:type="dxa"/>
          </w:tcPr>
          <w:p w:rsidR="00662189" w:rsidRPr="00D51194" w:rsidRDefault="00662189" w:rsidP="00393D8E">
            <w:pPr>
              <w:rPr>
                <w:szCs w:val="24"/>
              </w:rPr>
            </w:pPr>
            <w:r w:rsidRPr="00D51194">
              <w:rPr>
                <w:szCs w:val="24"/>
              </w:rPr>
              <w:t>Springfield</w:t>
            </w:r>
          </w:p>
        </w:tc>
      </w:tr>
      <w:tr w:rsidR="00662189" w:rsidRPr="00D51194" w:rsidTr="00FF187F">
        <w:tc>
          <w:tcPr>
            <w:tcW w:w="4188" w:type="dxa"/>
            <w:gridSpan w:val="2"/>
          </w:tcPr>
          <w:p w:rsidR="00662189" w:rsidRPr="00D51194" w:rsidRDefault="00662189" w:rsidP="00393D8E">
            <w:pPr>
              <w:rPr>
                <w:b/>
                <w:bCs/>
                <w:szCs w:val="24"/>
              </w:rPr>
            </w:pPr>
            <w:r w:rsidRPr="00D51194">
              <w:rPr>
                <w:b/>
                <w:bCs/>
                <w:szCs w:val="24"/>
              </w:rPr>
              <w:t>Proposed Opening Year:</w:t>
            </w:r>
          </w:p>
        </w:tc>
        <w:tc>
          <w:tcPr>
            <w:tcW w:w="4668" w:type="dxa"/>
          </w:tcPr>
          <w:p w:rsidR="00662189" w:rsidRPr="00D51194" w:rsidRDefault="00662189" w:rsidP="00393D8E">
            <w:pPr>
              <w:rPr>
                <w:szCs w:val="24"/>
              </w:rPr>
            </w:pPr>
            <w:r w:rsidRPr="00D51194">
              <w:rPr>
                <w:szCs w:val="24"/>
              </w:rPr>
              <w:t>2014-2015</w:t>
            </w:r>
          </w:p>
        </w:tc>
      </w:tr>
      <w:tr w:rsidR="00662189" w:rsidRPr="00D51194" w:rsidTr="00FF187F">
        <w:tc>
          <w:tcPr>
            <w:tcW w:w="4188" w:type="dxa"/>
            <w:gridSpan w:val="2"/>
          </w:tcPr>
          <w:p w:rsidR="00662189" w:rsidRPr="00D51194" w:rsidRDefault="00662189" w:rsidP="00393D8E">
            <w:pPr>
              <w:rPr>
                <w:b/>
                <w:bCs/>
                <w:szCs w:val="24"/>
              </w:rPr>
            </w:pPr>
            <w:r w:rsidRPr="00D51194">
              <w:rPr>
                <w:b/>
                <w:bCs/>
                <w:szCs w:val="24"/>
              </w:rPr>
              <w:t>Proposed Sending Districts:</w:t>
            </w:r>
          </w:p>
        </w:tc>
        <w:tc>
          <w:tcPr>
            <w:tcW w:w="4668" w:type="dxa"/>
          </w:tcPr>
          <w:p w:rsidR="00662189" w:rsidRPr="00D51194" w:rsidRDefault="00662189" w:rsidP="00393D8E">
            <w:pPr>
              <w:rPr>
                <w:szCs w:val="24"/>
              </w:rPr>
            </w:pPr>
            <w:r w:rsidRPr="00D51194">
              <w:rPr>
                <w:szCs w:val="24"/>
              </w:rPr>
              <w:t>Chicopee, Holyoke, and Springfield</w:t>
            </w:r>
          </w:p>
        </w:tc>
      </w:tr>
      <w:tr w:rsidR="00662189" w:rsidRPr="00D51194" w:rsidTr="00FA5198">
        <w:trPr>
          <w:trHeight w:val="6812"/>
        </w:trPr>
        <w:tc>
          <w:tcPr>
            <w:tcW w:w="8856" w:type="dxa"/>
            <w:gridSpan w:val="3"/>
          </w:tcPr>
          <w:p w:rsidR="00662189" w:rsidRPr="00D51194" w:rsidRDefault="00662189" w:rsidP="00035E06">
            <w:pPr>
              <w:rPr>
                <w:b/>
                <w:szCs w:val="24"/>
              </w:rPr>
            </w:pPr>
            <w:r w:rsidRPr="00D51194">
              <w:rPr>
                <w:b/>
                <w:szCs w:val="24"/>
              </w:rPr>
              <w:t xml:space="preserve">Public Statement: </w:t>
            </w:r>
          </w:p>
          <w:p w:rsidR="00662189" w:rsidRPr="00D51194" w:rsidRDefault="00662189" w:rsidP="00D13840">
            <w:pPr>
              <w:rPr>
                <w:szCs w:val="24"/>
              </w:rPr>
            </w:pPr>
            <w:r w:rsidRPr="00D51194">
              <w:rPr>
                <w:szCs w:val="24"/>
              </w:rPr>
              <w:t>“The mission of Phoenix Charter Academy Springfield is to challenge teenagers in Springfield, Holyoke, and Chicopee with an academically rigorous and individually tailored curriculum. At Phoenix Springfield, students who have not been successful in traditional schools will have the support and training necessary to succeed in high school and college. Named after a mythological figure of strength, healing, and renewal, we believe in the capacity of our students to regain control of their academic future and recast themselves as strong and independent adults. Phoenix Springfield will open in 2013, and will grow to serve 250 students by its third year.”</w:t>
            </w:r>
          </w:p>
          <w:p w:rsidR="00662189" w:rsidRPr="00D51194" w:rsidRDefault="00662189" w:rsidP="00035E06">
            <w:pPr>
              <w:rPr>
                <w:b/>
                <w:szCs w:val="24"/>
              </w:rPr>
            </w:pPr>
          </w:p>
          <w:p w:rsidR="00662189" w:rsidRPr="00D51194" w:rsidRDefault="00662189" w:rsidP="00F5717D">
            <w:pPr>
              <w:rPr>
                <w:b/>
                <w:bCs/>
                <w:szCs w:val="24"/>
              </w:rPr>
            </w:pPr>
            <w:r w:rsidRPr="00D51194">
              <w:rPr>
                <w:b/>
                <w:bCs/>
                <w:szCs w:val="24"/>
              </w:rPr>
              <w:t>Mission Statement:</w:t>
            </w:r>
          </w:p>
          <w:p w:rsidR="00662189" w:rsidRPr="00D51194" w:rsidRDefault="00662189" w:rsidP="001B17A7">
            <w:pPr>
              <w:rPr>
                <w:szCs w:val="24"/>
              </w:rPr>
            </w:pPr>
            <w:r w:rsidRPr="00D51194">
              <w:rPr>
                <w:szCs w:val="24"/>
              </w:rPr>
              <w:t>“The mission of Phoenix Charter Academy Springfield is to challenge teenagers in Springfield, Holyoke, and Chicopee with an academically rigorous and individually tailored curriculum. At Phoenix Charter Academy, talented students, some of whom have not succeeded in other schools, have the support, resources, and training necessary to succeed in high school and college, and become economically secure in their futures. Named after a mythological figure of strength, healing, and renewal, we believe in the capacity of our students to regain control of their academic futures and recast themselves as strong, independent, and self-sufficient adults.”</w:t>
            </w:r>
          </w:p>
          <w:p w:rsidR="00662189" w:rsidRPr="00D51194" w:rsidRDefault="00662189" w:rsidP="00F5717D">
            <w:pPr>
              <w:rPr>
                <w:szCs w:val="24"/>
              </w:rPr>
            </w:pPr>
          </w:p>
          <w:p w:rsidR="00662189" w:rsidRPr="00D51194" w:rsidRDefault="00662189" w:rsidP="00F5717D">
            <w:pPr>
              <w:rPr>
                <w:szCs w:val="24"/>
              </w:rPr>
            </w:pPr>
          </w:p>
          <w:p w:rsidR="00662189" w:rsidRPr="00D51194" w:rsidRDefault="00662189" w:rsidP="00F5717D">
            <w:pPr>
              <w:rPr>
                <w:b/>
                <w:szCs w:val="24"/>
              </w:rPr>
            </w:pPr>
            <w:r w:rsidRPr="00D51194">
              <w:rPr>
                <w:b/>
                <w:szCs w:val="24"/>
              </w:rPr>
              <w:t>Proposed Growth Plan for First Five Years of Operation:</w:t>
            </w:r>
          </w:p>
          <w:p w:rsidR="00662189" w:rsidRPr="00D51194" w:rsidRDefault="00662189" w:rsidP="00F5717D">
            <w:pPr>
              <w:rPr>
                <w:b/>
                <w:szCs w:val="24"/>
              </w:rPr>
            </w:pPr>
          </w:p>
          <w:tbl>
            <w:tblPr>
              <w:tblW w:w="0" w:type="auto"/>
              <w:tblInd w:w="1630" w:type="dxa"/>
              <w:tblCellMar>
                <w:left w:w="0" w:type="dxa"/>
                <w:right w:w="0" w:type="dxa"/>
              </w:tblCellMar>
              <w:tblLook w:val="0000" w:firstRow="0" w:lastRow="0" w:firstColumn="0" w:lastColumn="0" w:noHBand="0" w:noVBand="0"/>
            </w:tblPr>
            <w:tblGrid>
              <w:gridCol w:w="1800"/>
              <w:gridCol w:w="1940"/>
              <w:gridCol w:w="1760"/>
            </w:tblGrid>
            <w:tr w:rsidR="00D57431" w:rsidRPr="00D51194" w:rsidTr="00C26B5E">
              <w:trPr>
                <w:trHeight w:val="253"/>
              </w:trPr>
              <w:tc>
                <w:tcPr>
                  <w:tcW w:w="1800" w:type="dxa"/>
                  <w:vMerge w:val="restart"/>
                  <w:tcBorders>
                    <w:top w:val="single" w:sz="8" w:space="0" w:color="auto"/>
                    <w:left w:val="single" w:sz="8" w:space="0" w:color="auto"/>
                    <w:right w:val="single" w:sz="8" w:space="0" w:color="auto"/>
                  </w:tcBorders>
                  <w:vAlign w:val="center"/>
                </w:tcPr>
                <w:p w:rsidR="00D57431" w:rsidRPr="00D51194" w:rsidRDefault="00D57431" w:rsidP="00D57431">
                  <w:pPr>
                    <w:autoSpaceDE w:val="0"/>
                    <w:autoSpaceDN w:val="0"/>
                    <w:adjustRightInd w:val="0"/>
                    <w:spacing w:line="252" w:lineRule="exact"/>
                    <w:ind w:left="120"/>
                    <w:jc w:val="center"/>
                    <w:rPr>
                      <w:szCs w:val="24"/>
                    </w:rPr>
                  </w:pPr>
                  <w:r w:rsidRPr="00D51194">
                    <w:rPr>
                      <w:bCs/>
                      <w:szCs w:val="24"/>
                    </w:rPr>
                    <w:t>School Year</w:t>
                  </w:r>
                </w:p>
              </w:tc>
              <w:tc>
                <w:tcPr>
                  <w:tcW w:w="1940" w:type="dxa"/>
                  <w:vMerge w:val="restart"/>
                  <w:tcBorders>
                    <w:top w:val="single" w:sz="8" w:space="0" w:color="auto"/>
                    <w:left w:val="nil"/>
                    <w:right w:val="single" w:sz="8" w:space="0" w:color="auto"/>
                  </w:tcBorders>
                  <w:vAlign w:val="center"/>
                </w:tcPr>
                <w:p w:rsidR="00D57431" w:rsidRPr="00D51194" w:rsidRDefault="00D57431" w:rsidP="00D57431">
                  <w:pPr>
                    <w:autoSpaceDE w:val="0"/>
                    <w:autoSpaceDN w:val="0"/>
                    <w:adjustRightInd w:val="0"/>
                    <w:spacing w:line="252" w:lineRule="exact"/>
                    <w:ind w:left="340"/>
                    <w:jc w:val="center"/>
                    <w:rPr>
                      <w:szCs w:val="24"/>
                    </w:rPr>
                  </w:pPr>
                  <w:r w:rsidRPr="00D51194">
                    <w:rPr>
                      <w:bCs/>
                      <w:szCs w:val="24"/>
                    </w:rPr>
                    <w:t>Grade Levels</w:t>
                  </w:r>
                </w:p>
              </w:tc>
              <w:tc>
                <w:tcPr>
                  <w:tcW w:w="1760" w:type="dxa"/>
                  <w:tcBorders>
                    <w:top w:val="single" w:sz="8" w:space="0" w:color="auto"/>
                    <w:left w:val="nil"/>
                    <w:bottom w:val="nil"/>
                    <w:right w:val="single" w:sz="8" w:space="0" w:color="auto"/>
                  </w:tcBorders>
                  <w:vAlign w:val="center"/>
                </w:tcPr>
                <w:p w:rsidR="00D57431" w:rsidRPr="00D51194" w:rsidRDefault="00D57431" w:rsidP="00D57431">
                  <w:pPr>
                    <w:jc w:val="center"/>
                    <w:rPr>
                      <w:szCs w:val="24"/>
                    </w:rPr>
                  </w:pPr>
                  <w:r w:rsidRPr="00D51194">
                    <w:rPr>
                      <w:szCs w:val="24"/>
                    </w:rPr>
                    <w:t>Total Student</w:t>
                  </w:r>
                </w:p>
              </w:tc>
            </w:tr>
            <w:tr w:rsidR="00D57431" w:rsidRPr="00D51194" w:rsidTr="00C26B5E">
              <w:trPr>
                <w:trHeight w:val="260"/>
              </w:trPr>
              <w:tc>
                <w:tcPr>
                  <w:tcW w:w="1800" w:type="dxa"/>
                  <w:vMerge/>
                  <w:tcBorders>
                    <w:left w:val="single" w:sz="8" w:space="0" w:color="auto"/>
                    <w:bottom w:val="single" w:sz="8" w:space="0" w:color="auto"/>
                    <w:right w:val="single" w:sz="8" w:space="0" w:color="auto"/>
                  </w:tcBorders>
                  <w:vAlign w:val="center"/>
                </w:tcPr>
                <w:p w:rsidR="00D57431" w:rsidRPr="00D51194" w:rsidRDefault="00D57431" w:rsidP="00D57431">
                  <w:pPr>
                    <w:autoSpaceDE w:val="0"/>
                    <w:autoSpaceDN w:val="0"/>
                    <w:adjustRightInd w:val="0"/>
                    <w:jc w:val="center"/>
                    <w:rPr>
                      <w:szCs w:val="24"/>
                    </w:rPr>
                  </w:pPr>
                </w:p>
              </w:tc>
              <w:tc>
                <w:tcPr>
                  <w:tcW w:w="1940" w:type="dxa"/>
                  <w:vMerge/>
                  <w:tcBorders>
                    <w:left w:val="nil"/>
                    <w:bottom w:val="single" w:sz="8" w:space="0" w:color="auto"/>
                    <w:right w:val="single" w:sz="8" w:space="0" w:color="auto"/>
                  </w:tcBorders>
                  <w:vAlign w:val="center"/>
                </w:tcPr>
                <w:p w:rsidR="00D57431" w:rsidRPr="00D51194" w:rsidRDefault="00D57431" w:rsidP="00D57431">
                  <w:pPr>
                    <w:autoSpaceDE w:val="0"/>
                    <w:autoSpaceDN w:val="0"/>
                    <w:adjustRightInd w:val="0"/>
                    <w:jc w:val="center"/>
                    <w:rPr>
                      <w:szCs w:val="24"/>
                    </w:rPr>
                  </w:pPr>
                </w:p>
              </w:tc>
              <w:tc>
                <w:tcPr>
                  <w:tcW w:w="1760" w:type="dxa"/>
                  <w:tcBorders>
                    <w:top w:val="nil"/>
                    <w:left w:val="nil"/>
                    <w:bottom w:val="single" w:sz="8" w:space="0" w:color="auto"/>
                    <w:right w:val="single" w:sz="8" w:space="0" w:color="auto"/>
                  </w:tcBorders>
                  <w:vAlign w:val="center"/>
                </w:tcPr>
                <w:p w:rsidR="00D57431" w:rsidRPr="00D51194" w:rsidRDefault="00D57431" w:rsidP="00D57431">
                  <w:pPr>
                    <w:autoSpaceDE w:val="0"/>
                    <w:autoSpaceDN w:val="0"/>
                    <w:adjustRightInd w:val="0"/>
                    <w:jc w:val="center"/>
                    <w:rPr>
                      <w:szCs w:val="24"/>
                    </w:rPr>
                  </w:pPr>
                  <w:r w:rsidRPr="00D51194">
                    <w:rPr>
                      <w:bCs/>
                      <w:szCs w:val="24"/>
                    </w:rPr>
                    <w:t>Enrollment</w:t>
                  </w:r>
                </w:p>
              </w:tc>
            </w:tr>
            <w:tr w:rsidR="00662189" w:rsidRPr="00D51194" w:rsidTr="00793A31">
              <w:trPr>
                <w:trHeight w:val="251"/>
              </w:trPr>
              <w:tc>
                <w:tcPr>
                  <w:tcW w:w="1800" w:type="dxa"/>
                  <w:tcBorders>
                    <w:top w:val="nil"/>
                    <w:left w:val="single" w:sz="8" w:space="0" w:color="auto"/>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First Year</w:t>
                  </w:r>
                </w:p>
              </w:tc>
              <w:tc>
                <w:tcPr>
                  <w:tcW w:w="1940" w:type="dxa"/>
                  <w:tcBorders>
                    <w:top w:val="nil"/>
                    <w:left w:val="nil"/>
                    <w:bottom w:val="single" w:sz="8" w:space="0" w:color="auto"/>
                    <w:right w:val="single" w:sz="8" w:space="0" w:color="auto"/>
                  </w:tcBorders>
                </w:tcPr>
                <w:p w:rsidR="00662189" w:rsidRPr="00D51194" w:rsidRDefault="000A5132" w:rsidP="005A6AC6">
                  <w:pPr>
                    <w:rPr>
                      <w:color w:val="000000"/>
                      <w:szCs w:val="24"/>
                    </w:rPr>
                  </w:pPr>
                  <w:r w:rsidRPr="00D51194">
                    <w:rPr>
                      <w:color w:val="000000"/>
                      <w:szCs w:val="24"/>
                    </w:rPr>
                    <w:t xml:space="preserve"> </w:t>
                  </w:r>
                  <w:r w:rsidR="00662189" w:rsidRPr="00D51194">
                    <w:rPr>
                      <w:color w:val="000000"/>
                      <w:szCs w:val="24"/>
                    </w:rPr>
                    <w:t>9-12</w:t>
                  </w:r>
                </w:p>
              </w:tc>
              <w:tc>
                <w:tcPr>
                  <w:tcW w:w="1760" w:type="dxa"/>
                  <w:tcBorders>
                    <w:top w:val="nil"/>
                    <w:left w:val="nil"/>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125</w:t>
                  </w:r>
                </w:p>
              </w:tc>
            </w:tr>
            <w:tr w:rsidR="00662189" w:rsidRPr="00D51194" w:rsidTr="00793A31">
              <w:trPr>
                <w:trHeight w:val="251"/>
              </w:trPr>
              <w:tc>
                <w:tcPr>
                  <w:tcW w:w="1800" w:type="dxa"/>
                  <w:tcBorders>
                    <w:top w:val="nil"/>
                    <w:left w:val="single" w:sz="8" w:space="0" w:color="auto"/>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Second Year</w:t>
                  </w:r>
                </w:p>
              </w:tc>
              <w:tc>
                <w:tcPr>
                  <w:tcW w:w="1940" w:type="dxa"/>
                  <w:tcBorders>
                    <w:top w:val="nil"/>
                    <w:left w:val="nil"/>
                    <w:bottom w:val="single" w:sz="8" w:space="0" w:color="auto"/>
                    <w:right w:val="single" w:sz="8" w:space="0" w:color="auto"/>
                  </w:tcBorders>
                </w:tcPr>
                <w:p w:rsidR="00662189" w:rsidRPr="00D51194" w:rsidRDefault="000A5132" w:rsidP="005A6AC6">
                  <w:pPr>
                    <w:rPr>
                      <w:color w:val="000000"/>
                      <w:szCs w:val="24"/>
                    </w:rPr>
                  </w:pPr>
                  <w:r w:rsidRPr="00D51194">
                    <w:rPr>
                      <w:color w:val="000000"/>
                      <w:szCs w:val="24"/>
                    </w:rPr>
                    <w:t xml:space="preserve"> </w:t>
                  </w:r>
                  <w:r w:rsidR="00662189" w:rsidRPr="00D51194">
                    <w:rPr>
                      <w:color w:val="000000"/>
                      <w:szCs w:val="24"/>
                    </w:rPr>
                    <w:t>9-12</w:t>
                  </w:r>
                </w:p>
              </w:tc>
              <w:tc>
                <w:tcPr>
                  <w:tcW w:w="1760" w:type="dxa"/>
                  <w:tcBorders>
                    <w:top w:val="nil"/>
                    <w:left w:val="nil"/>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175</w:t>
                  </w:r>
                </w:p>
              </w:tc>
            </w:tr>
            <w:tr w:rsidR="00662189" w:rsidRPr="00D51194" w:rsidTr="00793A31">
              <w:trPr>
                <w:trHeight w:val="251"/>
              </w:trPr>
              <w:tc>
                <w:tcPr>
                  <w:tcW w:w="1800" w:type="dxa"/>
                  <w:tcBorders>
                    <w:top w:val="nil"/>
                    <w:left w:val="single" w:sz="8" w:space="0" w:color="auto"/>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Third Year</w:t>
                  </w:r>
                </w:p>
              </w:tc>
              <w:tc>
                <w:tcPr>
                  <w:tcW w:w="1940" w:type="dxa"/>
                  <w:tcBorders>
                    <w:top w:val="nil"/>
                    <w:left w:val="nil"/>
                    <w:bottom w:val="single" w:sz="8" w:space="0" w:color="auto"/>
                    <w:right w:val="single" w:sz="8" w:space="0" w:color="auto"/>
                  </w:tcBorders>
                </w:tcPr>
                <w:p w:rsidR="00662189" w:rsidRPr="00D51194" w:rsidRDefault="000A5132" w:rsidP="005A6AC6">
                  <w:pPr>
                    <w:rPr>
                      <w:color w:val="000000"/>
                      <w:szCs w:val="24"/>
                    </w:rPr>
                  </w:pPr>
                  <w:r w:rsidRPr="00D51194">
                    <w:rPr>
                      <w:color w:val="000000"/>
                      <w:szCs w:val="24"/>
                    </w:rPr>
                    <w:t xml:space="preserve"> </w:t>
                  </w:r>
                  <w:r w:rsidR="00662189" w:rsidRPr="00D51194">
                    <w:rPr>
                      <w:color w:val="000000"/>
                      <w:szCs w:val="24"/>
                    </w:rPr>
                    <w:t>9-12</w:t>
                  </w:r>
                </w:p>
              </w:tc>
              <w:tc>
                <w:tcPr>
                  <w:tcW w:w="1760" w:type="dxa"/>
                  <w:tcBorders>
                    <w:top w:val="nil"/>
                    <w:left w:val="nil"/>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250</w:t>
                  </w:r>
                </w:p>
              </w:tc>
            </w:tr>
            <w:tr w:rsidR="00662189" w:rsidRPr="00D51194" w:rsidTr="00793A31">
              <w:trPr>
                <w:trHeight w:val="251"/>
              </w:trPr>
              <w:tc>
                <w:tcPr>
                  <w:tcW w:w="1800" w:type="dxa"/>
                  <w:tcBorders>
                    <w:top w:val="nil"/>
                    <w:left w:val="single" w:sz="8" w:space="0" w:color="auto"/>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Fourth Year</w:t>
                  </w:r>
                </w:p>
              </w:tc>
              <w:tc>
                <w:tcPr>
                  <w:tcW w:w="1940" w:type="dxa"/>
                  <w:tcBorders>
                    <w:top w:val="nil"/>
                    <w:left w:val="nil"/>
                    <w:bottom w:val="single" w:sz="8" w:space="0" w:color="auto"/>
                    <w:right w:val="single" w:sz="8" w:space="0" w:color="auto"/>
                  </w:tcBorders>
                </w:tcPr>
                <w:p w:rsidR="00662189" w:rsidRPr="00D51194" w:rsidRDefault="000A5132" w:rsidP="005A6AC6">
                  <w:pPr>
                    <w:rPr>
                      <w:color w:val="000000"/>
                      <w:szCs w:val="24"/>
                    </w:rPr>
                  </w:pPr>
                  <w:r w:rsidRPr="00D51194">
                    <w:rPr>
                      <w:color w:val="000000"/>
                      <w:szCs w:val="24"/>
                    </w:rPr>
                    <w:t xml:space="preserve"> </w:t>
                  </w:r>
                  <w:r w:rsidR="00662189" w:rsidRPr="00D51194">
                    <w:rPr>
                      <w:color w:val="000000"/>
                      <w:szCs w:val="24"/>
                    </w:rPr>
                    <w:t>9-12</w:t>
                  </w:r>
                </w:p>
              </w:tc>
              <w:tc>
                <w:tcPr>
                  <w:tcW w:w="1760" w:type="dxa"/>
                  <w:tcBorders>
                    <w:top w:val="nil"/>
                    <w:left w:val="nil"/>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250</w:t>
                  </w:r>
                </w:p>
              </w:tc>
            </w:tr>
            <w:tr w:rsidR="00662189" w:rsidRPr="00D51194" w:rsidTr="00793A31">
              <w:trPr>
                <w:trHeight w:val="251"/>
              </w:trPr>
              <w:tc>
                <w:tcPr>
                  <w:tcW w:w="1800" w:type="dxa"/>
                  <w:tcBorders>
                    <w:top w:val="nil"/>
                    <w:left w:val="single" w:sz="8" w:space="0" w:color="auto"/>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Fifth Year</w:t>
                  </w:r>
                </w:p>
              </w:tc>
              <w:tc>
                <w:tcPr>
                  <w:tcW w:w="1940" w:type="dxa"/>
                  <w:tcBorders>
                    <w:top w:val="nil"/>
                    <w:left w:val="nil"/>
                    <w:bottom w:val="single" w:sz="8" w:space="0" w:color="auto"/>
                    <w:right w:val="single" w:sz="8" w:space="0" w:color="auto"/>
                  </w:tcBorders>
                </w:tcPr>
                <w:p w:rsidR="00662189" w:rsidRPr="00D51194" w:rsidRDefault="000A5132" w:rsidP="005A6AC6">
                  <w:pPr>
                    <w:rPr>
                      <w:color w:val="000000"/>
                      <w:szCs w:val="24"/>
                    </w:rPr>
                  </w:pPr>
                  <w:r w:rsidRPr="00D51194">
                    <w:rPr>
                      <w:color w:val="000000"/>
                      <w:szCs w:val="24"/>
                    </w:rPr>
                    <w:t xml:space="preserve"> </w:t>
                  </w:r>
                  <w:r w:rsidR="00662189" w:rsidRPr="00D51194">
                    <w:rPr>
                      <w:color w:val="000000"/>
                      <w:szCs w:val="24"/>
                    </w:rPr>
                    <w:t>9-12</w:t>
                  </w:r>
                </w:p>
              </w:tc>
              <w:tc>
                <w:tcPr>
                  <w:tcW w:w="1760" w:type="dxa"/>
                  <w:tcBorders>
                    <w:top w:val="nil"/>
                    <w:left w:val="nil"/>
                    <w:bottom w:val="single" w:sz="8" w:space="0" w:color="auto"/>
                    <w:right w:val="single" w:sz="8" w:space="0" w:color="auto"/>
                  </w:tcBorders>
                </w:tcPr>
                <w:p w:rsidR="00662189" w:rsidRPr="00D51194" w:rsidRDefault="00915F52" w:rsidP="005A6AC6">
                  <w:pPr>
                    <w:rPr>
                      <w:color w:val="000000"/>
                      <w:szCs w:val="24"/>
                    </w:rPr>
                  </w:pPr>
                  <w:r w:rsidRPr="00D51194">
                    <w:rPr>
                      <w:color w:val="000000"/>
                      <w:szCs w:val="24"/>
                    </w:rPr>
                    <w:t xml:space="preserve"> </w:t>
                  </w:r>
                  <w:r w:rsidR="00662189" w:rsidRPr="00D51194">
                    <w:rPr>
                      <w:color w:val="000000"/>
                      <w:szCs w:val="24"/>
                    </w:rPr>
                    <w:t>250</w:t>
                  </w:r>
                </w:p>
              </w:tc>
            </w:tr>
          </w:tbl>
          <w:p w:rsidR="00662189" w:rsidRPr="00D51194" w:rsidRDefault="00662189" w:rsidP="006E3292">
            <w:pPr>
              <w:rPr>
                <w:szCs w:val="24"/>
              </w:rPr>
            </w:pPr>
          </w:p>
          <w:p w:rsidR="00662189" w:rsidRPr="00D51194" w:rsidRDefault="00662189" w:rsidP="006E3292">
            <w:pPr>
              <w:rPr>
                <w:b/>
                <w:szCs w:val="24"/>
              </w:rPr>
            </w:pPr>
            <w:r w:rsidRPr="00D51194">
              <w:rPr>
                <w:b/>
                <w:szCs w:val="24"/>
              </w:rPr>
              <w:t xml:space="preserve">Note: </w:t>
            </w:r>
            <w:r w:rsidRPr="00D51194">
              <w:rPr>
                <w:szCs w:val="24"/>
              </w:rPr>
              <w:t>Applicant group is the Board of Trustees of the Phoenix Charter Academy (PCA), a regional Commonwealth charter school opened in 2007. The existing PCA serves Chelsea, Everett, Lynn, and Revere students in grades 9-12 with a maximum enrollment of 225.</w:t>
            </w:r>
            <w:r w:rsidR="004E5696" w:rsidRPr="00D51194">
              <w:rPr>
                <w:szCs w:val="24"/>
              </w:rPr>
              <w:t xml:space="preserve"> The applicant also is under </w:t>
            </w:r>
            <w:r w:rsidR="000D3C58" w:rsidRPr="00D51194">
              <w:rPr>
                <w:szCs w:val="24"/>
              </w:rPr>
              <w:t xml:space="preserve">a three year </w:t>
            </w:r>
            <w:r w:rsidR="004E5696" w:rsidRPr="00D51194">
              <w:rPr>
                <w:szCs w:val="24"/>
              </w:rPr>
              <w:t>contract with the Lawrence receivership to manage and operate the Phoenix Academy Lawrence, a district high school which is a replication of the model in Chelsea.</w:t>
            </w:r>
          </w:p>
          <w:p w:rsidR="00662189" w:rsidRPr="00D51194" w:rsidRDefault="00662189" w:rsidP="006E3292">
            <w:pPr>
              <w:rPr>
                <w:szCs w:val="24"/>
              </w:rPr>
            </w:pPr>
          </w:p>
        </w:tc>
      </w:tr>
      <w:tr w:rsidR="00662189" w:rsidRPr="00D51194" w:rsidTr="00C14CF7">
        <w:trPr>
          <w:trHeight w:val="1025"/>
        </w:trPr>
        <w:tc>
          <w:tcPr>
            <w:tcW w:w="8856" w:type="dxa"/>
            <w:gridSpan w:val="3"/>
          </w:tcPr>
          <w:p w:rsidR="00662189" w:rsidRPr="00D51194" w:rsidRDefault="00662189" w:rsidP="00FA5198">
            <w:pPr>
              <w:jc w:val="center"/>
              <w:rPr>
                <w:b/>
                <w:szCs w:val="24"/>
              </w:rPr>
            </w:pPr>
            <w:r w:rsidRPr="00D51194">
              <w:rPr>
                <w:b/>
                <w:szCs w:val="24"/>
              </w:rPr>
              <w:lastRenderedPageBreak/>
              <w:t>Mission, Vision, and Description of the Community(</w:t>
            </w:r>
            <w:proofErr w:type="spellStart"/>
            <w:r w:rsidRPr="00D51194">
              <w:rPr>
                <w:b/>
                <w:szCs w:val="24"/>
              </w:rPr>
              <w:t>ies</w:t>
            </w:r>
            <w:proofErr w:type="spellEnd"/>
            <w:r w:rsidRPr="00D51194">
              <w:rPr>
                <w:b/>
                <w:szCs w:val="24"/>
              </w:rPr>
              <w:t>) to Be Served</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7F274F">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9365F0" w:rsidRPr="009365F0" w:rsidRDefault="009365F0" w:rsidP="007F274F">
                  <w:pPr>
                    <w:pStyle w:val="ListParagraph"/>
                    <w:numPr>
                      <w:ilvl w:val="0"/>
                      <w:numId w:val="20"/>
                    </w:numPr>
                    <w:spacing w:line="240" w:lineRule="auto"/>
                    <w:rPr>
                      <w:rFonts w:ascii="Times New Roman" w:hAnsi="Times New Roman"/>
                      <w:sz w:val="24"/>
                      <w:szCs w:val="24"/>
                    </w:rPr>
                  </w:pPr>
                  <w:r w:rsidRPr="009365F0">
                    <w:rPr>
                      <w:rFonts w:ascii="Times New Roman" w:hAnsi="Times New Roman"/>
                      <w:sz w:val="24"/>
                      <w:szCs w:val="24"/>
                    </w:rPr>
                    <w:t>The proposed school is a replication of the existing Phoenix model. The mission statement addresses all of the required criteria, including its continued reflection throughout all sections of the application. (Section I.A.)</w:t>
                  </w:r>
                </w:p>
                <w:p w:rsidR="009365F0" w:rsidRPr="009365F0" w:rsidRDefault="009365F0" w:rsidP="007F274F">
                  <w:pPr>
                    <w:pStyle w:val="ListParagraph"/>
                    <w:numPr>
                      <w:ilvl w:val="0"/>
                      <w:numId w:val="20"/>
                    </w:numPr>
                    <w:spacing w:line="240" w:lineRule="auto"/>
                    <w:rPr>
                      <w:rFonts w:ascii="Times New Roman" w:hAnsi="Times New Roman"/>
                      <w:sz w:val="24"/>
                      <w:szCs w:val="24"/>
                    </w:rPr>
                  </w:pPr>
                  <w:r w:rsidRPr="009365F0">
                    <w:rPr>
                      <w:rFonts w:ascii="Times New Roman" w:hAnsi="Times New Roman"/>
                      <w:sz w:val="24"/>
                      <w:szCs w:val="24"/>
                    </w:rPr>
                    <w:t>The vision statement provides a compelling image of the proposed school’s future as well as a strong impact statement for stakeholders. (Section I.B.)</w:t>
                  </w:r>
                </w:p>
                <w:p w:rsidR="009365F0" w:rsidRPr="009365F0" w:rsidRDefault="009365F0" w:rsidP="007F274F">
                  <w:pPr>
                    <w:pStyle w:val="ListParagraph"/>
                    <w:numPr>
                      <w:ilvl w:val="0"/>
                      <w:numId w:val="20"/>
                    </w:numPr>
                    <w:spacing w:line="240" w:lineRule="auto"/>
                    <w:rPr>
                      <w:rFonts w:ascii="Times New Roman" w:hAnsi="Times New Roman"/>
                      <w:sz w:val="24"/>
                      <w:szCs w:val="24"/>
                    </w:rPr>
                  </w:pPr>
                  <w:r w:rsidRPr="009365F0">
                    <w:rPr>
                      <w:rFonts w:ascii="Times New Roman" w:hAnsi="Times New Roman"/>
                      <w:sz w:val="24"/>
                      <w:szCs w:val="24"/>
                    </w:rPr>
                    <w:t>Within the application and during the interview, the applicant group provided compelling information about the needs of the three targeted communities and the group’s commitment to serving the targeted student population that has struggled in other public school settings. (Section I.C.)</w:t>
                  </w:r>
                </w:p>
                <w:p w:rsidR="00033010" w:rsidRPr="00D51194" w:rsidRDefault="009365F0" w:rsidP="007F274F">
                  <w:pPr>
                    <w:pStyle w:val="ListParagraph"/>
                    <w:numPr>
                      <w:ilvl w:val="0"/>
                      <w:numId w:val="20"/>
                    </w:numPr>
                    <w:spacing w:line="240" w:lineRule="auto"/>
                  </w:pPr>
                  <w:r w:rsidRPr="009365F0">
                    <w:rPr>
                      <w:rFonts w:ascii="Times New Roman" w:hAnsi="Times New Roman"/>
                      <w:sz w:val="24"/>
                      <w:szCs w:val="24"/>
                    </w:rPr>
                    <w:t xml:space="preserve">This charter application received letters and/or written testimony in support during the public hearing and public comment process, and included support letters within the application, including a letter of support from Commissioner Edward Dolan of the Department of Youth Services. See public comment and application. (Section I.C.) </w:t>
                  </w:r>
                </w:p>
              </w:tc>
              <w:tc>
                <w:tcPr>
                  <w:tcW w:w="4313" w:type="dxa"/>
                </w:tcPr>
                <w:p w:rsidR="00662189" w:rsidRPr="00D51194" w:rsidRDefault="00B01F66" w:rsidP="00383404">
                  <w:pPr>
                    <w:widowControl/>
                    <w:numPr>
                      <w:ilvl w:val="0"/>
                      <w:numId w:val="11"/>
                    </w:numPr>
                    <w:snapToGrid/>
                    <w:spacing w:before="40" w:after="100" w:afterAutospacing="1"/>
                    <w:rPr>
                      <w:szCs w:val="24"/>
                    </w:rPr>
                  </w:pPr>
                  <w:r w:rsidRPr="00D51194">
                    <w:rPr>
                      <w:szCs w:val="24"/>
                    </w:rPr>
                    <w:t>None identified.</w:t>
                  </w:r>
                </w:p>
              </w:tc>
            </w:tr>
          </w:tbl>
          <w:p w:rsidR="00662189" w:rsidRPr="00D51194" w:rsidRDefault="00662189" w:rsidP="00393D8E">
            <w:pPr>
              <w:ind w:left="360"/>
              <w:rPr>
                <w:szCs w:val="24"/>
              </w:rPr>
            </w:pPr>
          </w:p>
        </w:tc>
      </w:tr>
      <w:tr w:rsidR="00662189" w:rsidRPr="00D51194" w:rsidTr="00DD63D0">
        <w:trPr>
          <w:trHeight w:val="278"/>
        </w:trPr>
        <w:tc>
          <w:tcPr>
            <w:tcW w:w="8856" w:type="dxa"/>
            <w:gridSpan w:val="3"/>
          </w:tcPr>
          <w:p w:rsidR="00662189" w:rsidRPr="00D51194" w:rsidRDefault="00662189" w:rsidP="00A811C5">
            <w:pPr>
              <w:jc w:val="center"/>
              <w:rPr>
                <w:b/>
                <w:szCs w:val="24"/>
              </w:rPr>
            </w:pPr>
            <w:r w:rsidRPr="00D51194">
              <w:rPr>
                <w:b/>
                <w:szCs w:val="24"/>
              </w:rPr>
              <w:t>Educational Philosophy, Curriculum and Instruction</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B93844" w:rsidRPr="00D51194" w:rsidRDefault="00B93844" w:rsidP="0016392E">
                  <w:pPr>
                    <w:widowControl/>
                    <w:numPr>
                      <w:ilvl w:val="0"/>
                      <w:numId w:val="8"/>
                    </w:numPr>
                    <w:snapToGrid/>
                    <w:spacing w:before="40"/>
                    <w:rPr>
                      <w:szCs w:val="24"/>
                    </w:rPr>
                  </w:pPr>
                  <w:r w:rsidRPr="00D51194">
                    <w:rPr>
                      <w:szCs w:val="24"/>
                    </w:rPr>
                    <w:t xml:space="preserve">The educational philosophy describes the group’s core beliefs and values about education in alignment with the mission and vision. These beliefs </w:t>
                  </w:r>
                  <w:r w:rsidR="001D4B16" w:rsidRPr="00D51194">
                    <w:rPr>
                      <w:szCs w:val="24"/>
                    </w:rPr>
                    <w:t xml:space="preserve">about student success emphasize </w:t>
                  </w:r>
                  <w:r w:rsidRPr="00D51194">
                    <w:rPr>
                      <w:szCs w:val="24"/>
                    </w:rPr>
                    <w:t>strong relationships, individualized interventions</w:t>
                  </w:r>
                  <w:r w:rsidR="001D4B16" w:rsidRPr="00D51194">
                    <w:rPr>
                      <w:szCs w:val="24"/>
                    </w:rPr>
                    <w:t>,</w:t>
                  </w:r>
                  <w:r w:rsidRPr="00D51194">
                    <w:rPr>
                      <w:szCs w:val="24"/>
                    </w:rPr>
                    <w:t xml:space="preserve"> and high expectations for all students. (Section II.A.)</w:t>
                  </w:r>
                </w:p>
                <w:p w:rsidR="00052888" w:rsidRPr="00D51194" w:rsidRDefault="00052888" w:rsidP="00052888">
                  <w:pPr>
                    <w:widowControl/>
                    <w:numPr>
                      <w:ilvl w:val="0"/>
                      <w:numId w:val="8"/>
                    </w:numPr>
                    <w:snapToGrid/>
                    <w:spacing w:before="40"/>
                    <w:rPr>
                      <w:szCs w:val="24"/>
                    </w:rPr>
                  </w:pPr>
                  <w:r w:rsidRPr="00D51194">
                    <w:rPr>
                      <w:szCs w:val="24"/>
                    </w:rPr>
                    <w:lastRenderedPageBreak/>
                    <w:t xml:space="preserve">The application contains a meaningful discussion of the changes made to the educational program over the course of the existing charter school’s </w:t>
                  </w:r>
                  <w:r w:rsidR="00B86DD0" w:rsidRPr="00D51194">
                    <w:rPr>
                      <w:szCs w:val="24"/>
                    </w:rPr>
                    <w:t xml:space="preserve"> </w:t>
                  </w:r>
                  <w:r w:rsidRPr="00D51194">
                    <w:rPr>
                      <w:szCs w:val="24"/>
                    </w:rPr>
                    <w:t xml:space="preserve"> term. The applicant group provided evidence of an embedded reflective practice that</w:t>
                  </w:r>
                  <w:r w:rsidR="00B86DD0" w:rsidRPr="00D51194">
                    <w:rPr>
                      <w:szCs w:val="24"/>
                    </w:rPr>
                    <w:t xml:space="preserve"> involves stakeholders and permeates</w:t>
                  </w:r>
                  <w:r w:rsidRPr="00D51194">
                    <w:rPr>
                      <w:szCs w:val="24"/>
                    </w:rPr>
                    <w:t xml:space="preserve"> the decision-making at the existing school. (Section II.B.)</w:t>
                  </w:r>
                </w:p>
                <w:p w:rsidR="00662189" w:rsidRPr="00D51194" w:rsidRDefault="001E73AA" w:rsidP="003D036E">
                  <w:pPr>
                    <w:widowControl/>
                    <w:numPr>
                      <w:ilvl w:val="0"/>
                      <w:numId w:val="8"/>
                    </w:numPr>
                    <w:snapToGrid/>
                    <w:spacing w:before="40"/>
                    <w:rPr>
                      <w:szCs w:val="24"/>
                    </w:rPr>
                  </w:pPr>
                  <w:r w:rsidRPr="00D51194">
                    <w:rPr>
                      <w:szCs w:val="24"/>
                    </w:rPr>
                    <w:t>During the interview, the applicant group emphasized the ability to transfer</w:t>
                  </w:r>
                  <w:r w:rsidR="00681652" w:rsidRPr="00D51194">
                    <w:rPr>
                      <w:szCs w:val="24"/>
                    </w:rPr>
                    <w:t xml:space="preserve"> knowledge</w:t>
                  </w:r>
                  <w:r w:rsidRPr="00D51194">
                    <w:rPr>
                      <w:szCs w:val="24"/>
                    </w:rPr>
                    <w:t xml:space="preserve"> </w:t>
                  </w:r>
                  <w:r w:rsidR="00DD63D0" w:rsidRPr="00D51194">
                    <w:rPr>
                      <w:szCs w:val="24"/>
                    </w:rPr>
                    <w:t xml:space="preserve">and </w:t>
                  </w:r>
                  <w:r w:rsidRPr="00D51194">
                    <w:rPr>
                      <w:szCs w:val="24"/>
                    </w:rPr>
                    <w:t>implement successfully</w:t>
                  </w:r>
                  <w:r w:rsidR="00DD63D0" w:rsidRPr="00D51194">
                    <w:rPr>
                      <w:szCs w:val="24"/>
                    </w:rPr>
                    <w:t xml:space="preserve"> at a new school</w:t>
                  </w:r>
                  <w:r w:rsidRPr="00D51194">
                    <w:rPr>
                      <w:szCs w:val="24"/>
                    </w:rPr>
                    <w:t xml:space="preserve"> through the strength</w:t>
                  </w:r>
                  <w:r w:rsidR="00DD63D0" w:rsidRPr="00D51194">
                    <w:rPr>
                      <w:szCs w:val="24"/>
                    </w:rPr>
                    <w:t xml:space="preserve"> of the educational model and</w:t>
                  </w:r>
                  <w:r w:rsidRPr="00D51194">
                    <w:rPr>
                      <w:szCs w:val="24"/>
                    </w:rPr>
                    <w:t xml:space="preserve"> the committed staff. </w:t>
                  </w:r>
                  <w:r w:rsidR="00DD63D0" w:rsidRPr="00D51194">
                    <w:rPr>
                      <w:szCs w:val="24"/>
                    </w:rPr>
                    <w:t xml:space="preserve">The applicant group referenced the </w:t>
                  </w:r>
                  <w:r w:rsidR="007A6F9A" w:rsidRPr="00D51194">
                    <w:rPr>
                      <w:szCs w:val="24"/>
                    </w:rPr>
                    <w:t>first year of work</w:t>
                  </w:r>
                  <w:r w:rsidR="00DD63D0" w:rsidRPr="00D51194">
                    <w:rPr>
                      <w:szCs w:val="24"/>
                    </w:rPr>
                    <w:t xml:space="preserve"> in Lawrence under the receivership, </w:t>
                  </w:r>
                  <w:r w:rsidR="007A6F9A" w:rsidRPr="00D51194">
                    <w:rPr>
                      <w:szCs w:val="24"/>
                    </w:rPr>
                    <w:t>to support</w:t>
                  </w:r>
                  <w:r w:rsidR="00DD63D0" w:rsidRPr="00D51194">
                    <w:rPr>
                      <w:szCs w:val="24"/>
                    </w:rPr>
                    <w:t xml:space="preserve"> the </w:t>
                  </w:r>
                  <w:r w:rsidR="007A6F9A" w:rsidRPr="00D51194">
                    <w:rPr>
                      <w:szCs w:val="24"/>
                    </w:rPr>
                    <w:t xml:space="preserve">ability to </w:t>
                  </w:r>
                  <w:r w:rsidR="00DD63D0" w:rsidRPr="00D51194">
                    <w:rPr>
                      <w:szCs w:val="24"/>
                    </w:rPr>
                    <w:t xml:space="preserve">transfer their model to a new city. </w:t>
                  </w:r>
                  <w:r w:rsidRPr="00D51194">
                    <w:rPr>
                      <w:szCs w:val="24"/>
                    </w:rPr>
                    <w:t xml:space="preserve">(Section </w:t>
                  </w:r>
                  <w:r w:rsidR="00782432" w:rsidRPr="00D51194">
                    <w:rPr>
                      <w:szCs w:val="24"/>
                    </w:rPr>
                    <w:t>II.B.)</w:t>
                  </w:r>
                </w:p>
                <w:p w:rsidR="00782432" w:rsidRPr="00D51194" w:rsidRDefault="00782432" w:rsidP="00782432">
                  <w:pPr>
                    <w:widowControl/>
                    <w:snapToGrid/>
                    <w:spacing w:before="40"/>
                    <w:ind w:left="360"/>
                    <w:rPr>
                      <w:szCs w:val="24"/>
                    </w:rPr>
                  </w:pPr>
                </w:p>
              </w:tc>
              <w:tc>
                <w:tcPr>
                  <w:tcW w:w="4313" w:type="dxa"/>
                </w:tcPr>
                <w:p w:rsidR="00662189" w:rsidRPr="00D51194" w:rsidRDefault="00B01F66" w:rsidP="000F000D">
                  <w:pPr>
                    <w:widowControl/>
                    <w:numPr>
                      <w:ilvl w:val="0"/>
                      <w:numId w:val="9"/>
                    </w:numPr>
                    <w:snapToGrid/>
                    <w:spacing w:before="40"/>
                    <w:rPr>
                      <w:szCs w:val="24"/>
                    </w:rPr>
                  </w:pPr>
                  <w:r w:rsidRPr="00D51194">
                    <w:rPr>
                      <w:szCs w:val="24"/>
                    </w:rPr>
                    <w:lastRenderedPageBreak/>
                    <w:t>None identified.</w:t>
                  </w:r>
                </w:p>
              </w:tc>
            </w:tr>
          </w:tbl>
          <w:p w:rsidR="00662189" w:rsidRPr="00D51194" w:rsidRDefault="00662189" w:rsidP="00352BC3">
            <w:pPr>
              <w:rPr>
                <w:b/>
                <w:szCs w:val="24"/>
              </w:rPr>
            </w:pPr>
          </w:p>
        </w:tc>
      </w:tr>
      <w:tr w:rsidR="00662189" w:rsidRPr="00D51194" w:rsidTr="00476E36">
        <w:trPr>
          <w:trHeight w:val="548"/>
        </w:trPr>
        <w:tc>
          <w:tcPr>
            <w:tcW w:w="8856" w:type="dxa"/>
            <w:gridSpan w:val="3"/>
          </w:tcPr>
          <w:p w:rsidR="00662189" w:rsidRPr="00D51194" w:rsidRDefault="00662189" w:rsidP="00A811C5">
            <w:pPr>
              <w:jc w:val="center"/>
              <w:rPr>
                <w:b/>
                <w:szCs w:val="24"/>
              </w:rPr>
            </w:pPr>
            <w:r w:rsidRPr="00D51194">
              <w:rPr>
                <w:b/>
                <w:szCs w:val="24"/>
              </w:rPr>
              <w:lastRenderedPageBreak/>
              <w:t>Assessment System, Performance, Promotion, and Graduation Standards</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EB7322" w:rsidP="00051BBA">
                  <w:pPr>
                    <w:widowControl/>
                    <w:numPr>
                      <w:ilvl w:val="0"/>
                      <w:numId w:val="8"/>
                    </w:numPr>
                    <w:snapToGrid/>
                    <w:spacing w:before="40" w:after="100" w:afterAutospacing="1"/>
                    <w:rPr>
                      <w:szCs w:val="24"/>
                    </w:rPr>
                  </w:pPr>
                  <w:r w:rsidRPr="00D51194">
                    <w:rPr>
                      <w:szCs w:val="24"/>
                    </w:rPr>
                    <w:t>The performance, promotion, and graduation standards are based on high expectations, and are aligned with the proposed school’</w:t>
                  </w:r>
                  <w:r w:rsidR="00110597" w:rsidRPr="00D51194">
                    <w:rPr>
                      <w:szCs w:val="24"/>
                    </w:rPr>
                    <w:t xml:space="preserve">s mission and </w:t>
                  </w:r>
                  <w:r w:rsidRPr="00D51194">
                    <w:rPr>
                      <w:szCs w:val="24"/>
                    </w:rPr>
                    <w:t xml:space="preserve">educational program. </w:t>
                  </w:r>
                  <w:r w:rsidR="002A376B" w:rsidRPr="00D51194">
                    <w:rPr>
                      <w:szCs w:val="24"/>
                    </w:rPr>
                    <w:t>(Section II.C.)</w:t>
                  </w:r>
                </w:p>
                <w:p w:rsidR="002A376B" w:rsidRPr="00D51194" w:rsidRDefault="009212FF" w:rsidP="00613B87">
                  <w:pPr>
                    <w:widowControl/>
                    <w:numPr>
                      <w:ilvl w:val="0"/>
                      <w:numId w:val="8"/>
                    </w:numPr>
                    <w:snapToGrid/>
                    <w:spacing w:before="40" w:after="100" w:afterAutospacing="1"/>
                    <w:rPr>
                      <w:szCs w:val="24"/>
                    </w:rPr>
                  </w:pPr>
                  <w:r w:rsidRPr="00D51194">
                    <w:rPr>
                      <w:szCs w:val="24"/>
                    </w:rPr>
                    <w:t xml:space="preserve">Similar to the curriculum and instruction narrative, the </w:t>
                  </w:r>
                  <w:r w:rsidR="007E16E0" w:rsidRPr="00D51194">
                    <w:rPr>
                      <w:szCs w:val="24"/>
                    </w:rPr>
                    <w:t>application contains</w:t>
                  </w:r>
                  <w:r w:rsidRPr="00D51194">
                    <w:rPr>
                      <w:szCs w:val="24"/>
                    </w:rPr>
                    <w:t xml:space="preserve"> </w:t>
                  </w:r>
                  <w:r w:rsidR="007E16E0" w:rsidRPr="00D51194">
                    <w:rPr>
                      <w:szCs w:val="24"/>
                    </w:rPr>
                    <w:t>a description of</w:t>
                  </w:r>
                  <w:r w:rsidRPr="00D51194">
                    <w:rPr>
                      <w:szCs w:val="24"/>
                    </w:rPr>
                    <w:t xml:space="preserve"> the evolution of the assessment system over time to best provide teachers </w:t>
                  </w:r>
                  <w:r w:rsidR="00613B87" w:rsidRPr="00D51194">
                    <w:rPr>
                      <w:szCs w:val="24"/>
                    </w:rPr>
                    <w:t>relevant</w:t>
                  </w:r>
                  <w:r w:rsidRPr="00D51194">
                    <w:rPr>
                      <w:szCs w:val="24"/>
                    </w:rPr>
                    <w:t xml:space="preserve"> student </w:t>
                  </w:r>
                  <w:r w:rsidR="0079425E" w:rsidRPr="00D51194">
                    <w:rPr>
                      <w:szCs w:val="24"/>
                    </w:rPr>
                    <w:t xml:space="preserve">performance </w:t>
                  </w:r>
                  <w:r w:rsidRPr="00D51194">
                    <w:rPr>
                      <w:szCs w:val="24"/>
                    </w:rPr>
                    <w:t>data to</w:t>
                  </w:r>
                  <w:r w:rsidR="004D727F" w:rsidRPr="00D51194">
                    <w:rPr>
                      <w:szCs w:val="24"/>
                    </w:rPr>
                    <w:t xml:space="preserve"> effectively adapt curriculum</w:t>
                  </w:r>
                  <w:r w:rsidR="0079425E" w:rsidRPr="00D51194">
                    <w:rPr>
                      <w:szCs w:val="24"/>
                    </w:rPr>
                    <w:t xml:space="preserve"> and </w:t>
                  </w:r>
                  <w:r w:rsidR="00CF76D8" w:rsidRPr="00D51194">
                    <w:rPr>
                      <w:szCs w:val="24"/>
                    </w:rPr>
                    <w:t>instruction</w:t>
                  </w:r>
                  <w:r w:rsidRPr="00D51194">
                    <w:rPr>
                      <w:szCs w:val="24"/>
                    </w:rPr>
                    <w:t>. (Section II.D.)</w:t>
                  </w:r>
                </w:p>
              </w:tc>
              <w:tc>
                <w:tcPr>
                  <w:tcW w:w="4313" w:type="dxa"/>
                </w:tcPr>
                <w:p w:rsidR="00662189" w:rsidRPr="00D51194" w:rsidRDefault="00B01F66" w:rsidP="00101D7F">
                  <w:pPr>
                    <w:widowControl/>
                    <w:numPr>
                      <w:ilvl w:val="0"/>
                      <w:numId w:val="7"/>
                    </w:numPr>
                    <w:snapToGrid/>
                    <w:spacing w:before="40"/>
                    <w:rPr>
                      <w:szCs w:val="24"/>
                    </w:rPr>
                  </w:pPr>
                  <w:r w:rsidRPr="00D51194">
                    <w:rPr>
                      <w:bCs/>
                      <w:szCs w:val="24"/>
                    </w:rPr>
                    <w:t>None identified.</w:t>
                  </w:r>
                  <w:r w:rsidR="00662189" w:rsidRPr="00D51194">
                    <w:rPr>
                      <w:bCs/>
                      <w:szCs w:val="24"/>
                    </w:rPr>
                    <w:t xml:space="preserve"> </w:t>
                  </w:r>
                </w:p>
              </w:tc>
            </w:tr>
          </w:tbl>
          <w:p w:rsidR="00662189" w:rsidRPr="00D51194" w:rsidRDefault="00662189" w:rsidP="00352BC3">
            <w:pPr>
              <w:rPr>
                <w:b/>
                <w:szCs w:val="24"/>
              </w:rPr>
            </w:pPr>
          </w:p>
        </w:tc>
      </w:tr>
      <w:tr w:rsidR="00662189" w:rsidRPr="00D51194" w:rsidTr="00352BC3">
        <w:trPr>
          <w:trHeight w:val="1025"/>
        </w:trPr>
        <w:tc>
          <w:tcPr>
            <w:tcW w:w="8856" w:type="dxa"/>
            <w:gridSpan w:val="3"/>
          </w:tcPr>
          <w:p w:rsidR="00662189" w:rsidRPr="00D51194" w:rsidRDefault="00662189" w:rsidP="00A811C5">
            <w:pPr>
              <w:jc w:val="center"/>
              <w:rPr>
                <w:b/>
                <w:szCs w:val="24"/>
              </w:rPr>
            </w:pPr>
            <w:r w:rsidRPr="00D51194">
              <w:rPr>
                <w:b/>
                <w:szCs w:val="24"/>
              </w:rPr>
              <w:t>School Characteristics</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F30BFE" w:rsidP="000F000D">
                  <w:pPr>
                    <w:widowControl/>
                    <w:numPr>
                      <w:ilvl w:val="0"/>
                      <w:numId w:val="7"/>
                    </w:numPr>
                    <w:snapToGrid/>
                    <w:rPr>
                      <w:szCs w:val="24"/>
                    </w:rPr>
                  </w:pPr>
                  <w:r w:rsidRPr="00D51194">
                    <w:rPr>
                      <w:szCs w:val="24"/>
                    </w:rPr>
                    <w:t xml:space="preserve">The application provides a clear plan for establishing a school culture and norms consistent with the proposed school’s mission, educational </w:t>
                  </w:r>
                  <w:r w:rsidRPr="00D51194">
                    <w:rPr>
                      <w:szCs w:val="24"/>
                    </w:rPr>
                    <w:lastRenderedPageBreak/>
                    <w:t>philosophy, and educational program</w:t>
                  </w:r>
                  <w:r w:rsidR="00257CC9" w:rsidRPr="00D51194">
                    <w:rPr>
                      <w:szCs w:val="24"/>
                    </w:rPr>
                    <w:t>, including community meetings, and advisory</w:t>
                  </w:r>
                  <w:r w:rsidRPr="00D51194">
                    <w:rPr>
                      <w:szCs w:val="24"/>
                    </w:rPr>
                    <w:t>. (Section II.E.)</w:t>
                  </w:r>
                </w:p>
                <w:p w:rsidR="00257CC9" w:rsidRPr="00D51194" w:rsidRDefault="00CF31DE" w:rsidP="00257CC9">
                  <w:pPr>
                    <w:widowControl/>
                    <w:numPr>
                      <w:ilvl w:val="0"/>
                      <w:numId w:val="7"/>
                    </w:numPr>
                    <w:snapToGrid/>
                    <w:rPr>
                      <w:szCs w:val="24"/>
                    </w:rPr>
                  </w:pPr>
                  <w:r w:rsidRPr="00D51194">
                    <w:rPr>
                      <w:szCs w:val="24"/>
                    </w:rPr>
                    <w:t xml:space="preserve">The educational model includes a 190 day school year with extended days to </w:t>
                  </w:r>
                  <w:r w:rsidR="0079425E" w:rsidRPr="00D51194">
                    <w:rPr>
                      <w:szCs w:val="24"/>
                    </w:rPr>
                    <w:t>support</w:t>
                  </w:r>
                  <w:r w:rsidRPr="00D51194">
                    <w:rPr>
                      <w:szCs w:val="24"/>
                    </w:rPr>
                    <w:t xml:space="preserve"> student success and high school graduation.</w:t>
                  </w:r>
                  <w:r w:rsidR="00257CC9" w:rsidRPr="00D51194">
                    <w:rPr>
                      <w:szCs w:val="24"/>
                    </w:rPr>
                    <w:t xml:space="preserve"> (Section II.E.)</w:t>
                  </w:r>
                </w:p>
                <w:p w:rsidR="00F30BFE" w:rsidRPr="00D51194" w:rsidRDefault="00257CC9" w:rsidP="000F000D">
                  <w:pPr>
                    <w:widowControl/>
                    <w:numPr>
                      <w:ilvl w:val="0"/>
                      <w:numId w:val="7"/>
                    </w:numPr>
                    <w:snapToGrid/>
                    <w:rPr>
                      <w:szCs w:val="24"/>
                    </w:rPr>
                  </w:pPr>
                  <w:r w:rsidRPr="00D51194">
                    <w:rPr>
                      <w:szCs w:val="24"/>
                    </w:rPr>
                    <w:t>The proposed school provides targeted supports for the anticipated student population, including an onsite child care center for parenting teens</w:t>
                  </w:r>
                  <w:r w:rsidR="00DC395E" w:rsidRPr="00D51194">
                    <w:rPr>
                      <w:szCs w:val="24"/>
                    </w:rPr>
                    <w:t>,</w:t>
                  </w:r>
                  <w:r w:rsidRPr="00D51194">
                    <w:rPr>
                      <w:szCs w:val="24"/>
                    </w:rPr>
                    <w:t xml:space="preserve"> and a student support center with dedicated staff. </w:t>
                  </w:r>
                  <w:r w:rsidR="00CF31DE" w:rsidRPr="00D51194">
                    <w:rPr>
                      <w:szCs w:val="24"/>
                    </w:rPr>
                    <w:t>(Section II.E.)</w:t>
                  </w:r>
                </w:p>
                <w:p w:rsidR="00CF31DE" w:rsidRPr="00D51194" w:rsidRDefault="00CF31DE" w:rsidP="00DC395E">
                  <w:pPr>
                    <w:widowControl/>
                    <w:snapToGrid/>
                    <w:ind w:left="360"/>
                    <w:rPr>
                      <w:szCs w:val="24"/>
                    </w:rPr>
                  </w:pPr>
                </w:p>
              </w:tc>
              <w:tc>
                <w:tcPr>
                  <w:tcW w:w="4313" w:type="dxa"/>
                </w:tcPr>
                <w:p w:rsidR="00662189" w:rsidRPr="00D51194" w:rsidRDefault="00B01F66" w:rsidP="000F000D">
                  <w:pPr>
                    <w:widowControl/>
                    <w:numPr>
                      <w:ilvl w:val="0"/>
                      <w:numId w:val="10"/>
                    </w:numPr>
                    <w:snapToGrid/>
                    <w:rPr>
                      <w:szCs w:val="24"/>
                    </w:rPr>
                  </w:pPr>
                  <w:r w:rsidRPr="00D51194">
                    <w:rPr>
                      <w:szCs w:val="24"/>
                    </w:rPr>
                    <w:lastRenderedPageBreak/>
                    <w:t>None identified.</w:t>
                  </w:r>
                </w:p>
              </w:tc>
            </w:tr>
          </w:tbl>
          <w:p w:rsidR="00662189" w:rsidRPr="00D51194" w:rsidRDefault="00662189" w:rsidP="00352BC3">
            <w:pPr>
              <w:rPr>
                <w:b/>
                <w:szCs w:val="24"/>
              </w:rPr>
            </w:pPr>
          </w:p>
        </w:tc>
      </w:tr>
      <w:tr w:rsidR="00662189" w:rsidRPr="00D51194" w:rsidTr="004D4F9E">
        <w:trPr>
          <w:trHeight w:val="368"/>
        </w:trPr>
        <w:tc>
          <w:tcPr>
            <w:tcW w:w="8856" w:type="dxa"/>
            <w:gridSpan w:val="3"/>
          </w:tcPr>
          <w:p w:rsidR="00662189" w:rsidRPr="00D51194" w:rsidRDefault="007C2EE6" w:rsidP="00A811C5">
            <w:pPr>
              <w:jc w:val="center"/>
              <w:rPr>
                <w:b/>
                <w:szCs w:val="24"/>
              </w:rPr>
            </w:pPr>
            <w:r w:rsidRPr="00D51194">
              <w:rPr>
                <w:szCs w:val="24"/>
              </w:rPr>
              <w:lastRenderedPageBreak/>
              <w:br w:type="page"/>
            </w:r>
            <w:r w:rsidR="00662189" w:rsidRPr="00D51194">
              <w:rPr>
                <w:szCs w:val="24"/>
              </w:rPr>
              <w:br w:type="page"/>
            </w:r>
            <w:r w:rsidR="00662189" w:rsidRPr="00D51194">
              <w:rPr>
                <w:b/>
                <w:szCs w:val="24"/>
              </w:rPr>
              <w:t>Special Student Populations and Student Services</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4D4F9E" w:rsidP="004D4F9E">
                  <w:pPr>
                    <w:widowControl/>
                    <w:numPr>
                      <w:ilvl w:val="0"/>
                      <w:numId w:val="7"/>
                    </w:numPr>
                    <w:snapToGrid/>
                    <w:spacing w:before="40" w:after="100" w:afterAutospacing="1"/>
                    <w:rPr>
                      <w:szCs w:val="24"/>
                    </w:rPr>
                  </w:pPr>
                  <w:r w:rsidRPr="00D51194">
                    <w:rPr>
                      <w:szCs w:val="24"/>
                    </w:rPr>
                    <w:t>The application provided clear evidence of knowledge regarding program requirements for special education and English language development (ELD) programs. (Section II.F.)</w:t>
                  </w:r>
                </w:p>
              </w:tc>
              <w:tc>
                <w:tcPr>
                  <w:tcW w:w="4313" w:type="dxa"/>
                </w:tcPr>
                <w:p w:rsidR="00662189" w:rsidRPr="00D51194" w:rsidRDefault="00216DCB" w:rsidP="00F5200D">
                  <w:pPr>
                    <w:widowControl/>
                    <w:numPr>
                      <w:ilvl w:val="0"/>
                      <w:numId w:val="7"/>
                    </w:numPr>
                    <w:snapToGrid/>
                    <w:spacing w:before="40" w:after="100" w:afterAutospacing="1"/>
                    <w:rPr>
                      <w:szCs w:val="24"/>
                    </w:rPr>
                  </w:pPr>
                  <w:r w:rsidRPr="00D51194">
                    <w:rPr>
                      <w:szCs w:val="24"/>
                    </w:rPr>
                    <w:t xml:space="preserve">The application does not provide a description of how the special education program or the English language development program will be evaluated. </w:t>
                  </w:r>
                  <w:r w:rsidR="00F5200D" w:rsidRPr="00D51194">
                    <w:rPr>
                      <w:szCs w:val="24"/>
                    </w:rPr>
                    <w:t>(Section II.F.)</w:t>
                  </w:r>
                </w:p>
              </w:tc>
            </w:tr>
          </w:tbl>
          <w:p w:rsidR="00662189" w:rsidRPr="00D51194" w:rsidRDefault="00662189" w:rsidP="00352BC3">
            <w:pPr>
              <w:rPr>
                <w:b/>
                <w:szCs w:val="24"/>
              </w:rPr>
            </w:pPr>
          </w:p>
        </w:tc>
      </w:tr>
      <w:tr w:rsidR="00662189" w:rsidRPr="00D51194" w:rsidTr="00352BC3">
        <w:trPr>
          <w:trHeight w:val="1025"/>
        </w:trPr>
        <w:tc>
          <w:tcPr>
            <w:tcW w:w="8856" w:type="dxa"/>
            <w:gridSpan w:val="3"/>
          </w:tcPr>
          <w:p w:rsidR="00662189" w:rsidRPr="00D51194" w:rsidRDefault="00662189" w:rsidP="00A811C5">
            <w:pPr>
              <w:jc w:val="center"/>
              <w:rPr>
                <w:b/>
                <w:szCs w:val="24"/>
              </w:rPr>
            </w:pPr>
            <w:r w:rsidRPr="00D51194">
              <w:rPr>
                <w:b/>
                <w:szCs w:val="24"/>
              </w:rPr>
              <w:t>Enrollment and Recruitment</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EE396D" w:rsidRPr="00D51194" w:rsidRDefault="004D4F9E" w:rsidP="006524EC">
                  <w:pPr>
                    <w:widowControl/>
                    <w:numPr>
                      <w:ilvl w:val="0"/>
                      <w:numId w:val="7"/>
                    </w:numPr>
                    <w:snapToGrid/>
                    <w:spacing w:before="40" w:after="100" w:afterAutospacing="1"/>
                    <w:rPr>
                      <w:szCs w:val="24"/>
                    </w:rPr>
                  </w:pPr>
                  <w:r w:rsidRPr="00D51194">
                    <w:rPr>
                      <w:szCs w:val="24"/>
                    </w:rPr>
                    <w:t>In alignment with the mission and re-engagement of the targeted student population, the proposed school provides five opportunities during the school year for new students to enter the program. (Section III.A.)</w:t>
                  </w:r>
                </w:p>
                <w:p w:rsidR="006524EC" w:rsidRPr="00D51194" w:rsidRDefault="006524EC" w:rsidP="006524EC">
                  <w:pPr>
                    <w:widowControl/>
                    <w:snapToGrid/>
                    <w:spacing w:before="40" w:after="100" w:afterAutospacing="1"/>
                    <w:ind w:left="360"/>
                    <w:rPr>
                      <w:szCs w:val="24"/>
                    </w:rPr>
                  </w:pPr>
                </w:p>
              </w:tc>
              <w:tc>
                <w:tcPr>
                  <w:tcW w:w="4313" w:type="dxa"/>
                </w:tcPr>
                <w:p w:rsidR="00662189" w:rsidRPr="00D51194" w:rsidRDefault="00B01F66" w:rsidP="00EB6E7C">
                  <w:pPr>
                    <w:widowControl/>
                    <w:numPr>
                      <w:ilvl w:val="0"/>
                      <w:numId w:val="7"/>
                    </w:numPr>
                    <w:snapToGrid/>
                    <w:spacing w:before="40" w:after="100" w:afterAutospacing="1"/>
                    <w:rPr>
                      <w:szCs w:val="24"/>
                    </w:rPr>
                  </w:pPr>
                  <w:r w:rsidRPr="00D51194">
                    <w:rPr>
                      <w:szCs w:val="24"/>
                    </w:rPr>
                    <w:t>None identified.</w:t>
                  </w:r>
                </w:p>
              </w:tc>
            </w:tr>
          </w:tbl>
          <w:p w:rsidR="00662189" w:rsidRPr="00D51194" w:rsidRDefault="00662189" w:rsidP="00352BC3">
            <w:pPr>
              <w:rPr>
                <w:b/>
                <w:szCs w:val="24"/>
              </w:rPr>
            </w:pPr>
          </w:p>
        </w:tc>
      </w:tr>
      <w:tr w:rsidR="00662189" w:rsidRPr="00D51194" w:rsidTr="00476E36">
        <w:trPr>
          <w:trHeight w:val="548"/>
        </w:trPr>
        <w:tc>
          <w:tcPr>
            <w:tcW w:w="8856" w:type="dxa"/>
            <w:gridSpan w:val="3"/>
          </w:tcPr>
          <w:p w:rsidR="00662189" w:rsidRPr="00D51194" w:rsidRDefault="00662189" w:rsidP="00A811C5">
            <w:pPr>
              <w:jc w:val="center"/>
              <w:rPr>
                <w:b/>
                <w:szCs w:val="24"/>
              </w:rPr>
            </w:pPr>
            <w:r w:rsidRPr="00D51194">
              <w:rPr>
                <w:b/>
                <w:szCs w:val="24"/>
              </w:rPr>
              <w:t>Capacity and School Governance</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4E5696" w:rsidP="000F000D">
                  <w:pPr>
                    <w:widowControl/>
                    <w:numPr>
                      <w:ilvl w:val="0"/>
                      <w:numId w:val="10"/>
                    </w:numPr>
                    <w:snapToGrid/>
                    <w:spacing w:before="40" w:after="100" w:afterAutospacing="1"/>
                    <w:rPr>
                      <w:szCs w:val="24"/>
                    </w:rPr>
                  </w:pPr>
                  <w:r w:rsidRPr="00D51194">
                    <w:rPr>
                      <w:szCs w:val="24"/>
                    </w:rPr>
                    <w:t xml:space="preserve">The </w:t>
                  </w:r>
                  <w:r w:rsidR="00312C3D" w:rsidRPr="00D51194">
                    <w:rPr>
                      <w:szCs w:val="24"/>
                    </w:rPr>
                    <w:t>PCA</w:t>
                  </w:r>
                  <w:r w:rsidR="001E088E" w:rsidRPr="00D51194">
                    <w:rPr>
                      <w:szCs w:val="24"/>
                    </w:rPr>
                    <w:t xml:space="preserve"> board of trustees has the experience and qualifications necessary to implement the proposal, and have demonstrated the capacity to found and sustain a high quality charter school. (Section III.B.)</w:t>
                  </w:r>
                </w:p>
                <w:p w:rsidR="001E088E" w:rsidRPr="00D51194" w:rsidRDefault="00005D9D" w:rsidP="00005D9D">
                  <w:pPr>
                    <w:widowControl/>
                    <w:numPr>
                      <w:ilvl w:val="0"/>
                      <w:numId w:val="10"/>
                    </w:numPr>
                    <w:snapToGrid/>
                    <w:spacing w:before="40" w:after="100" w:afterAutospacing="1"/>
                    <w:rPr>
                      <w:szCs w:val="24"/>
                    </w:rPr>
                  </w:pPr>
                  <w:r w:rsidRPr="00D51194">
                    <w:rPr>
                      <w:szCs w:val="24"/>
                    </w:rPr>
                    <w:t>To identify and address potential challenges to growth, t</w:t>
                  </w:r>
                  <w:r w:rsidR="00312C3D" w:rsidRPr="00D51194">
                    <w:rPr>
                      <w:szCs w:val="24"/>
                    </w:rPr>
                    <w:t xml:space="preserve">he PCA board </w:t>
                  </w:r>
                  <w:r w:rsidR="001B5D3C" w:rsidRPr="00D51194">
                    <w:rPr>
                      <w:szCs w:val="24"/>
                    </w:rPr>
                    <w:lastRenderedPageBreak/>
                    <w:t>of trustees</w:t>
                  </w:r>
                  <w:r w:rsidR="00312C3D" w:rsidRPr="00D51194">
                    <w:rPr>
                      <w:szCs w:val="24"/>
                    </w:rPr>
                    <w:t xml:space="preserve"> added </w:t>
                  </w:r>
                  <w:r w:rsidR="006524EC" w:rsidRPr="00D51194">
                    <w:rPr>
                      <w:szCs w:val="24"/>
                    </w:rPr>
                    <w:t>a</w:t>
                  </w:r>
                  <w:r w:rsidR="00312C3D" w:rsidRPr="00D51194">
                    <w:rPr>
                      <w:szCs w:val="24"/>
                    </w:rPr>
                    <w:t xml:space="preserve"> strategic planning committee</w:t>
                  </w:r>
                  <w:r w:rsidRPr="00D51194">
                    <w:rPr>
                      <w:szCs w:val="24"/>
                    </w:rPr>
                    <w:t xml:space="preserve"> to the </w:t>
                  </w:r>
                  <w:r w:rsidR="001B5D3C" w:rsidRPr="00D51194">
                    <w:rPr>
                      <w:szCs w:val="24"/>
                    </w:rPr>
                    <w:t xml:space="preserve">board’s committee </w:t>
                  </w:r>
                  <w:r w:rsidRPr="00D51194">
                    <w:rPr>
                      <w:szCs w:val="24"/>
                    </w:rPr>
                    <w:t>structure</w:t>
                  </w:r>
                  <w:r w:rsidR="00312C3D" w:rsidRPr="00D51194">
                    <w:rPr>
                      <w:szCs w:val="24"/>
                    </w:rPr>
                    <w:t xml:space="preserve">, and a vice chair board position. (Section </w:t>
                  </w:r>
                  <w:r w:rsidR="004415CE" w:rsidRPr="00D51194">
                    <w:rPr>
                      <w:szCs w:val="24"/>
                    </w:rPr>
                    <w:t>I</w:t>
                  </w:r>
                  <w:r w:rsidR="00312C3D" w:rsidRPr="00D51194">
                    <w:rPr>
                      <w:szCs w:val="24"/>
                    </w:rPr>
                    <w:t>II.B.)</w:t>
                  </w:r>
                </w:p>
                <w:p w:rsidR="001B5D3C" w:rsidRPr="00D51194" w:rsidRDefault="001B5D3C" w:rsidP="001B5D3C">
                  <w:pPr>
                    <w:widowControl/>
                    <w:numPr>
                      <w:ilvl w:val="0"/>
                      <w:numId w:val="10"/>
                    </w:numPr>
                    <w:snapToGrid/>
                    <w:spacing w:before="40" w:after="100" w:afterAutospacing="1"/>
                    <w:rPr>
                      <w:szCs w:val="24"/>
                    </w:rPr>
                  </w:pPr>
                  <w:r w:rsidRPr="00D51194">
                    <w:rPr>
                      <w:szCs w:val="24"/>
                    </w:rPr>
                    <w:t xml:space="preserve">The application and the interview provided detailed discussions of the anticipated challenges to network development and the processes in place at the board level to support school and organization-level decision-making as it relates to key functions. (Section </w:t>
                  </w:r>
                  <w:r w:rsidR="004415CE" w:rsidRPr="00D51194">
                    <w:rPr>
                      <w:szCs w:val="24"/>
                    </w:rPr>
                    <w:t>I</w:t>
                  </w:r>
                  <w:r w:rsidRPr="00D51194">
                    <w:rPr>
                      <w:szCs w:val="24"/>
                    </w:rPr>
                    <w:t xml:space="preserve">II.B.) </w:t>
                  </w:r>
                </w:p>
                <w:p w:rsidR="0050759D" w:rsidRPr="00D51194" w:rsidRDefault="0050759D" w:rsidP="00DF6692">
                  <w:pPr>
                    <w:widowControl/>
                    <w:numPr>
                      <w:ilvl w:val="0"/>
                      <w:numId w:val="10"/>
                    </w:numPr>
                    <w:snapToGrid/>
                    <w:spacing w:before="40" w:after="100" w:afterAutospacing="1"/>
                    <w:rPr>
                      <w:szCs w:val="24"/>
                    </w:rPr>
                  </w:pPr>
                  <w:r w:rsidRPr="00D51194">
                    <w:rPr>
                      <w:szCs w:val="24"/>
                    </w:rPr>
                    <w:t xml:space="preserve">The PCA board of trustees expressed a commitment to recruit an additional two board members from the Springfield </w:t>
                  </w:r>
                  <w:r w:rsidR="00F300F2" w:rsidRPr="00D51194">
                    <w:rPr>
                      <w:szCs w:val="24"/>
                    </w:rPr>
                    <w:t xml:space="preserve">and Lawrence </w:t>
                  </w:r>
                  <w:r w:rsidRPr="00D51194">
                    <w:rPr>
                      <w:szCs w:val="24"/>
                    </w:rPr>
                    <w:t xml:space="preserve">area to support community representation on the board as well as a desire for increased diversity. </w:t>
                  </w:r>
                  <w:r w:rsidR="00F300F2" w:rsidRPr="00D51194">
                    <w:rPr>
                      <w:szCs w:val="24"/>
                    </w:rPr>
                    <w:t xml:space="preserve">During the interview, the group described the efforts underway to do so. </w:t>
                  </w:r>
                  <w:r w:rsidRPr="00D51194">
                    <w:rPr>
                      <w:szCs w:val="24"/>
                    </w:rPr>
                    <w:t>(Section III.B.)</w:t>
                  </w:r>
                </w:p>
              </w:tc>
              <w:tc>
                <w:tcPr>
                  <w:tcW w:w="4313" w:type="dxa"/>
                </w:tcPr>
                <w:p w:rsidR="00662189" w:rsidRPr="00D51194" w:rsidRDefault="00CF0BC5" w:rsidP="00363B73">
                  <w:pPr>
                    <w:widowControl/>
                    <w:numPr>
                      <w:ilvl w:val="0"/>
                      <w:numId w:val="7"/>
                    </w:numPr>
                    <w:snapToGrid/>
                    <w:spacing w:before="40" w:after="100" w:afterAutospacing="1"/>
                    <w:rPr>
                      <w:szCs w:val="24"/>
                    </w:rPr>
                  </w:pPr>
                  <w:r w:rsidRPr="00D51194">
                    <w:rPr>
                      <w:szCs w:val="24"/>
                    </w:rPr>
                    <w:lastRenderedPageBreak/>
                    <w:t>None identified.</w:t>
                  </w:r>
                </w:p>
              </w:tc>
            </w:tr>
          </w:tbl>
          <w:p w:rsidR="00662189" w:rsidRPr="00D51194" w:rsidRDefault="00662189" w:rsidP="00352BC3">
            <w:pPr>
              <w:rPr>
                <w:b/>
                <w:szCs w:val="24"/>
              </w:rPr>
            </w:pPr>
          </w:p>
        </w:tc>
      </w:tr>
      <w:tr w:rsidR="00662189" w:rsidRPr="00D51194" w:rsidTr="00352BC3">
        <w:trPr>
          <w:trHeight w:val="1025"/>
        </w:trPr>
        <w:tc>
          <w:tcPr>
            <w:tcW w:w="8856" w:type="dxa"/>
            <w:gridSpan w:val="3"/>
          </w:tcPr>
          <w:p w:rsidR="00662189" w:rsidRPr="00D51194" w:rsidRDefault="00662189" w:rsidP="000A702F">
            <w:pPr>
              <w:jc w:val="center"/>
              <w:rPr>
                <w:b/>
                <w:color w:val="000000" w:themeColor="text1"/>
                <w:szCs w:val="24"/>
              </w:rPr>
            </w:pPr>
            <w:r w:rsidRPr="00D51194">
              <w:rPr>
                <w:b/>
                <w:color w:val="000000" w:themeColor="text1"/>
                <w:szCs w:val="24"/>
              </w:rPr>
              <w:lastRenderedPageBreak/>
              <w:t>Capacity for Network of Schools</w:t>
            </w:r>
          </w:p>
          <w:p w:rsidR="00662189" w:rsidRPr="00D51194" w:rsidRDefault="00662189" w:rsidP="000A702F">
            <w:pPr>
              <w:jc w:val="center"/>
              <w:rPr>
                <w:b/>
                <w:szCs w:val="24"/>
              </w:rPr>
            </w:pPr>
          </w:p>
          <w:tbl>
            <w:tblPr>
              <w:tblW w:w="0" w:type="auto"/>
              <w:tblLook w:val="01E0" w:firstRow="1" w:lastRow="1" w:firstColumn="1" w:lastColumn="1" w:noHBand="0" w:noVBand="0"/>
            </w:tblPr>
            <w:tblGrid>
              <w:gridCol w:w="4312"/>
              <w:gridCol w:w="4313"/>
            </w:tblGrid>
            <w:tr w:rsidR="00662189" w:rsidRPr="00D51194" w:rsidTr="005A6AC6">
              <w:tc>
                <w:tcPr>
                  <w:tcW w:w="4312" w:type="dxa"/>
                </w:tcPr>
                <w:p w:rsidR="00662189" w:rsidRPr="00D51194" w:rsidRDefault="00662189" w:rsidP="005A6AC6">
                  <w:pPr>
                    <w:widowControl/>
                    <w:snapToGrid/>
                    <w:rPr>
                      <w:b/>
                      <w:szCs w:val="24"/>
                      <w:u w:val="single"/>
                    </w:rPr>
                  </w:pPr>
                  <w:r w:rsidRPr="00D51194">
                    <w:rPr>
                      <w:b/>
                      <w:szCs w:val="24"/>
                      <w:u w:val="single"/>
                    </w:rPr>
                    <w:t>Primary Strengths</w:t>
                  </w:r>
                </w:p>
              </w:tc>
              <w:tc>
                <w:tcPr>
                  <w:tcW w:w="4313" w:type="dxa"/>
                </w:tcPr>
                <w:p w:rsidR="00662189" w:rsidRPr="00D51194" w:rsidRDefault="00662189" w:rsidP="005A6AC6">
                  <w:pPr>
                    <w:widowControl/>
                    <w:snapToGrid/>
                    <w:rPr>
                      <w:b/>
                      <w:szCs w:val="24"/>
                      <w:u w:val="single"/>
                    </w:rPr>
                  </w:pPr>
                  <w:r w:rsidRPr="00D51194">
                    <w:rPr>
                      <w:b/>
                      <w:szCs w:val="24"/>
                      <w:u w:val="single"/>
                    </w:rPr>
                    <w:t xml:space="preserve">Primary Weaknesses </w:t>
                  </w:r>
                </w:p>
              </w:tc>
            </w:tr>
            <w:tr w:rsidR="00662189" w:rsidRPr="00D51194" w:rsidTr="005A6AC6">
              <w:trPr>
                <w:trHeight w:val="387"/>
              </w:trPr>
              <w:tc>
                <w:tcPr>
                  <w:tcW w:w="4312" w:type="dxa"/>
                </w:tcPr>
                <w:p w:rsidR="00662189" w:rsidRPr="00D51194" w:rsidRDefault="00E17BDE" w:rsidP="005A6AC6">
                  <w:pPr>
                    <w:widowControl/>
                    <w:numPr>
                      <w:ilvl w:val="0"/>
                      <w:numId w:val="10"/>
                    </w:numPr>
                    <w:snapToGrid/>
                    <w:spacing w:before="40" w:after="100" w:afterAutospacing="1"/>
                    <w:rPr>
                      <w:szCs w:val="24"/>
                    </w:rPr>
                  </w:pPr>
                  <w:r w:rsidRPr="00D51194">
                    <w:rPr>
                      <w:szCs w:val="24"/>
                    </w:rPr>
                    <w:t xml:space="preserve">During the interview, the applicant group reflected meaningfully on the completion of its first charter term and the lessons learned during that time which influenced the development of the proposed school. The applicant group also described the role of the Lawrence school in the development of its network and the lessons learned in opening the new school. (Section III.C. and III.D.) </w:t>
                  </w:r>
                </w:p>
                <w:p w:rsidR="00D40A1E" w:rsidRPr="00D51194" w:rsidRDefault="00D40A1E" w:rsidP="005A6AC6">
                  <w:pPr>
                    <w:widowControl/>
                    <w:numPr>
                      <w:ilvl w:val="0"/>
                      <w:numId w:val="10"/>
                    </w:numPr>
                    <w:snapToGrid/>
                    <w:spacing w:before="40" w:after="100" w:afterAutospacing="1"/>
                    <w:rPr>
                      <w:szCs w:val="24"/>
                    </w:rPr>
                  </w:pPr>
                  <w:r w:rsidRPr="00D51194">
                    <w:rPr>
                      <w:szCs w:val="24"/>
                    </w:rPr>
                    <w:t xml:space="preserve">The applicant </w:t>
                  </w:r>
                  <w:r w:rsidR="0015197C" w:rsidRPr="00D51194">
                    <w:rPr>
                      <w:szCs w:val="24"/>
                    </w:rPr>
                    <w:t xml:space="preserve">group </w:t>
                  </w:r>
                  <w:r w:rsidRPr="00D51194">
                    <w:rPr>
                      <w:szCs w:val="24"/>
                    </w:rPr>
                    <w:t>has instituted changes in leadership structures</w:t>
                  </w:r>
                  <w:r w:rsidR="008566D1" w:rsidRPr="00D51194">
                    <w:rPr>
                      <w:szCs w:val="24"/>
                    </w:rPr>
                    <w:t xml:space="preserve"> through the development of a network office</w:t>
                  </w:r>
                  <w:r w:rsidRPr="00D51194">
                    <w:rPr>
                      <w:szCs w:val="24"/>
                    </w:rPr>
                    <w:t xml:space="preserve"> to support the addition of the proposed school in western Massachusetts. </w:t>
                  </w:r>
                  <w:r w:rsidR="001643A8" w:rsidRPr="00D51194">
                    <w:rPr>
                      <w:szCs w:val="24"/>
                    </w:rPr>
                    <w:t xml:space="preserve">The network office will support the faithful implementation of the model across the network, as well as </w:t>
                  </w:r>
                  <w:r w:rsidR="0078549A" w:rsidRPr="00D51194">
                    <w:rPr>
                      <w:szCs w:val="24"/>
                    </w:rPr>
                    <w:t xml:space="preserve">the </w:t>
                  </w:r>
                  <w:r w:rsidR="001643A8" w:rsidRPr="00D51194">
                    <w:rPr>
                      <w:szCs w:val="24"/>
                    </w:rPr>
                    <w:lastRenderedPageBreak/>
                    <w:t>development, finance</w:t>
                  </w:r>
                  <w:r w:rsidR="0078549A" w:rsidRPr="00D51194">
                    <w:rPr>
                      <w:szCs w:val="24"/>
                    </w:rPr>
                    <w:t xml:space="preserve">, and leadership </w:t>
                  </w:r>
                  <w:r w:rsidR="00FB147D" w:rsidRPr="00D51194">
                    <w:rPr>
                      <w:szCs w:val="24"/>
                    </w:rPr>
                    <w:t xml:space="preserve">and student </w:t>
                  </w:r>
                  <w:r w:rsidR="0078549A" w:rsidRPr="00D51194">
                    <w:rPr>
                      <w:szCs w:val="24"/>
                    </w:rPr>
                    <w:t xml:space="preserve">recruitment needs. </w:t>
                  </w:r>
                  <w:r w:rsidR="001643A8" w:rsidRPr="00D51194">
                    <w:rPr>
                      <w:szCs w:val="24"/>
                    </w:rPr>
                    <w:t xml:space="preserve"> </w:t>
                  </w:r>
                  <w:r w:rsidRPr="00D51194">
                    <w:rPr>
                      <w:szCs w:val="24"/>
                    </w:rPr>
                    <w:t xml:space="preserve">(Section </w:t>
                  </w:r>
                  <w:r w:rsidR="004415CE" w:rsidRPr="00D51194">
                    <w:rPr>
                      <w:szCs w:val="24"/>
                    </w:rPr>
                    <w:t>I</w:t>
                  </w:r>
                  <w:r w:rsidRPr="00D51194">
                    <w:rPr>
                      <w:szCs w:val="24"/>
                    </w:rPr>
                    <w:t xml:space="preserve">II.C. and </w:t>
                  </w:r>
                  <w:r w:rsidR="004415CE" w:rsidRPr="00D51194">
                    <w:rPr>
                      <w:szCs w:val="24"/>
                    </w:rPr>
                    <w:t>I</w:t>
                  </w:r>
                  <w:r w:rsidRPr="00D51194">
                    <w:rPr>
                      <w:szCs w:val="24"/>
                    </w:rPr>
                    <w:t>II.D.)</w:t>
                  </w:r>
                </w:p>
                <w:p w:rsidR="00D97074" w:rsidRPr="00D51194" w:rsidRDefault="00101BF4" w:rsidP="00FE07DF">
                  <w:pPr>
                    <w:widowControl/>
                    <w:numPr>
                      <w:ilvl w:val="0"/>
                      <w:numId w:val="10"/>
                    </w:numPr>
                    <w:snapToGrid/>
                    <w:spacing w:before="40" w:after="100" w:afterAutospacing="1"/>
                    <w:rPr>
                      <w:szCs w:val="24"/>
                    </w:rPr>
                  </w:pPr>
                  <w:r w:rsidRPr="00D51194">
                    <w:rPr>
                      <w:szCs w:val="24"/>
                    </w:rPr>
                    <w:t xml:space="preserve">During the interview, the applicant group described </w:t>
                  </w:r>
                  <w:r w:rsidR="007E7023" w:rsidRPr="00D51194">
                    <w:rPr>
                      <w:szCs w:val="24"/>
                    </w:rPr>
                    <w:t>specific activities</w:t>
                  </w:r>
                  <w:r w:rsidRPr="00D51194">
                    <w:rPr>
                      <w:szCs w:val="24"/>
                    </w:rPr>
                    <w:t xml:space="preserve"> to </w:t>
                  </w:r>
                  <w:r w:rsidR="007E7023" w:rsidRPr="00D51194">
                    <w:rPr>
                      <w:szCs w:val="24"/>
                    </w:rPr>
                    <w:t>ensure consistency of the school model amongst schools, including the use of specific dashboards to report on student enrollment, academic performance, and fiscal health</w:t>
                  </w:r>
                  <w:r w:rsidRPr="00D51194">
                    <w:rPr>
                      <w:szCs w:val="24"/>
                    </w:rPr>
                    <w:t xml:space="preserve">. (Section </w:t>
                  </w:r>
                  <w:r w:rsidR="004415CE" w:rsidRPr="00D51194">
                    <w:rPr>
                      <w:szCs w:val="24"/>
                    </w:rPr>
                    <w:t>I</w:t>
                  </w:r>
                  <w:r w:rsidRPr="00D51194">
                    <w:rPr>
                      <w:szCs w:val="24"/>
                    </w:rPr>
                    <w:t>II.D.)</w:t>
                  </w:r>
                  <w:r w:rsidR="00D40A1E" w:rsidRPr="00D51194">
                    <w:rPr>
                      <w:szCs w:val="24"/>
                    </w:rPr>
                    <w:t xml:space="preserve"> </w:t>
                  </w:r>
                </w:p>
                <w:p w:rsidR="004D472D" w:rsidRPr="00D51194" w:rsidRDefault="004D472D" w:rsidP="007F274F">
                  <w:pPr>
                    <w:widowControl/>
                    <w:numPr>
                      <w:ilvl w:val="0"/>
                      <w:numId w:val="10"/>
                    </w:numPr>
                    <w:snapToGrid/>
                    <w:spacing w:before="40" w:after="100" w:afterAutospacing="1"/>
                    <w:rPr>
                      <w:szCs w:val="24"/>
                    </w:rPr>
                  </w:pPr>
                  <w:r w:rsidRPr="00D51194">
                    <w:rPr>
                      <w:szCs w:val="24"/>
                    </w:rPr>
                    <w:t xml:space="preserve">During the interview, network leadership described leveraging contacts within existing </w:t>
                  </w:r>
                  <w:r w:rsidR="007F274F">
                    <w:rPr>
                      <w:szCs w:val="24"/>
                    </w:rPr>
                    <w:t xml:space="preserve">charter management organizations and </w:t>
                  </w:r>
                  <w:r w:rsidRPr="00D51194">
                    <w:rPr>
                      <w:szCs w:val="24"/>
                    </w:rPr>
                    <w:t>networks</w:t>
                  </w:r>
                  <w:r w:rsidR="008949AA" w:rsidRPr="00D51194">
                    <w:rPr>
                      <w:szCs w:val="24"/>
                    </w:rPr>
                    <w:t xml:space="preserve">, such as </w:t>
                  </w:r>
                  <w:r w:rsidR="007F274F">
                    <w:rPr>
                      <w:szCs w:val="24"/>
                    </w:rPr>
                    <w:t>Edward Brooke</w:t>
                  </w:r>
                  <w:r w:rsidR="008949AA" w:rsidRPr="00D51194">
                    <w:rPr>
                      <w:szCs w:val="24"/>
                    </w:rPr>
                    <w:t xml:space="preserve">, </w:t>
                  </w:r>
                  <w:r w:rsidR="007F274F">
                    <w:rPr>
                      <w:szCs w:val="24"/>
                    </w:rPr>
                    <w:t>Roxbury Preparatory</w:t>
                  </w:r>
                  <w:r w:rsidR="008949AA" w:rsidRPr="00D51194">
                    <w:rPr>
                      <w:szCs w:val="24"/>
                    </w:rPr>
                    <w:t>,</w:t>
                  </w:r>
                  <w:r w:rsidRPr="00D51194">
                    <w:rPr>
                      <w:szCs w:val="24"/>
                    </w:rPr>
                    <w:t xml:space="preserve"> </w:t>
                  </w:r>
                  <w:r w:rsidR="007F274F">
                    <w:rPr>
                      <w:szCs w:val="24"/>
                    </w:rPr>
                    <w:t xml:space="preserve">and Unlocking Potential, </w:t>
                  </w:r>
                  <w:r w:rsidRPr="00D51194">
                    <w:rPr>
                      <w:szCs w:val="24"/>
                    </w:rPr>
                    <w:t>to identify necessary network structures to build organizational capacity, share resources, and best practices across the schools. (Section III.D.)</w:t>
                  </w:r>
                </w:p>
              </w:tc>
              <w:tc>
                <w:tcPr>
                  <w:tcW w:w="4313" w:type="dxa"/>
                </w:tcPr>
                <w:p w:rsidR="00662189" w:rsidRPr="00D51194" w:rsidRDefault="008566D1" w:rsidP="005A6AC6">
                  <w:pPr>
                    <w:widowControl/>
                    <w:numPr>
                      <w:ilvl w:val="0"/>
                      <w:numId w:val="7"/>
                    </w:numPr>
                    <w:snapToGrid/>
                    <w:spacing w:before="40" w:after="100" w:afterAutospacing="1"/>
                    <w:rPr>
                      <w:szCs w:val="24"/>
                    </w:rPr>
                  </w:pPr>
                  <w:r w:rsidRPr="00D51194">
                    <w:rPr>
                      <w:szCs w:val="24"/>
                    </w:rPr>
                    <w:lastRenderedPageBreak/>
                    <w:t xml:space="preserve">None identified. </w:t>
                  </w:r>
                </w:p>
              </w:tc>
            </w:tr>
          </w:tbl>
          <w:p w:rsidR="00662189" w:rsidRPr="00D51194" w:rsidRDefault="00662189" w:rsidP="000A702F">
            <w:pPr>
              <w:jc w:val="center"/>
              <w:rPr>
                <w:b/>
                <w:szCs w:val="24"/>
              </w:rPr>
            </w:pPr>
          </w:p>
        </w:tc>
      </w:tr>
      <w:tr w:rsidR="00662189" w:rsidRPr="00D51194" w:rsidTr="00352BC3">
        <w:trPr>
          <w:trHeight w:val="1025"/>
        </w:trPr>
        <w:tc>
          <w:tcPr>
            <w:tcW w:w="8856" w:type="dxa"/>
            <w:gridSpan w:val="3"/>
          </w:tcPr>
          <w:p w:rsidR="00662189" w:rsidRPr="00D51194" w:rsidRDefault="007C2EE6" w:rsidP="00A811C5">
            <w:pPr>
              <w:jc w:val="center"/>
              <w:rPr>
                <w:b/>
                <w:szCs w:val="24"/>
              </w:rPr>
            </w:pPr>
            <w:r w:rsidRPr="00D51194">
              <w:rPr>
                <w:szCs w:val="24"/>
              </w:rPr>
              <w:lastRenderedPageBreak/>
              <w:br w:type="page"/>
            </w:r>
            <w:r w:rsidR="00662189" w:rsidRPr="00D51194">
              <w:rPr>
                <w:b/>
                <w:szCs w:val="24"/>
              </w:rPr>
              <w:t>Management</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101BF4" w:rsidP="00101BF4">
                  <w:pPr>
                    <w:widowControl/>
                    <w:numPr>
                      <w:ilvl w:val="0"/>
                      <w:numId w:val="10"/>
                    </w:numPr>
                    <w:snapToGrid/>
                    <w:spacing w:before="40" w:after="100" w:afterAutospacing="1"/>
                    <w:rPr>
                      <w:szCs w:val="24"/>
                    </w:rPr>
                  </w:pPr>
                  <w:r w:rsidRPr="00D51194">
                    <w:rPr>
                      <w:szCs w:val="24"/>
                    </w:rPr>
                    <w:t xml:space="preserve">During the interview and in the application, the applicant group described clearly delineated roles and responsibilities for the network leader, network administrators, and school leadership. </w:t>
                  </w:r>
                  <w:r w:rsidR="004415CE" w:rsidRPr="00D51194">
                    <w:rPr>
                      <w:szCs w:val="24"/>
                    </w:rPr>
                    <w:t>(Section III.D.)</w:t>
                  </w:r>
                </w:p>
                <w:p w:rsidR="00101BF4" w:rsidRPr="00D51194" w:rsidRDefault="00052EF3" w:rsidP="00052EF3">
                  <w:pPr>
                    <w:widowControl/>
                    <w:numPr>
                      <w:ilvl w:val="0"/>
                      <w:numId w:val="10"/>
                    </w:numPr>
                    <w:snapToGrid/>
                    <w:spacing w:before="40" w:after="100" w:afterAutospacing="1"/>
                    <w:rPr>
                      <w:szCs w:val="24"/>
                    </w:rPr>
                  </w:pPr>
                  <w:r w:rsidRPr="00D51194">
                    <w:rPr>
                      <w:szCs w:val="24"/>
                    </w:rPr>
                    <w:t>The applicant group proposes to institute a full planning year prior to opening to</w:t>
                  </w:r>
                  <w:r w:rsidR="00DE5D58" w:rsidRPr="00D51194">
                    <w:rPr>
                      <w:szCs w:val="24"/>
                    </w:rPr>
                    <w:t xml:space="preserve"> </w:t>
                  </w:r>
                  <w:r w:rsidR="00012879" w:rsidRPr="00D51194">
                    <w:rPr>
                      <w:szCs w:val="24"/>
                    </w:rPr>
                    <w:t xml:space="preserve">effectively </w:t>
                  </w:r>
                  <w:r w:rsidR="00DE5D58" w:rsidRPr="00D51194">
                    <w:rPr>
                      <w:szCs w:val="24"/>
                    </w:rPr>
                    <w:t>identify,</w:t>
                  </w:r>
                  <w:r w:rsidRPr="00D51194">
                    <w:rPr>
                      <w:szCs w:val="24"/>
                    </w:rPr>
                    <w:t xml:space="preserve"> train</w:t>
                  </w:r>
                  <w:r w:rsidR="00012879" w:rsidRPr="00D51194">
                    <w:rPr>
                      <w:szCs w:val="24"/>
                    </w:rPr>
                    <w:t>,</w:t>
                  </w:r>
                  <w:r w:rsidRPr="00D51194">
                    <w:rPr>
                      <w:szCs w:val="24"/>
                    </w:rPr>
                    <w:t xml:space="preserve"> and develop new leadership and teachers. (Section III.D.)</w:t>
                  </w:r>
                </w:p>
                <w:p w:rsidR="00052EF3" w:rsidRPr="00D51194" w:rsidRDefault="004D472D" w:rsidP="004D472D">
                  <w:pPr>
                    <w:widowControl/>
                    <w:numPr>
                      <w:ilvl w:val="0"/>
                      <w:numId w:val="10"/>
                    </w:numPr>
                    <w:snapToGrid/>
                    <w:spacing w:before="40" w:after="100" w:afterAutospacing="1"/>
                    <w:rPr>
                      <w:szCs w:val="24"/>
                    </w:rPr>
                  </w:pPr>
                  <w:r w:rsidRPr="00D51194">
                    <w:rPr>
                      <w:szCs w:val="24"/>
                    </w:rPr>
                    <w:t>The network leader described specific supports provided to both Chelsea and Lawrence school leaders to effectively manage faculty and support whole school success. (Section III.D.)</w:t>
                  </w:r>
                </w:p>
              </w:tc>
              <w:tc>
                <w:tcPr>
                  <w:tcW w:w="4313" w:type="dxa"/>
                </w:tcPr>
                <w:p w:rsidR="00662189" w:rsidRPr="00D51194" w:rsidRDefault="00C538F1" w:rsidP="005E0B96">
                  <w:pPr>
                    <w:widowControl/>
                    <w:numPr>
                      <w:ilvl w:val="0"/>
                      <w:numId w:val="7"/>
                    </w:numPr>
                    <w:snapToGrid/>
                    <w:spacing w:before="40" w:after="100" w:afterAutospacing="1"/>
                    <w:rPr>
                      <w:szCs w:val="24"/>
                    </w:rPr>
                  </w:pPr>
                  <w:r w:rsidRPr="00D51194">
                    <w:rPr>
                      <w:szCs w:val="24"/>
                    </w:rPr>
                    <w:t>None identified.</w:t>
                  </w:r>
                </w:p>
              </w:tc>
            </w:tr>
          </w:tbl>
          <w:p w:rsidR="00662189" w:rsidRPr="00D51194" w:rsidRDefault="00662189" w:rsidP="00352BC3">
            <w:pPr>
              <w:rPr>
                <w:b/>
                <w:szCs w:val="24"/>
              </w:rPr>
            </w:pPr>
          </w:p>
        </w:tc>
      </w:tr>
    </w:tbl>
    <w:p w:rsidR="007F274F" w:rsidRDefault="007F274F">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62189" w:rsidRPr="00D51194" w:rsidTr="00476E36">
        <w:trPr>
          <w:trHeight w:val="368"/>
        </w:trPr>
        <w:tc>
          <w:tcPr>
            <w:tcW w:w="8856" w:type="dxa"/>
          </w:tcPr>
          <w:p w:rsidR="00662189" w:rsidRPr="00D51194" w:rsidRDefault="00662189" w:rsidP="00A811C5">
            <w:pPr>
              <w:jc w:val="center"/>
              <w:rPr>
                <w:b/>
                <w:szCs w:val="24"/>
              </w:rPr>
            </w:pPr>
            <w:r w:rsidRPr="00D51194">
              <w:rPr>
                <w:b/>
                <w:szCs w:val="24"/>
              </w:rPr>
              <w:lastRenderedPageBreak/>
              <w:t>Facilities, Transportation, and</w:t>
            </w:r>
            <w:r w:rsidRPr="00D51194">
              <w:rPr>
                <w:b/>
                <w:color w:val="000000" w:themeColor="text1"/>
                <w:szCs w:val="24"/>
              </w:rPr>
              <w:t xml:space="preserve"> Finances</w:t>
            </w:r>
          </w:p>
          <w:p w:rsidR="00662189" w:rsidRPr="00D51194" w:rsidRDefault="00662189" w:rsidP="00A811C5">
            <w:pPr>
              <w:jc w:val="center"/>
              <w:rPr>
                <w:b/>
                <w:szCs w:val="24"/>
              </w:rPr>
            </w:pPr>
          </w:p>
          <w:tbl>
            <w:tblPr>
              <w:tblW w:w="0" w:type="auto"/>
              <w:tblLook w:val="01E0" w:firstRow="1" w:lastRow="1" w:firstColumn="1" w:lastColumn="1" w:noHBand="0" w:noVBand="0"/>
            </w:tblPr>
            <w:tblGrid>
              <w:gridCol w:w="4312"/>
              <w:gridCol w:w="4313"/>
            </w:tblGrid>
            <w:tr w:rsidR="00662189" w:rsidRPr="00D51194" w:rsidTr="00052331">
              <w:tc>
                <w:tcPr>
                  <w:tcW w:w="4312" w:type="dxa"/>
                </w:tcPr>
                <w:p w:rsidR="00662189" w:rsidRPr="00D51194" w:rsidRDefault="00662189" w:rsidP="00052331">
                  <w:pPr>
                    <w:widowControl/>
                    <w:snapToGrid/>
                    <w:rPr>
                      <w:b/>
                      <w:szCs w:val="24"/>
                      <w:u w:val="single"/>
                    </w:rPr>
                  </w:pPr>
                  <w:r w:rsidRPr="00D51194">
                    <w:rPr>
                      <w:b/>
                      <w:szCs w:val="24"/>
                      <w:u w:val="single"/>
                    </w:rPr>
                    <w:t>Primary Strengths</w:t>
                  </w:r>
                </w:p>
              </w:tc>
              <w:tc>
                <w:tcPr>
                  <w:tcW w:w="4313" w:type="dxa"/>
                </w:tcPr>
                <w:p w:rsidR="00662189" w:rsidRPr="00D51194" w:rsidRDefault="00662189" w:rsidP="00052331">
                  <w:pPr>
                    <w:widowControl/>
                    <w:snapToGrid/>
                    <w:rPr>
                      <w:b/>
                      <w:szCs w:val="24"/>
                      <w:u w:val="single"/>
                    </w:rPr>
                  </w:pPr>
                  <w:r w:rsidRPr="00D51194">
                    <w:rPr>
                      <w:b/>
                      <w:szCs w:val="24"/>
                      <w:u w:val="single"/>
                    </w:rPr>
                    <w:t xml:space="preserve">Primary Weaknesses </w:t>
                  </w:r>
                </w:p>
              </w:tc>
            </w:tr>
            <w:tr w:rsidR="00662189" w:rsidRPr="00D51194" w:rsidTr="00052331">
              <w:trPr>
                <w:trHeight w:val="387"/>
              </w:trPr>
              <w:tc>
                <w:tcPr>
                  <w:tcW w:w="4312" w:type="dxa"/>
                </w:tcPr>
                <w:p w:rsidR="00662189" w:rsidRPr="00D51194" w:rsidRDefault="00477420" w:rsidP="003D117E">
                  <w:pPr>
                    <w:widowControl/>
                    <w:numPr>
                      <w:ilvl w:val="0"/>
                      <w:numId w:val="7"/>
                    </w:numPr>
                    <w:snapToGrid/>
                    <w:spacing w:before="40" w:after="100" w:afterAutospacing="1"/>
                    <w:rPr>
                      <w:szCs w:val="24"/>
                    </w:rPr>
                  </w:pPr>
                  <w:r w:rsidRPr="00D51194">
                    <w:rPr>
                      <w:szCs w:val="24"/>
                    </w:rPr>
                    <w:t>The application describes a clear plan to acquire the necessary facility</w:t>
                  </w:r>
                  <w:r w:rsidR="00754DF7" w:rsidRPr="00D51194">
                    <w:rPr>
                      <w:szCs w:val="24"/>
                    </w:rPr>
                    <w:t xml:space="preserve"> as well as specific potential options in Springfield. </w:t>
                  </w:r>
                  <w:r w:rsidRPr="00D51194">
                    <w:rPr>
                      <w:szCs w:val="24"/>
                    </w:rPr>
                    <w:t>(Section III.E.)</w:t>
                  </w:r>
                </w:p>
              </w:tc>
              <w:tc>
                <w:tcPr>
                  <w:tcW w:w="4313" w:type="dxa"/>
                </w:tcPr>
                <w:p w:rsidR="007E7023" w:rsidRPr="00D51194" w:rsidRDefault="003830A0" w:rsidP="007E7023">
                  <w:pPr>
                    <w:widowControl/>
                    <w:numPr>
                      <w:ilvl w:val="0"/>
                      <w:numId w:val="7"/>
                    </w:numPr>
                    <w:snapToGrid/>
                    <w:spacing w:before="40" w:after="100" w:afterAutospacing="1"/>
                    <w:rPr>
                      <w:szCs w:val="24"/>
                    </w:rPr>
                  </w:pPr>
                  <w:r w:rsidRPr="00D51194">
                    <w:rPr>
                      <w:szCs w:val="24"/>
                    </w:rPr>
                    <w:t xml:space="preserve">The budget narrative reflects potential concerns related to </w:t>
                  </w:r>
                  <w:r w:rsidR="001E4FCD" w:rsidRPr="00D51194">
                    <w:rPr>
                      <w:szCs w:val="24"/>
                    </w:rPr>
                    <w:t xml:space="preserve">inaccurate </w:t>
                  </w:r>
                  <w:r w:rsidRPr="00D51194">
                    <w:rPr>
                      <w:szCs w:val="24"/>
                    </w:rPr>
                    <w:t xml:space="preserve">expense accounting with the implementation of a network office and associated staff that serve each of the schools within the network. During the interview, the applicant group acknowledged that it would </w:t>
                  </w:r>
                  <w:r w:rsidR="00B30CAC" w:rsidRPr="00D51194">
                    <w:rPr>
                      <w:szCs w:val="24"/>
                    </w:rPr>
                    <w:t>rely</w:t>
                  </w:r>
                  <w:r w:rsidRPr="00D51194">
                    <w:rPr>
                      <w:szCs w:val="24"/>
                    </w:rPr>
                    <w:t xml:space="preserve"> on </w:t>
                  </w:r>
                  <w:r w:rsidR="00B30CAC" w:rsidRPr="00D51194">
                    <w:rPr>
                      <w:szCs w:val="24"/>
                    </w:rPr>
                    <w:t xml:space="preserve">Department </w:t>
                  </w:r>
                  <w:r w:rsidRPr="00D51194">
                    <w:rPr>
                      <w:szCs w:val="24"/>
                    </w:rPr>
                    <w:t xml:space="preserve">guidance to </w:t>
                  </w:r>
                  <w:r w:rsidR="00B30CAC" w:rsidRPr="00D51194">
                    <w:rPr>
                      <w:szCs w:val="24"/>
                    </w:rPr>
                    <w:t>stipulate</w:t>
                  </w:r>
                  <w:r w:rsidRPr="00D51194">
                    <w:rPr>
                      <w:szCs w:val="24"/>
                    </w:rPr>
                    <w:t xml:space="preserve"> how a network should accurately report expenses within its financial accounting. (Section III.F.)</w:t>
                  </w:r>
                </w:p>
              </w:tc>
            </w:tr>
          </w:tbl>
          <w:p w:rsidR="00662189" w:rsidRPr="00D51194" w:rsidRDefault="00662189" w:rsidP="00352BC3">
            <w:pPr>
              <w:rPr>
                <w:b/>
                <w:szCs w:val="24"/>
              </w:rPr>
            </w:pPr>
          </w:p>
        </w:tc>
      </w:tr>
    </w:tbl>
    <w:p w:rsidR="00662189" w:rsidRPr="00D51194" w:rsidRDefault="00662189" w:rsidP="00166FC5">
      <w:pPr>
        <w:rPr>
          <w:szCs w:val="24"/>
        </w:rPr>
      </w:pPr>
    </w:p>
    <w:sectPr w:rsidR="00662189" w:rsidRPr="00D51194" w:rsidSect="00C25FD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2F" w:rsidRDefault="00181F2F">
      <w:r>
        <w:separator/>
      </w:r>
    </w:p>
  </w:endnote>
  <w:endnote w:type="continuationSeparator" w:id="0">
    <w:p w:rsidR="00181F2F" w:rsidRDefault="001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C" w:rsidRDefault="006A2B6D" w:rsidP="00FA7C1C">
    <w:pPr>
      <w:pStyle w:val="Footer"/>
      <w:framePr w:wrap="around" w:vAnchor="text" w:hAnchor="margin" w:xAlign="center" w:y="1"/>
      <w:rPr>
        <w:rStyle w:val="PageNumber"/>
      </w:rPr>
    </w:pPr>
    <w:r>
      <w:rPr>
        <w:rStyle w:val="PageNumber"/>
      </w:rPr>
      <w:fldChar w:fldCharType="begin"/>
    </w:r>
    <w:r w:rsidR="0015197C">
      <w:rPr>
        <w:rStyle w:val="PageNumber"/>
      </w:rPr>
      <w:instrText xml:space="preserve">PAGE  </w:instrText>
    </w:r>
    <w:r>
      <w:rPr>
        <w:rStyle w:val="PageNumber"/>
      </w:rPr>
      <w:fldChar w:fldCharType="end"/>
    </w:r>
  </w:p>
  <w:p w:rsidR="0015197C" w:rsidRDefault="00151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C" w:rsidRDefault="0015197C" w:rsidP="00FA7C1C">
    <w:pPr>
      <w:pStyle w:val="Footer"/>
      <w:framePr w:wrap="around" w:vAnchor="text" w:hAnchor="margin" w:xAlign="center" w:y="1"/>
      <w:rPr>
        <w:rStyle w:val="PageNumber"/>
      </w:rPr>
    </w:pPr>
  </w:p>
  <w:p w:rsidR="0015197C" w:rsidRPr="00FE07DF" w:rsidRDefault="0015197C">
    <w:pPr>
      <w:pStyle w:val="Footer"/>
      <w:rPr>
        <w:sz w:val="20"/>
      </w:rPr>
    </w:pPr>
    <w:r w:rsidRPr="00FE07DF">
      <w:rPr>
        <w:rStyle w:val="PageNumber"/>
        <w:sz w:val="20"/>
      </w:rPr>
      <w:t xml:space="preserve">Proposed Phoenix </w:t>
    </w:r>
    <w:r w:rsidR="00772C0C">
      <w:rPr>
        <w:rStyle w:val="PageNumber"/>
        <w:sz w:val="20"/>
      </w:rPr>
      <w:t xml:space="preserve">Academy Public Charter High School </w:t>
    </w:r>
    <w:r w:rsidR="00AB29F4">
      <w:rPr>
        <w:rStyle w:val="PageNumber"/>
        <w:sz w:val="20"/>
      </w:rPr>
      <w:t>Springfield</w:t>
    </w:r>
    <w:r w:rsidRPr="00FE07DF">
      <w:rPr>
        <w:rStyle w:val="PageNumber"/>
        <w:sz w:val="20"/>
      </w:rPr>
      <w:tab/>
      <w:t xml:space="preserve">Page </w:t>
    </w:r>
    <w:r w:rsidR="006A2B6D" w:rsidRPr="00FE07DF">
      <w:rPr>
        <w:rStyle w:val="PageNumber"/>
        <w:sz w:val="20"/>
      </w:rPr>
      <w:fldChar w:fldCharType="begin"/>
    </w:r>
    <w:r w:rsidRPr="00FE07DF">
      <w:rPr>
        <w:rStyle w:val="PageNumber"/>
        <w:sz w:val="20"/>
      </w:rPr>
      <w:instrText xml:space="preserve"> PAGE </w:instrText>
    </w:r>
    <w:r w:rsidR="006A2B6D" w:rsidRPr="00FE07DF">
      <w:rPr>
        <w:rStyle w:val="PageNumber"/>
        <w:sz w:val="20"/>
      </w:rPr>
      <w:fldChar w:fldCharType="separate"/>
    </w:r>
    <w:r w:rsidR="00064FC2">
      <w:rPr>
        <w:rStyle w:val="PageNumber"/>
        <w:noProof/>
        <w:sz w:val="20"/>
      </w:rPr>
      <w:t>1</w:t>
    </w:r>
    <w:r w:rsidR="006A2B6D" w:rsidRPr="00FE07DF">
      <w:rPr>
        <w:rStyle w:val="PageNumber"/>
        <w:sz w:val="20"/>
      </w:rPr>
      <w:fldChar w:fldCharType="end"/>
    </w:r>
    <w:r w:rsidRPr="00FE07DF">
      <w:rPr>
        <w:rStyle w:val="PageNumber"/>
        <w:sz w:val="20"/>
      </w:rPr>
      <w:t xml:space="preserve"> of </w:t>
    </w:r>
    <w:r w:rsidR="006A2B6D" w:rsidRPr="00FE07DF">
      <w:rPr>
        <w:rStyle w:val="PageNumber"/>
        <w:sz w:val="20"/>
      </w:rPr>
      <w:fldChar w:fldCharType="begin"/>
    </w:r>
    <w:r w:rsidRPr="00FE07DF">
      <w:rPr>
        <w:rStyle w:val="PageNumber"/>
        <w:sz w:val="20"/>
      </w:rPr>
      <w:instrText xml:space="preserve"> NUMPAGES </w:instrText>
    </w:r>
    <w:r w:rsidR="006A2B6D" w:rsidRPr="00FE07DF">
      <w:rPr>
        <w:rStyle w:val="PageNumber"/>
        <w:sz w:val="20"/>
      </w:rPr>
      <w:fldChar w:fldCharType="separate"/>
    </w:r>
    <w:r w:rsidR="00064FC2">
      <w:rPr>
        <w:rStyle w:val="PageNumber"/>
        <w:noProof/>
        <w:sz w:val="20"/>
      </w:rPr>
      <w:t>7</w:t>
    </w:r>
    <w:r w:rsidR="006A2B6D" w:rsidRPr="00FE07D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2F" w:rsidRDefault="00181F2F">
      <w:r>
        <w:separator/>
      </w:r>
    </w:p>
  </w:footnote>
  <w:footnote w:type="continuationSeparator" w:id="0">
    <w:p w:rsidR="00181F2F" w:rsidRDefault="00181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299"/>
    <w:multiLevelType w:val="hybridMultilevel"/>
    <w:tmpl w:val="C28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5B60"/>
    <w:multiLevelType w:val="hybridMultilevel"/>
    <w:tmpl w:val="81D66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3094"/>
    <w:multiLevelType w:val="hybridMultilevel"/>
    <w:tmpl w:val="B2F2A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E10AA6"/>
    <w:multiLevelType w:val="hybridMultilevel"/>
    <w:tmpl w:val="53A8E0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6C406B"/>
    <w:multiLevelType w:val="hybridMultilevel"/>
    <w:tmpl w:val="3642F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279C5403"/>
    <w:multiLevelType w:val="hybridMultilevel"/>
    <w:tmpl w:val="7FC4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5203BF"/>
    <w:multiLevelType w:val="hybridMultilevel"/>
    <w:tmpl w:val="E3689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A7847"/>
    <w:multiLevelType w:val="hybridMultilevel"/>
    <w:tmpl w:val="5F083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DA0624"/>
    <w:multiLevelType w:val="hybridMultilevel"/>
    <w:tmpl w:val="6360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295881"/>
    <w:multiLevelType w:val="hybridMultilevel"/>
    <w:tmpl w:val="DB665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02101"/>
    <w:multiLevelType w:val="hybridMultilevel"/>
    <w:tmpl w:val="381E5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8"/>
  </w:num>
  <w:num w:numId="3">
    <w:abstractNumId w:val="6"/>
  </w:num>
  <w:num w:numId="4">
    <w:abstractNumId w:val="17"/>
  </w:num>
  <w:num w:numId="5">
    <w:abstractNumId w:val="2"/>
  </w:num>
  <w:num w:numId="6">
    <w:abstractNumId w:val="15"/>
  </w:num>
  <w:num w:numId="7">
    <w:abstractNumId w:val="8"/>
  </w:num>
  <w:num w:numId="8">
    <w:abstractNumId w:val="10"/>
  </w:num>
  <w:num w:numId="9">
    <w:abstractNumId w:val="16"/>
  </w:num>
  <w:num w:numId="10">
    <w:abstractNumId w:val="12"/>
  </w:num>
  <w:num w:numId="11">
    <w:abstractNumId w:val="19"/>
  </w:num>
  <w:num w:numId="12">
    <w:abstractNumId w:val="4"/>
  </w:num>
  <w:num w:numId="13">
    <w:abstractNumId w:val="11"/>
  </w:num>
  <w:num w:numId="14">
    <w:abstractNumId w:val="14"/>
  </w:num>
  <w:num w:numId="15">
    <w:abstractNumId w:val="5"/>
  </w:num>
  <w:num w:numId="16">
    <w:abstractNumId w:val="1"/>
  </w:num>
  <w:num w:numId="17">
    <w:abstractNumId w:val="3"/>
  </w:num>
  <w:num w:numId="18">
    <w:abstractNumId w:val="7"/>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393D8E"/>
    <w:rsid w:val="00005D9D"/>
    <w:rsid w:val="0000614E"/>
    <w:rsid w:val="0001141F"/>
    <w:rsid w:val="00012879"/>
    <w:rsid w:val="0001415F"/>
    <w:rsid w:val="00021B34"/>
    <w:rsid w:val="00022B43"/>
    <w:rsid w:val="00026761"/>
    <w:rsid w:val="00033010"/>
    <w:rsid w:val="00034235"/>
    <w:rsid w:val="00035E06"/>
    <w:rsid w:val="00035EAD"/>
    <w:rsid w:val="00041AFF"/>
    <w:rsid w:val="000424FA"/>
    <w:rsid w:val="00043D93"/>
    <w:rsid w:val="000470E6"/>
    <w:rsid w:val="00051BBA"/>
    <w:rsid w:val="00052331"/>
    <w:rsid w:val="00052888"/>
    <w:rsid w:val="00052BF6"/>
    <w:rsid w:val="00052EF3"/>
    <w:rsid w:val="000568CC"/>
    <w:rsid w:val="00060D40"/>
    <w:rsid w:val="00060E7E"/>
    <w:rsid w:val="00064FC2"/>
    <w:rsid w:val="00076D27"/>
    <w:rsid w:val="00080BE0"/>
    <w:rsid w:val="00095816"/>
    <w:rsid w:val="000A3ACC"/>
    <w:rsid w:val="000A5132"/>
    <w:rsid w:val="000A6FA6"/>
    <w:rsid w:val="000A702F"/>
    <w:rsid w:val="000D3C58"/>
    <w:rsid w:val="000D6696"/>
    <w:rsid w:val="000E0241"/>
    <w:rsid w:val="000E4DC4"/>
    <w:rsid w:val="000F000D"/>
    <w:rsid w:val="00101BF4"/>
    <w:rsid w:val="00101D7F"/>
    <w:rsid w:val="0010691E"/>
    <w:rsid w:val="00110597"/>
    <w:rsid w:val="00111D95"/>
    <w:rsid w:val="00112188"/>
    <w:rsid w:val="00121449"/>
    <w:rsid w:val="001271B7"/>
    <w:rsid w:val="001363E1"/>
    <w:rsid w:val="00142C1A"/>
    <w:rsid w:val="001512B4"/>
    <w:rsid w:val="0015197C"/>
    <w:rsid w:val="00151AF1"/>
    <w:rsid w:val="00151B1A"/>
    <w:rsid w:val="00155A16"/>
    <w:rsid w:val="0016392E"/>
    <w:rsid w:val="001643A8"/>
    <w:rsid w:val="00165E23"/>
    <w:rsid w:val="00166FC5"/>
    <w:rsid w:val="0017386E"/>
    <w:rsid w:val="00181923"/>
    <w:rsid w:val="00181F2F"/>
    <w:rsid w:val="00181FC4"/>
    <w:rsid w:val="00192CF5"/>
    <w:rsid w:val="00193BCB"/>
    <w:rsid w:val="001A1E4A"/>
    <w:rsid w:val="001B0A29"/>
    <w:rsid w:val="001B0CC2"/>
    <w:rsid w:val="001B17A7"/>
    <w:rsid w:val="001B5D3C"/>
    <w:rsid w:val="001B7C8A"/>
    <w:rsid w:val="001C3EF3"/>
    <w:rsid w:val="001C7BAC"/>
    <w:rsid w:val="001D16AD"/>
    <w:rsid w:val="001D2D45"/>
    <w:rsid w:val="001D4B16"/>
    <w:rsid w:val="001D63C2"/>
    <w:rsid w:val="001E088E"/>
    <w:rsid w:val="001E1A4E"/>
    <w:rsid w:val="001E2C13"/>
    <w:rsid w:val="001E3C29"/>
    <w:rsid w:val="001E3E65"/>
    <w:rsid w:val="001E4FCD"/>
    <w:rsid w:val="001E73AA"/>
    <w:rsid w:val="001F33B9"/>
    <w:rsid w:val="001F4D96"/>
    <w:rsid w:val="001F5A64"/>
    <w:rsid w:val="002032C0"/>
    <w:rsid w:val="00210B7B"/>
    <w:rsid w:val="002114CB"/>
    <w:rsid w:val="0021580D"/>
    <w:rsid w:val="00216AE7"/>
    <w:rsid w:val="00216DCB"/>
    <w:rsid w:val="00222277"/>
    <w:rsid w:val="002340E1"/>
    <w:rsid w:val="00234B9F"/>
    <w:rsid w:val="00243B84"/>
    <w:rsid w:val="00253306"/>
    <w:rsid w:val="00254433"/>
    <w:rsid w:val="00255F47"/>
    <w:rsid w:val="00257CC9"/>
    <w:rsid w:val="0026742B"/>
    <w:rsid w:val="00267C9D"/>
    <w:rsid w:val="00273256"/>
    <w:rsid w:val="00273309"/>
    <w:rsid w:val="002747DE"/>
    <w:rsid w:val="00277E19"/>
    <w:rsid w:val="00281797"/>
    <w:rsid w:val="00284A01"/>
    <w:rsid w:val="002923CE"/>
    <w:rsid w:val="00296E47"/>
    <w:rsid w:val="002A1933"/>
    <w:rsid w:val="002A376B"/>
    <w:rsid w:val="002C27DB"/>
    <w:rsid w:val="002D60E5"/>
    <w:rsid w:val="002D6A98"/>
    <w:rsid w:val="002D6C1C"/>
    <w:rsid w:val="002E599E"/>
    <w:rsid w:val="002F0D4B"/>
    <w:rsid w:val="002F1084"/>
    <w:rsid w:val="002F4660"/>
    <w:rsid w:val="002F53B0"/>
    <w:rsid w:val="003016C1"/>
    <w:rsid w:val="00304C2D"/>
    <w:rsid w:val="00305EE3"/>
    <w:rsid w:val="003073B8"/>
    <w:rsid w:val="00311470"/>
    <w:rsid w:val="00312C3D"/>
    <w:rsid w:val="00312FF1"/>
    <w:rsid w:val="00314833"/>
    <w:rsid w:val="00324856"/>
    <w:rsid w:val="003257AA"/>
    <w:rsid w:val="00330C0A"/>
    <w:rsid w:val="003405CC"/>
    <w:rsid w:val="00350CC8"/>
    <w:rsid w:val="003513C2"/>
    <w:rsid w:val="00352BC3"/>
    <w:rsid w:val="00363B73"/>
    <w:rsid w:val="0037017F"/>
    <w:rsid w:val="00370509"/>
    <w:rsid w:val="0037470D"/>
    <w:rsid w:val="00377F27"/>
    <w:rsid w:val="0038274E"/>
    <w:rsid w:val="003830A0"/>
    <w:rsid w:val="00383404"/>
    <w:rsid w:val="003937B6"/>
    <w:rsid w:val="00393D8E"/>
    <w:rsid w:val="0039638B"/>
    <w:rsid w:val="003A1D42"/>
    <w:rsid w:val="003A6879"/>
    <w:rsid w:val="003C187E"/>
    <w:rsid w:val="003C2BC1"/>
    <w:rsid w:val="003C4CA6"/>
    <w:rsid w:val="003D036E"/>
    <w:rsid w:val="003D0C63"/>
    <w:rsid w:val="003D117E"/>
    <w:rsid w:val="003F4803"/>
    <w:rsid w:val="003F7B08"/>
    <w:rsid w:val="004011F9"/>
    <w:rsid w:val="004026CE"/>
    <w:rsid w:val="004044CF"/>
    <w:rsid w:val="00407AA5"/>
    <w:rsid w:val="00410B48"/>
    <w:rsid w:val="00424F2F"/>
    <w:rsid w:val="0042768E"/>
    <w:rsid w:val="004306AF"/>
    <w:rsid w:val="004415CE"/>
    <w:rsid w:val="00443B8D"/>
    <w:rsid w:val="00454BDC"/>
    <w:rsid w:val="004608EF"/>
    <w:rsid w:val="004631F9"/>
    <w:rsid w:val="004646B0"/>
    <w:rsid w:val="00466C14"/>
    <w:rsid w:val="00470640"/>
    <w:rsid w:val="00470C02"/>
    <w:rsid w:val="00471691"/>
    <w:rsid w:val="00471819"/>
    <w:rsid w:val="00472E51"/>
    <w:rsid w:val="00476E36"/>
    <w:rsid w:val="00477420"/>
    <w:rsid w:val="004841B1"/>
    <w:rsid w:val="00487079"/>
    <w:rsid w:val="004B2051"/>
    <w:rsid w:val="004B5610"/>
    <w:rsid w:val="004D3C43"/>
    <w:rsid w:val="004D472D"/>
    <w:rsid w:val="004D4F9E"/>
    <w:rsid w:val="004D650A"/>
    <w:rsid w:val="004D727F"/>
    <w:rsid w:val="004E5696"/>
    <w:rsid w:val="004F118A"/>
    <w:rsid w:val="004F2F05"/>
    <w:rsid w:val="004F3E04"/>
    <w:rsid w:val="004F6B34"/>
    <w:rsid w:val="00504565"/>
    <w:rsid w:val="0050759D"/>
    <w:rsid w:val="005124A7"/>
    <w:rsid w:val="005130A9"/>
    <w:rsid w:val="0051597A"/>
    <w:rsid w:val="00526850"/>
    <w:rsid w:val="00531349"/>
    <w:rsid w:val="0053255A"/>
    <w:rsid w:val="00535804"/>
    <w:rsid w:val="005367BD"/>
    <w:rsid w:val="00540021"/>
    <w:rsid w:val="00542743"/>
    <w:rsid w:val="00552F08"/>
    <w:rsid w:val="005636FB"/>
    <w:rsid w:val="005674B1"/>
    <w:rsid w:val="00573C4E"/>
    <w:rsid w:val="00592B64"/>
    <w:rsid w:val="005932C1"/>
    <w:rsid w:val="00594B10"/>
    <w:rsid w:val="00594DAB"/>
    <w:rsid w:val="00596978"/>
    <w:rsid w:val="0059734D"/>
    <w:rsid w:val="005A00B3"/>
    <w:rsid w:val="005A0B18"/>
    <w:rsid w:val="005A36E4"/>
    <w:rsid w:val="005A6AC6"/>
    <w:rsid w:val="005D1AFA"/>
    <w:rsid w:val="005D3F75"/>
    <w:rsid w:val="005D4EFE"/>
    <w:rsid w:val="005E0B96"/>
    <w:rsid w:val="005E2BD6"/>
    <w:rsid w:val="00613B87"/>
    <w:rsid w:val="00624D4B"/>
    <w:rsid w:val="00627953"/>
    <w:rsid w:val="0063157C"/>
    <w:rsid w:val="00633FFB"/>
    <w:rsid w:val="006377D8"/>
    <w:rsid w:val="006441E9"/>
    <w:rsid w:val="006524EC"/>
    <w:rsid w:val="0065292B"/>
    <w:rsid w:val="00654735"/>
    <w:rsid w:val="00662189"/>
    <w:rsid w:val="006673F2"/>
    <w:rsid w:val="006723E8"/>
    <w:rsid w:val="00675E5D"/>
    <w:rsid w:val="00680110"/>
    <w:rsid w:val="00680B7A"/>
    <w:rsid w:val="00681652"/>
    <w:rsid w:val="00686AC3"/>
    <w:rsid w:val="00691BDB"/>
    <w:rsid w:val="0069513B"/>
    <w:rsid w:val="006A11AA"/>
    <w:rsid w:val="006A2B6D"/>
    <w:rsid w:val="006A59E5"/>
    <w:rsid w:val="006A659C"/>
    <w:rsid w:val="006A7B6C"/>
    <w:rsid w:val="006B0E2E"/>
    <w:rsid w:val="006B1AB7"/>
    <w:rsid w:val="006B67F0"/>
    <w:rsid w:val="006C4E9F"/>
    <w:rsid w:val="006C6DCC"/>
    <w:rsid w:val="006D1124"/>
    <w:rsid w:val="006E3292"/>
    <w:rsid w:val="006F073A"/>
    <w:rsid w:val="006F131C"/>
    <w:rsid w:val="006F65C7"/>
    <w:rsid w:val="006F7997"/>
    <w:rsid w:val="007119EF"/>
    <w:rsid w:val="00720983"/>
    <w:rsid w:val="00720EE9"/>
    <w:rsid w:val="0072322B"/>
    <w:rsid w:val="00736602"/>
    <w:rsid w:val="00740A56"/>
    <w:rsid w:val="007455B4"/>
    <w:rsid w:val="00754DF7"/>
    <w:rsid w:val="00757446"/>
    <w:rsid w:val="00764578"/>
    <w:rsid w:val="007706E5"/>
    <w:rsid w:val="00770ABA"/>
    <w:rsid w:val="00771A4F"/>
    <w:rsid w:val="00771D77"/>
    <w:rsid w:val="00772C0C"/>
    <w:rsid w:val="00782432"/>
    <w:rsid w:val="00783484"/>
    <w:rsid w:val="00783816"/>
    <w:rsid w:val="00783B7D"/>
    <w:rsid w:val="0078549A"/>
    <w:rsid w:val="00793946"/>
    <w:rsid w:val="00793A31"/>
    <w:rsid w:val="0079425E"/>
    <w:rsid w:val="007A1392"/>
    <w:rsid w:val="007A152A"/>
    <w:rsid w:val="007A4A30"/>
    <w:rsid w:val="007A6F9A"/>
    <w:rsid w:val="007B6FA7"/>
    <w:rsid w:val="007C1FBA"/>
    <w:rsid w:val="007C2EE6"/>
    <w:rsid w:val="007C5081"/>
    <w:rsid w:val="007C5D94"/>
    <w:rsid w:val="007D37C6"/>
    <w:rsid w:val="007D456B"/>
    <w:rsid w:val="007D745D"/>
    <w:rsid w:val="007E16E0"/>
    <w:rsid w:val="007E7023"/>
    <w:rsid w:val="007F0734"/>
    <w:rsid w:val="007F145D"/>
    <w:rsid w:val="007F274F"/>
    <w:rsid w:val="007F4915"/>
    <w:rsid w:val="008003E4"/>
    <w:rsid w:val="00805EE8"/>
    <w:rsid w:val="008119CE"/>
    <w:rsid w:val="00811C64"/>
    <w:rsid w:val="008205B2"/>
    <w:rsid w:val="00821F79"/>
    <w:rsid w:val="00824470"/>
    <w:rsid w:val="00824F6B"/>
    <w:rsid w:val="008253B4"/>
    <w:rsid w:val="00826B7D"/>
    <w:rsid w:val="008347F7"/>
    <w:rsid w:val="008426B7"/>
    <w:rsid w:val="00844FBD"/>
    <w:rsid w:val="008466EF"/>
    <w:rsid w:val="0085240F"/>
    <w:rsid w:val="00853628"/>
    <w:rsid w:val="00855202"/>
    <w:rsid w:val="0085523B"/>
    <w:rsid w:val="008566D1"/>
    <w:rsid w:val="00857342"/>
    <w:rsid w:val="0087213A"/>
    <w:rsid w:val="00872987"/>
    <w:rsid w:val="008917A4"/>
    <w:rsid w:val="00892DB4"/>
    <w:rsid w:val="008949AA"/>
    <w:rsid w:val="00897650"/>
    <w:rsid w:val="008A370E"/>
    <w:rsid w:val="008A65E1"/>
    <w:rsid w:val="008B3CEE"/>
    <w:rsid w:val="008B4912"/>
    <w:rsid w:val="008C39E7"/>
    <w:rsid w:val="008C49FD"/>
    <w:rsid w:val="008D341E"/>
    <w:rsid w:val="008D4448"/>
    <w:rsid w:val="008E1DD8"/>
    <w:rsid w:val="008E4B7F"/>
    <w:rsid w:val="008E6869"/>
    <w:rsid w:val="008F02D5"/>
    <w:rsid w:val="008F414E"/>
    <w:rsid w:val="0090096B"/>
    <w:rsid w:val="00900F98"/>
    <w:rsid w:val="00902B44"/>
    <w:rsid w:val="00915F52"/>
    <w:rsid w:val="009212FF"/>
    <w:rsid w:val="00921F64"/>
    <w:rsid w:val="0092212F"/>
    <w:rsid w:val="009229CA"/>
    <w:rsid w:val="00925C8C"/>
    <w:rsid w:val="00927102"/>
    <w:rsid w:val="00927A55"/>
    <w:rsid w:val="00932045"/>
    <w:rsid w:val="00932187"/>
    <w:rsid w:val="00935AFF"/>
    <w:rsid w:val="009365F0"/>
    <w:rsid w:val="00937CAF"/>
    <w:rsid w:val="00937DC8"/>
    <w:rsid w:val="00945A67"/>
    <w:rsid w:val="00957471"/>
    <w:rsid w:val="00961A55"/>
    <w:rsid w:val="009621CC"/>
    <w:rsid w:val="009662B5"/>
    <w:rsid w:val="00967B24"/>
    <w:rsid w:val="00977CD0"/>
    <w:rsid w:val="00982322"/>
    <w:rsid w:val="00982492"/>
    <w:rsid w:val="00984F5D"/>
    <w:rsid w:val="00986C93"/>
    <w:rsid w:val="00990322"/>
    <w:rsid w:val="00993457"/>
    <w:rsid w:val="00995289"/>
    <w:rsid w:val="0099659C"/>
    <w:rsid w:val="009A0BFB"/>
    <w:rsid w:val="009A2F87"/>
    <w:rsid w:val="009A3FEB"/>
    <w:rsid w:val="009B3D10"/>
    <w:rsid w:val="009C4E20"/>
    <w:rsid w:val="009D3012"/>
    <w:rsid w:val="009F39EB"/>
    <w:rsid w:val="00A00C35"/>
    <w:rsid w:val="00A0564F"/>
    <w:rsid w:val="00A0727D"/>
    <w:rsid w:val="00A101C8"/>
    <w:rsid w:val="00A132DD"/>
    <w:rsid w:val="00A16465"/>
    <w:rsid w:val="00A20393"/>
    <w:rsid w:val="00A21FDB"/>
    <w:rsid w:val="00A266F8"/>
    <w:rsid w:val="00A30688"/>
    <w:rsid w:val="00A3698F"/>
    <w:rsid w:val="00A40539"/>
    <w:rsid w:val="00A50D4D"/>
    <w:rsid w:val="00A52492"/>
    <w:rsid w:val="00A60E0E"/>
    <w:rsid w:val="00A60E6E"/>
    <w:rsid w:val="00A61E6E"/>
    <w:rsid w:val="00A6788D"/>
    <w:rsid w:val="00A811C5"/>
    <w:rsid w:val="00A83D64"/>
    <w:rsid w:val="00A842CE"/>
    <w:rsid w:val="00A92736"/>
    <w:rsid w:val="00A92E65"/>
    <w:rsid w:val="00AA1B1B"/>
    <w:rsid w:val="00AA6DCD"/>
    <w:rsid w:val="00AA7B60"/>
    <w:rsid w:val="00AB29BD"/>
    <w:rsid w:val="00AB29F4"/>
    <w:rsid w:val="00AB35BF"/>
    <w:rsid w:val="00AB45C6"/>
    <w:rsid w:val="00AB639D"/>
    <w:rsid w:val="00AC2A84"/>
    <w:rsid w:val="00AC5C62"/>
    <w:rsid w:val="00AD3E8E"/>
    <w:rsid w:val="00AD6193"/>
    <w:rsid w:val="00B01F66"/>
    <w:rsid w:val="00B04F2C"/>
    <w:rsid w:val="00B15CA4"/>
    <w:rsid w:val="00B17B2E"/>
    <w:rsid w:val="00B27D7B"/>
    <w:rsid w:val="00B30CAC"/>
    <w:rsid w:val="00B3154C"/>
    <w:rsid w:val="00B37E4B"/>
    <w:rsid w:val="00B40ADA"/>
    <w:rsid w:val="00B448A6"/>
    <w:rsid w:val="00B54777"/>
    <w:rsid w:val="00B56399"/>
    <w:rsid w:val="00B57D4F"/>
    <w:rsid w:val="00B61011"/>
    <w:rsid w:val="00B81CCC"/>
    <w:rsid w:val="00B85519"/>
    <w:rsid w:val="00B8695C"/>
    <w:rsid w:val="00B86DD0"/>
    <w:rsid w:val="00B93844"/>
    <w:rsid w:val="00B95E9B"/>
    <w:rsid w:val="00B9633A"/>
    <w:rsid w:val="00BA0197"/>
    <w:rsid w:val="00BA2A3E"/>
    <w:rsid w:val="00BA546F"/>
    <w:rsid w:val="00BA7E03"/>
    <w:rsid w:val="00BB00EC"/>
    <w:rsid w:val="00BB0817"/>
    <w:rsid w:val="00BC3A88"/>
    <w:rsid w:val="00BC64E3"/>
    <w:rsid w:val="00BD3F4B"/>
    <w:rsid w:val="00BE373C"/>
    <w:rsid w:val="00BE7D7A"/>
    <w:rsid w:val="00C006C8"/>
    <w:rsid w:val="00C0240B"/>
    <w:rsid w:val="00C05D7A"/>
    <w:rsid w:val="00C06311"/>
    <w:rsid w:val="00C113DD"/>
    <w:rsid w:val="00C1219F"/>
    <w:rsid w:val="00C12D55"/>
    <w:rsid w:val="00C14CF7"/>
    <w:rsid w:val="00C203AA"/>
    <w:rsid w:val="00C25FDA"/>
    <w:rsid w:val="00C2687F"/>
    <w:rsid w:val="00C278BF"/>
    <w:rsid w:val="00C27C14"/>
    <w:rsid w:val="00C35BA2"/>
    <w:rsid w:val="00C37C21"/>
    <w:rsid w:val="00C52CA5"/>
    <w:rsid w:val="00C538F1"/>
    <w:rsid w:val="00C54836"/>
    <w:rsid w:val="00C55BDE"/>
    <w:rsid w:val="00C60932"/>
    <w:rsid w:val="00C611DA"/>
    <w:rsid w:val="00C61C14"/>
    <w:rsid w:val="00C7418C"/>
    <w:rsid w:val="00C8478E"/>
    <w:rsid w:val="00C9670E"/>
    <w:rsid w:val="00C9792E"/>
    <w:rsid w:val="00C97BAB"/>
    <w:rsid w:val="00CA3453"/>
    <w:rsid w:val="00CA624B"/>
    <w:rsid w:val="00CB1DAE"/>
    <w:rsid w:val="00CB3CF6"/>
    <w:rsid w:val="00CB51BB"/>
    <w:rsid w:val="00CB784B"/>
    <w:rsid w:val="00CC0907"/>
    <w:rsid w:val="00CC0CA2"/>
    <w:rsid w:val="00CC2A7D"/>
    <w:rsid w:val="00CC49DD"/>
    <w:rsid w:val="00CD16F3"/>
    <w:rsid w:val="00CD51DE"/>
    <w:rsid w:val="00CE2B5A"/>
    <w:rsid w:val="00CE41C5"/>
    <w:rsid w:val="00CF0BC5"/>
    <w:rsid w:val="00CF31DE"/>
    <w:rsid w:val="00CF76D8"/>
    <w:rsid w:val="00D062B2"/>
    <w:rsid w:val="00D13840"/>
    <w:rsid w:val="00D176D6"/>
    <w:rsid w:val="00D236F2"/>
    <w:rsid w:val="00D3238C"/>
    <w:rsid w:val="00D40A1E"/>
    <w:rsid w:val="00D4552C"/>
    <w:rsid w:val="00D51194"/>
    <w:rsid w:val="00D524A5"/>
    <w:rsid w:val="00D52CA3"/>
    <w:rsid w:val="00D55077"/>
    <w:rsid w:val="00D57431"/>
    <w:rsid w:val="00D61D28"/>
    <w:rsid w:val="00D62A1E"/>
    <w:rsid w:val="00D62AE7"/>
    <w:rsid w:val="00D63770"/>
    <w:rsid w:val="00D76DDC"/>
    <w:rsid w:val="00D83482"/>
    <w:rsid w:val="00D847E1"/>
    <w:rsid w:val="00D85438"/>
    <w:rsid w:val="00D9021D"/>
    <w:rsid w:val="00D97074"/>
    <w:rsid w:val="00DA284C"/>
    <w:rsid w:val="00DB079B"/>
    <w:rsid w:val="00DB4080"/>
    <w:rsid w:val="00DB5B69"/>
    <w:rsid w:val="00DC29B3"/>
    <w:rsid w:val="00DC395E"/>
    <w:rsid w:val="00DC6442"/>
    <w:rsid w:val="00DC7A30"/>
    <w:rsid w:val="00DD0724"/>
    <w:rsid w:val="00DD63D0"/>
    <w:rsid w:val="00DE10C7"/>
    <w:rsid w:val="00DE5D58"/>
    <w:rsid w:val="00DF6692"/>
    <w:rsid w:val="00E007CC"/>
    <w:rsid w:val="00E00DEA"/>
    <w:rsid w:val="00E06AAA"/>
    <w:rsid w:val="00E13E16"/>
    <w:rsid w:val="00E164B4"/>
    <w:rsid w:val="00E17BDE"/>
    <w:rsid w:val="00E456F6"/>
    <w:rsid w:val="00E4586C"/>
    <w:rsid w:val="00E63028"/>
    <w:rsid w:val="00E67150"/>
    <w:rsid w:val="00E75B7C"/>
    <w:rsid w:val="00E75CDD"/>
    <w:rsid w:val="00E8122B"/>
    <w:rsid w:val="00E84D44"/>
    <w:rsid w:val="00E86D28"/>
    <w:rsid w:val="00E870C8"/>
    <w:rsid w:val="00E94C92"/>
    <w:rsid w:val="00EA1D58"/>
    <w:rsid w:val="00EA3198"/>
    <w:rsid w:val="00EA4EF3"/>
    <w:rsid w:val="00EA79EF"/>
    <w:rsid w:val="00EB1AFC"/>
    <w:rsid w:val="00EB501F"/>
    <w:rsid w:val="00EB5B30"/>
    <w:rsid w:val="00EB6E7C"/>
    <w:rsid w:val="00EB7322"/>
    <w:rsid w:val="00EC3E63"/>
    <w:rsid w:val="00EC45C0"/>
    <w:rsid w:val="00EC629B"/>
    <w:rsid w:val="00ED1351"/>
    <w:rsid w:val="00ED19EA"/>
    <w:rsid w:val="00ED2B0B"/>
    <w:rsid w:val="00EE396D"/>
    <w:rsid w:val="00EE610F"/>
    <w:rsid w:val="00F00095"/>
    <w:rsid w:val="00F03923"/>
    <w:rsid w:val="00F1153F"/>
    <w:rsid w:val="00F13992"/>
    <w:rsid w:val="00F13C16"/>
    <w:rsid w:val="00F25856"/>
    <w:rsid w:val="00F27408"/>
    <w:rsid w:val="00F300F2"/>
    <w:rsid w:val="00F30BFE"/>
    <w:rsid w:val="00F34929"/>
    <w:rsid w:val="00F3725C"/>
    <w:rsid w:val="00F44369"/>
    <w:rsid w:val="00F46F2B"/>
    <w:rsid w:val="00F47C8E"/>
    <w:rsid w:val="00F5200D"/>
    <w:rsid w:val="00F5219F"/>
    <w:rsid w:val="00F55CB8"/>
    <w:rsid w:val="00F5717D"/>
    <w:rsid w:val="00F645B3"/>
    <w:rsid w:val="00F668EC"/>
    <w:rsid w:val="00F70330"/>
    <w:rsid w:val="00F73406"/>
    <w:rsid w:val="00F76A84"/>
    <w:rsid w:val="00F77D34"/>
    <w:rsid w:val="00F84106"/>
    <w:rsid w:val="00F85678"/>
    <w:rsid w:val="00F87003"/>
    <w:rsid w:val="00F9188B"/>
    <w:rsid w:val="00F967D1"/>
    <w:rsid w:val="00FA5198"/>
    <w:rsid w:val="00FA6EA8"/>
    <w:rsid w:val="00FA7C1C"/>
    <w:rsid w:val="00FB147D"/>
    <w:rsid w:val="00FB2EA6"/>
    <w:rsid w:val="00FB4F4C"/>
    <w:rsid w:val="00FB7D4C"/>
    <w:rsid w:val="00FC133C"/>
    <w:rsid w:val="00FC6A27"/>
    <w:rsid w:val="00FE07DF"/>
    <w:rsid w:val="00FE28C6"/>
    <w:rsid w:val="00FF187F"/>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b/>
      <w:sz w:val="24"/>
      <w:u w:val="single"/>
      <w:lang w:val="en-US" w:eastAsia="en-US"/>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33A"/>
    <w:rPr>
      <w:rFonts w:ascii="Tahoma" w:hAnsi="Tahoma" w:cs="Tahoma"/>
      <w:sz w:val="16"/>
      <w:szCs w:val="16"/>
    </w:rPr>
  </w:style>
  <w:style w:type="character" w:customStyle="1" w:styleId="BalloonTextChar">
    <w:name w:val="Balloon Text Char"/>
    <w:basedOn w:val="DefaultParagraphFont"/>
    <w:link w:val="BalloonText"/>
    <w:uiPriority w:val="99"/>
    <w:semiHidden/>
    <w:rsid w:val="0016103E"/>
    <w:rPr>
      <w:sz w:val="0"/>
      <w:szCs w:val="0"/>
    </w:rPr>
  </w:style>
  <w:style w:type="character" w:styleId="CommentReference">
    <w:name w:val="annotation reference"/>
    <w:basedOn w:val="DefaultParagraphFont"/>
    <w:uiPriority w:val="99"/>
    <w:semiHidden/>
    <w:rsid w:val="00A3698F"/>
    <w:rPr>
      <w:rFonts w:cs="Times New Roman"/>
      <w:sz w:val="16"/>
    </w:rPr>
  </w:style>
  <w:style w:type="paragraph" w:styleId="CommentText">
    <w:name w:val="annotation text"/>
    <w:basedOn w:val="Normal"/>
    <w:link w:val="CommentTextChar"/>
    <w:uiPriority w:val="99"/>
    <w:semiHidden/>
    <w:rsid w:val="00A3698F"/>
    <w:rPr>
      <w:sz w:val="20"/>
    </w:rPr>
  </w:style>
  <w:style w:type="character" w:customStyle="1" w:styleId="CommentTextChar">
    <w:name w:val="Comment Text Char"/>
    <w:basedOn w:val="DefaultParagraphFont"/>
    <w:link w:val="CommentText"/>
    <w:uiPriority w:val="99"/>
    <w:semiHidden/>
    <w:rsid w:val="0016103E"/>
    <w:rPr>
      <w:sz w:val="20"/>
      <w:szCs w:val="20"/>
    </w:rPr>
  </w:style>
  <w:style w:type="paragraph" w:styleId="CommentSubject">
    <w:name w:val="annotation subject"/>
    <w:basedOn w:val="CommentText"/>
    <w:next w:val="CommentText"/>
    <w:link w:val="CommentSubjectChar"/>
    <w:uiPriority w:val="99"/>
    <w:semiHidden/>
    <w:rsid w:val="00A3698F"/>
    <w:rPr>
      <w:b/>
      <w:bCs/>
    </w:rPr>
  </w:style>
  <w:style w:type="character" w:customStyle="1" w:styleId="CommentSubjectChar">
    <w:name w:val="Comment Subject Char"/>
    <w:basedOn w:val="CommentTextChar"/>
    <w:link w:val="CommentSubject"/>
    <w:uiPriority w:val="99"/>
    <w:semiHidden/>
    <w:rsid w:val="0016103E"/>
    <w:rPr>
      <w:b/>
      <w:bCs/>
      <w:sz w:val="20"/>
      <w:szCs w:val="20"/>
    </w:rPr>
  </w:style>
  <w:style w:type="paragraph" w:styleId="Header">
    <w:name w:val="header"/>
    <w:basedOn w:val="Normal"/>
    <w:link w:val="HeaderChar"/>
    <w:uiPriority w:val="99"/>
    <w:rsid w:val="000E0241"/>
    <w:pPr>
      <w:tabs>
        <w:tab w:val="center" w:pos="4320"/>
        <w:tab w:val="right" w:pos="8640"/>
      </w:tabs>
    </w:pPr>
  </w:style>
  <w:style w:type="character" w:customStyle="1" w:styleId="HeaderChar">
    <w:name w:val="Header Char"/>
    <w:basedOn w:val="DefaultParagraphFont"/>
    <w:link w:val="Header"/>
    <w:uiPriority w:val="99"/>
    <w:locked/>
    <w:rsid w:val="00034235"/>
    <w:rPr>
      <w:sz w:val="24"/>
      <w:lang w:val="en-US" w:eastAsia="en-US"/>
    </w:rPr>
  </w:style>
  <w:style w:type="paragraph" w:styleId="Footer">
    <w:name w:val="footer"/>
    <w:basedOn w:val="Normal"/>
    <w:link w:val="FooterChar"/>
    <w:uiPriority w:val="99"/>
    <w:rsid w:val="000E0241"/>
    <w:pPr>
      <w:tabs>
        <w:tab w:val="center" w:pos="4320"/>
        <w:tab w:val="right" w:pos="8640"/>
      </w:tabs>
    </w:pPr>
  </w:style>
  <w:style w:type="character" w:customStyle="1" w:styleId="FooterChar">
    <w:name w:val="Footer Char"/>
    <w:basedOn w:val="DefaultParagraphFont"/>
    <w:link w:val="Footer"/>
    <w:uiPriority w:val="99"/>
    <w:semiHidden/>
    <w:rsid w:val="0016103E"/>
    <w:rPr>
      <w:sz w:val="24"/>
      <w:szCs w:val="20"/>
    </w:rPr>
  </w:style>
  <w:style w:type="character" w:styleId="PageNumber">
    <w:name w:val="page number"/>
    <w:basedOn w:val="DefaultParagraphFont"/>
    <w:uiPriority w:val="99"/>
    <w:rsid w:val="002747DE"/>
    <w:rPr>
      <w:rFonts w:cs="Times New Roman"/>
    </w:rPr>
  </w:style>
  <w:style w:type="paragraph" w:styleId="NormalWeb">
    <w:name w:val="Normal (Web)"/>
    <w:basedOn w:val="Normal"/>
    <w:uiPriority w:val="99"/>
    <w:rsid w:val="00035E06"/>
    <w:pPr>
      <w:widowControl/>
      <w:snapToGrid/>
      <w:spacing w:before="100" w:beforeAutospacing="1" w:after="100" w:afterAutospacing="1"/>
    </w:pPr>
    <w:rPr>
      <w:szCs w:val="24"/>
    </w:rPr>
  </w:style>
  <w:style w:type="paragraph" w:styleId="ListParagraph">
    <w:name w:val="List Paragraph"/>
    <w:basedOn w:val="Normal"/>
    <w:uiPriority w:val="99"/>
    <w:qFormat/>
    <w:rsid w:val="00AD6193"/>
    <w:pPr>
      <w:widowControl/>
      <w:snapToGri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DE69B-AFB0-4ACC-92B2-CF2493CE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1462</Words>
  <Characters>8967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Board memorandum attachment, charter applicants and major amendments, Phoenix Academy final application review</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charter applicants and major amendments, Phoenix Academy final application review</dc:title>
  <dc:creator>ESE</dc:creator>
  <cp:lastModifiedBy>ESE</cp:lastModifiedBy>
  <cp:revision>3</cp:revision>
  <cp:lastPrinted>2013-02-15T14:26:00Z</cp:lastPrinted>
  <dcterms:created xsi:type="dcterms:W3CDTF">2013-02-19T21:02:00Z</dcterms:created>
  <dcterms:modified xsi:type="dcterms:W3CDTF">2013-02-22T19:14:00Z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