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0"/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44"/>
        <w:gridCol w:w="4074"/>
      </w:tblGrid>
      <w:tr w:rsidR="007A7ECE" w:rsidTr="00BF38B5">
        <w:tc>
          <w:tcPr>
            <w:tcW w:w="10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A7ECE" w:rsidRPr="00AE676C" w:rsidRDefault="00DB04D3">
            <w:pPr>
              <w:jc w:val="center"/>
              <w:rPr>
                <w:b/>
                <w:caps/>
                <w:szCs w:val="24"/>
              </w:rPr>
            </w:pPr>
            <w:r w:rsidRPr="00AE676C">
              <w:rPr>
                <w:b/>
                <w:caps/>
                <w:szCs w:val="24"/>
              </w:rPr>
              <w:t>Amendment Request</w:t>
            </w:r>
            <w:r w:rsidR="009F6F88" w:rsidRPr="00AE676C">
              <w:rPr>
                <w:b/>
                <w:caps/>
                <w:szCs w:val="24"/>
              </w:rPr>
              <w:t xml:space="preserve"> – February</w:t>
            </w:r>
            <w:r w:rsidR="007A7ECE" w:rsidRPr="00AE676C">
              <w:rPr>
                <w:b/>
                <w:caps/>
                <w:szCs w:val="24"/>
              </w:rPr>
              <w:t xml:space="preserve"> 201</w:t>
            </w:r>
            <w:r w:rsidR="007420E4" w:rsidRPr="00AE676C">
              <w:rPr>
                <w:b/>
                <w:caps/>
                <w:szCs w:val="24"/>
              </w:rPr>
              <w:t>3</w:t>
            </w:r>
          </w:p>
        </w:tc>
      </w:tr>
      <w:tr w:rsidR="007A7ECE" w:rsidTr="00BF3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7A7ECE">
            <w:pPr>
              <w:rPr>
                <w:b/>
                <w:bCs/>
                <w:szCs w:val="24"/>
              </w:rPr>
            </w:pPr>
            <w:r w:rsidRPr="00AE676C">
              <w:rPr>
                <w:b/>
                <w:bCs/>
                <w:szCs w:val="24"/>
              </w:rPr>
              <w:t>School Name: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9F6F88">
            <w:pPr>
              <w:rPr>
                <w:szCs w:val="24"/>
              </w:rPr>
            </w:pPr>
            <w:bookmarkStart w:id="0" w:name="OLE_LINK1"/>
            <w:bookmarkStart w:id="1" w:name="OLE_LINK2"/>
            <w:r w:rsidRPr="00AE676C">
              <w:rPr>
                <w:szCs w:val="24"/>
              </w:rPr>
              <w:t>Conservatory Lab Charter School</w:t>
            </w:r>
            <w:r w:rsidR="00465B8B">
              <w:rPr>
                <w:szCs w:val="24"/>
              </w:rPr>
              <w:t xml:space="preserve"> </w:t>
            </w:r>
            <w:bookmarkEnd w:id="0"/>
            <w:bookmarkEnd w:id="1"/>
            <w:r w:rsidR="00465B8B">
              <w:rPr>
                <w:szCs w:val="24"/>
              </w:rPr>
              <w:t>(Conservatory Lab)</w:t>
            </w:r>
          </w:p>
        </w:tc>
      </w:tr>
      <w:tr w:rsidR="007A7ECE" w:rsidTr="00BF38B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676C" w:rsidRDefault="007A7ECE">
            <w:pPr>
              <w:tabs>
                <w:tab w:val="left" w:pos="2592"/>
              </w:tabs>
              <w:rPr>
                <w:szCs w:val="24"/>
              </w:rPr>
            </w:pPr>
            <w:r w:rsidRPr="00AE676C">
              <w:rPr>
                <w:b/>
                <w:szCs w:val="24"/>
              </w:rPr>
              <w:t>Amendment Request</w:t>
            </w:r>
            <w:r w:rsidRPr="00AE676C">
              <w:rPr>
                <w:szCs w:val="24"/>
              </w:rPr>
              <w:t xml:space="preserve">: 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676C" w:rsidRDefault="00435595" w:rsidP="00265C39">
            <w:pPr>
              <w:tabs>
                <w:tab w:val="left" w:pos="2592"/>
              </w:tabs>
              <w:rPr>
                <w:szCs w:val="24"/>
              </w:rPr>
            </w:pPr>
            <w:r w:rsidRPr="00AE676C">
              <w:rPr>
                <w:szCs w:val="24"/>
              </w:rPr>
              <w:t>Additional seats-275 and Grades served-</w:t>
            </w:r>
            <w:r w:rsidR="00C903B5" w:rsidRPr="00AE676C">
              <w:rPr>
                <w:szCs w:val="24"/>
              </w:rPr>
              <w:t>7, 8</w:t>
            </w:r>
          </w:p>
        </w:tc>
      </w:tr>
      <w:tr w:rsidR="007A7ECE" w:rsidTr="00BF38B5">
        <w:trPr>
          <w:cantSplit/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676C" w:rsidRDefault="007A7ECE">
            <w:pPr>
              <w:rPr>
                <w:b/>
                <w:szCs w:val="24"/>
              </w:rPr>
            </w:pPr>
            <w:r w:rsidRPr="00AE676C">
              <w:rPr>
                <w:b/>
                <w:szCs w:val="24"/>
              </w:rPr>
              <w:t>Implementation: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676C" w:rsidRDefault="00C903B5">
            <w:pPr>
              <w:rPr>
                <w:szCs w:val="24"/>
              </w:rPr>
            </w:pPr>
            <w:r w:rsidRPr="00AE676C">
              <w:rPr>
                <w:szCs w:val="24"/>
              </w:rPr>
              <w:t>2013-2014</w:t>
            </w:r>
          </w:p>
        </w:tc>
      </w:tr>
      <w:tr w:rsidR="007A7ECE" w:rsidTr="00BF38B5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676C" w:rsidRDefault="007A7ECE">
            <w:pPr>
              <w:rPr>
                <w:szCs w:val="24"/>
              </w:rPr>
            </w:pPr>
            <w:r w:rsidRPr="00AE676C">
              <w:rPr>
                <w:b/>
                <w:szCs w:val="24"/>
              </w:rPr>
              <w:t xml:space="preserve">Year </w:t>
            </w:r>
            <w:r w:rsidR="009D032C" w:rsidRPr="00AE676C">
              <w:rPr>
                <w:b/>
                <w:szCs w:val="24"/>
              </w:rPr>
              <w:t>Charter/</w:t>
            </w:r>
            <w:r w:rsidR="00CF66E9" w:rsidRPr="00AE676C">
              <w:rPr>
                <w:b/>
                <w:szCs w:val="24"/>
              </w:rPr>
              <w:t>Opened</w:t>
            </w:r>
            <w:r w:rsidRPr="00AE676C">
              <w:rPr>
                <w:szCs w:val="24"/>
              </w:rPr>
              <w:t>: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CE" w:rsidRPr="00AE676C" w:rsidRDefault="0094762C" w:rsidP="00265C39">
            <w:pPr>
              <w:rPr>
                <w:szCs w:val="24"/>
              </w:rPr>
            </w:pPr>
            <w:r w:rsidRPr="00AE676C">
              <w:rPr>
                <w:szCs w:val="24"/>
              </w:rPr>
              <w:t>Opened 1999</w:t>
            </w:r>
            <w:r w:rsidR="007420E4" w:rsidRPr="00AE676C">
              <w:rPr>
                <w:szCs w:val="24"/>
              </w:rPr>
              <w:t>; Renewed 200</w:t>
            </w:r>
            <w:r w:rsidRPr="00AE676C">
              <w:rPr>
                <w:szCs w:val="24"/>
              </w:rPr>
              <w:t>4, and 2009</w:t>
            </w:r>
          </w:p>
        </w:tc>
      </w:tr>
      <w:tr w:rsidR="007A7ECE" w:rsidTr="00BF3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7A7ECE">
            <w:pPr>
              <w:rPr>
                <w:b/>
                <w:bCs/>
                <w:szCs w:val="24"/>
              </w:rPr>
            </w:pPr>
            <w:r w:rsidRPr="00AE676C">
              <w:rPr>
                <w:b/>
                <w:bCs/>
                <w:szCs w:val="24"/>
              </w:rPr>
              <w:t>Grades Served: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94762C">
            <w:pPr>
              <w:rPr>
                <w:szCs w:val="24"/>
              </w:rPr>
            </w:pPr>
            <w:r w:rsidRPr="00AE676C">
              <w:rPr>
                <w:szCs w:val="24"/>
              </w:rPr>
              <w:t>K1-6</w:t>
            </w:r>
          </w:p>
        </w:tc>
      </w:tr>
      <w:tr w:rsidR="007A7ECE" w:rsidTr="00BF3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7A7ECE">
            <w:pPr>
              <w:rPr>
                <w:b/>
                <w:bCs/>
                <w:szCs w:val="24"/>
              </w:rPr>
            </w:pPr>
            <w:r w:rsidRPr="00AE676C">
              <w:rPr>
                <w:b/>
                <w:bCs/>
                <w:szCs w:val="24"/>
              </w:rPr>
              <w:t>Current Maximum Enrollment: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94762C">
            <w:pPr>
              <w:rPr>
                <w:szCs w:val="24"/>
              </w:rPr>
            </w:pPr>
            <w:r w:rsidRPr="00AE676C">
              <w:rPr>
                <w:szCs w:val="24"/>
              </w:rPr>
              <w:t>169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7A7ECE" w:rsidP="00A64AE7">
            <w:pPr>
              <w:rPr>
                <w:szCs w:val="24"/>
              </w:rPr>
            </w:pPr>
            <w:r w:rsidRPr="00AE676C">
              <w:rPr>
                <w:b/>
                <w:szCs w:val="24"/>
              </w:rPr>
              <w:t>Wait List</w:t>
            </w:r>
            <w:r w:rsidR="00A64AE7" w:rsidRPr="00AE676C">
              <w:rPr>
                <w:szCs w:val="24"/>
              </w:rPr>
              <w:t xml:space="preserve"> </w:t>
            </w:r>
            <w:r w:rsidR="00A64AE7" w:rsidRPr="00AE676C">
              <w:rPr>
                <w:b/>
                <w:szCs w:val="24"/>
              </w:rPr>
              <w:t>as of March 2012</w:t>
            </w:r>
            <w:r w:rsidRPr="00AE676C">
              <w:rPr>
                <w:szCs w:val="24"/>
              </w:rPr>
              <w:t>:</w:t>
            </w:r>
            <w:r w:rsidR="00402402" w:rsidRPr="00AE676C">
              <w:rPr>
                <w:szCs w:val="24"/>
              </w:rPr>
              <w:t xml:space="preserve"> </w:t>
            </w:r>
            <w:r w:rsidR="00A64AE7" w:rsidRPr="00AE676C">
              <w:rPr>
                <w:szCs w:val="24"/>
              </w:rPr>
              <w:t>883</w:t>
            </w:r>
          </w:p>
        </w:tc>
      </w:tr>
      <w:tr w:rsidR="007A7ECE" w:rsidTr="00BF3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7A7ECE">
            <w:pPr>
              <w:rPr>
                <w:b/>
                <w:bCs/>
                <w:szCs w:val="24"/>
              </w:rPr>
            </w:pPr>
            <w:r w:rsidRPr="00AE676C">
              <w:rPr>
                <w:b/>
                <w:bCs/>
                <w:szCs w:val="24"/>
              </w:rPr>
              <w:t>School Location: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CE" w:rsidRPr="00AE676C" w:rsidRDefault="00F036AD">
            <w:pPr>
              <w:rPr>
                <w:szCs w:val="24"/>
              </w:rPr>
            </w:pPr>
            <w:r w:rsidRPr="00AE676C">
              <w:rPr>
                <w:szCs w:val="24"/>
              </w:rPr>
              <w:t>Brighton</w:t>
            </w:r>
          </w:p>
        </w:tc>
      </w:tr>
      <w:tr w:rsidR="00FF46DA" w:rsidTr="00BF38B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AE676C" w:rsidRDefault="00FF46DA">
            <w:pPr>
              <w:rPr>
                <w:b/>
                <w:bCs/>
                <w:szCs w:val="24"/>
              </w:rPr>
            </w:pPr>
            <w:r w:rsidRPr="00AE676C">
              <w:rPr>
                <w:b/>
                <w:bCs/>
                <w:szCs w:val="24"/>
              </w:rPr>
              <w:t>Proven Provider Status Required</w:t>
            </w:r>
            <w:r w:rsidR="00E54286" w:rsidRPr="00AE676C">
              <w:rPr>
                <w:b/>
                <w:bCs/>
                <w:szCs w:val="24"/>
              </w:rPr>
              <w:t>?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AE676C" w:rsidRDefault="007420E4" w:rsidP="00E96FE1">
            <w:pPr>
              <w:rPr>
                <w:szCs w:val="24"/>
              </w:rPr>
            </w:pPr>
            <w:r w:rsidRPr="00AE676C">
              <w:rPr>
                <w:szCs w:val="24"/>
              </w:rPr>
              <w:t>Yes</w:t>
            </w:r>
          </w:p>
        </w:tc>
      </w:tr>
      <w:tr w:rsidR="00E54286" w:rsidTr="00BF38B5">
        <w:tc>
          <w:tcPr>
            <w:tcW w:w="10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Pr="00AE676C" w:rsidRDefault="00E54286" w:rsidP="00E54286">
            <w:pPr>
              <w:rPr>
                <w:b/>
                <w:bCs/>
                <w:szCs w:val="24"/>
              </w:rPr>
            </w:pPr>
            <w:r w:rsidRPr="00AE676C">
              <w:rPr>
                <w:b/>
                <w:bCs/>
                <w:szCs w:val="24"/>
              </w:rPr>
              <w:t>Mission Statement:</w:t>
            </w:r>
          </w:p>
          <w:p w:rsidR="00E54286" w:rsidRPr="00AE676C" w:rsidRDefault="00E25859" w:rsidP="00E25859">
            <w:pPr>
              <w:pStyle w:val="Body"/>
            </w:pPr>
            <w:r w:rsidRPr="00AE676C">
              <w:t>“The CLCS will engage all children by using the Learning Through Music Curriculum model to ensure every child’s academic, creative, and social success, as validated by qualitative and quantitative measures.”</w:t>
            </w:r>
          </w:p>
        </w:tc>
      </w:tr>
      <w:tr w:rsidR="00C71ED4" w:rsidTr="00BF38B5">
        <w:tc>
          <w:tcPr>
            <w:tcW w:w="10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D4" w:rsidRPr="00AE676C" w:rsidRDefault="00C71ED4" w:rsidP="00C71ED4">
            <w:pPr>
              <w:rPr>
                <w:b/>
                <w:bCs/>
                <w:szCs w:val="24"/>
              </w:rPr>
            </w:pPr>
            <w:r w:rsidRPr="00AE676C">
              <w:rPr>
                <w:b/>
                <w:bCs/>
                <w:szCs w:val="24"/>
              </w:rPr>
              <w:t>Nature of the Request:</w:t>
            </w:r>
          </w:p>
          <w:p w:rsidR="00C903B5" w:rsidRPr="00AE676C" w:rsidRDefault="00C903B5" w:rsidP="00C71ED4">
            <w:pPr>
              <w:rPr>
                <w:bCs/>
                <w:szCs w:val="24"/>
              </w:rPr>
            </w:pPr>
            <w:r w:rsidRPr="00AE676C">
              <w:rPr>
                <w:bCs/>
                <w:szCs w:val="24"/>
              </w:rPr>
              <w:t>With limited optio</w:t>
            </w:r>
            <w:r w:rsidR="00714A45" w:rsidRPr="00AE676C">
              <w:rPr>
                <w:bCs/>
                <w:szCs w:val="24"/>
              </w:rPr>
              <w:t>ns for Conservatory Lab students</w:t>
            </w:r>
            <w:r w:rsidRPr="00AE676C">
              <w:rPr>
                <w:bCs/>
                <w:szCs w:val="24"/>
              </w:rPr>
              <w:t xml:space="preserve"> to continue their studies in a music-based academic program, the school seeks to expand to a K1-8 model with an additional 275 seats.</w:t>
            </w:r>
            <w:r w:rsidR="00AF1B00" w:rsidRPr="00AE676C">
              <w:rPr>
                <w:bCs/>
                <w:szCs w:val="24"/>
              </w:rPr>
              <w:t xml:space="preserve"> The </w:t>
            </w:r>
            <w:r w:rsidR="0010613A" w:rsidRPr="00AE676C">
              <w:rPr>
                <w:bCs/>
                <w:szCs w:val="24"/>
              </w:rPr>
              <w:t>grade expansion</w:t>
            </w:r>
            <w:r w:rsidR="00AF1B00" w:rsidRPr="00AE676C">
              <w:rPr>
                <w:bCs/>
                <w:szCs w:val="24"/>
              </w:rPr>
              <w:t xml:space="preserve"> will </w:t>
            </w:r>
            <w:r w:rsidR="0010613A" w:rsidRPr="00AE676C">
              <w:rPr>
                <w:bCs/>
                <w:szCs w:val="24"/>
              </w:rPr>
              <w:t>proceed</w:t>
            </w:r>
            <w:r w:rsidR="00435595" w:rsidRPr="00AE676C">
              <w:rPr>
                <w:bCs/>
                <w:szCs w:val="24"/>
              </w:rPr>
              <w:t xml:space="preserve"> with the addition of</w:t>
            </w:r>
            <w:r w:rsidR="00AF1B00" w:rsidRPr="00AE676C">
              <w:rPr>
                <w:bCs/>
                <w:szCs w:val="24"/>
              </w:rPr>
              <w:t xml:space="preserve"> </w:t>
            </w:r>
            <w:r w:rsidR="00435595" w:rsidRPr="00AE676C">
              <w:rPr>
                <w:bCs/>
                <w:szCs w:val="24"/>
              </w:rPr>
              <w:t>grade 7</w:t>
            </w:r>
            <w:r w:rsidR="0010613A" w:rsidRPr="00AE676C">
              <w:rPr>
                <w:bCs/>
                <w:szCs w:val="24"/>
              </w:rPr>
              <w:t xml:space="preserve"> in 2013-2014 and </w:t>
            </w:r>
            <w:r w:rsidR="00435595" w:rsidRPr="00AE676C">
              <w:rPr>
                <w:bCs/>
                <w:szCs w:val="24"/>
              </w:rPr>
              <w:t>grade 8</w:t>
            </w:r>
            <w:r w:rsidR="009502C2" w:rsidRPr="00AE676C">
              <w:rPr>
                <w:bCs/>
                <w:szCs w:val="24"/>
              </w:rPr>
              <w:t xml:space="preserve"> </w:t>
            </w:r>
            <w:r w:rsidR="0010613A" w:rsidRPr="00AE676C">
              <w:rPr>
                <w:bCs/>
                <w:szCs w:val="24"/>
              </w:rPr>
              <w:t>in 2014-2015</w:t>
            </w:r>
            <w:r w:rsidR="00435595" w:rsidRPr="00AE676C">
              <w:rPr>
                <w:bCs/>
                <w:szCs w:val="24"/>
              </w:rPr>
              <w:t xml:space="preserve">. </w:t>
            </w:r>
            <w:r w:rsidR="00915619" w:rsidRPr="00AE676C">
              <w:rPr>
                <w:bCs/>
                <w:szCs w:val="24"/>
              </w:rPr>
              <w:t xml:space="preserve"> The increase in enrollment will be distributed over specific grades during a four year period</w:t>
            </w:r>
            <w:r w:rsidR="0010613A" w:rsidRPr="00AE676C">
              <w:rPr>
                <w:bCs/>
                <w:szCs w:val="24"/>
              </w:rPr>
              <w:t xml:space="preserve"> with 142 students added the first year</w:t>
            </w:r>
            <w:r w:rsidR="00915619" w:rsidRPr="00AE676C">
              <w:rPr>
                <w:bCs/>
                <w:szCs w:val="24"/>
              </w:rPr>
              <w:t xml:space="preserve">. </w:t>
            </w:r>
            <w:r w:rsidR="00435595" w:rsidRPr="00AE676C">
              <w:rPr>
                <w:bCs/>
                <w:szCs w:val="24"/>
              </w:rPr>
              <w:t xml:space="preserve">The school expects to be fully expanded </w:t>
            </w:r>
            <w:r w:rsidR="0010613A" w:rsidRPr="00AE676C">
              <w:rPr>
                <w:bCs/>
                <w:szCs w:val="24"/>
              </w:rPr>
              <w:t>in</w:t>
            </w:r>
            <w:r w:rsidR="00435595" w:rsidRPr="00AE676C">
              <w:rPr>
                <w:bCs/>
                <w:szCs w:val="24"/>
              </w:rPr>
              <w:t xml:space="preserve"> the 2016-2017 school year</w:t>
            </w:r>
            <w:r w:rsidR="0010613A" w:rsidRPr="00AE676C">
              <w:rPr>
                <w:bCs/>
                <w:szCs w:val="24"/>
              </w:rPr>
              <w:t>.</w:t>
            </w:r>
          </w:p>
          <w:p w:rsidR="00C71ED4" w:rsidRPr="00AE676C" w:rsidRDefault="00C71ED4" w:rsidP="00C71ED4">
            <w:pPr>
              <w:rPr>
                <w:szCs w:val="24"/>
              </w:rPr>
            </w:pPr>
          </w:p>
          <w:p w:rsidR="00C71ED4" w:rsidRPr="00AE676C" w:rsidRDefault="00C71ED4" w:rsidP="00C71ED4">
            <w:pPr>
              <w:rPr>
                <w:b/>
                <w:szCs w:val="24"/>
              </w:rPr>
            </w:pPr>
            <w:r w:rsidRPr="00AE676C">
              <w:rPr>
                <w:b/>
                <w:szCs w:val="24"/>
              </w:rPr>
              <w:t>Strengths and Weaknesses related to Amendment Request:</w:t>
            </w:r>
          </w:p>
          <w:p w:rsidR="00C71ED4" w:rsidRPr="00AE676C" w:rsidRDefault="00C71ED4" w:rsidP="00C71ED4">
            <w:pPr>
              <w:rPr>
                <w:b/>
                <w:szCs w:val="24"/>
              </w:rPr>
            </w:pPr>
            <w:r w:rsidRPr="00AE676C">
              <w:rPr>
                <w:b/>
                <w:szCs w:val="24"/>
              </w:rPr>
              <w:t>Strengths:</w:t>
            </w:r>
          </w:p>
          <w:p w:rsidR="00AE676C" w:rsidRPr="00AE676C" w:rsidRDefault="00AE676C" w:rsidP="00AE676C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AE676C">
              <w:rPr>
                <w:szCs w:val="24"/>
              </w:rPr>
              <w:t xml:space="preserve">The amendment request and recent accountability documentation contains information that indicates overall that the school’s academic program is a success, that the school is a viable organization, and that it has been faithful to the terms of its charter. </w:t>
            </w:r>
          </w:p>
          <w:p w:rsidR="005370D5" w:rsidRPr="00AE676C" w:rsidRDefault="00462FF6" w:rsidP="009C3A41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>The school has demonstrated high demand for its seats.</w:t>
            </w:r>
          </w:p>
          <w:p w:rsidR="009C3A41" w:rsidRPr="00AE676C" w:rsidRDefault="005370D5" w:rsidP="005370D5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 xml:space="preserve">The school offers a unique music program to Boston area students. </w:t>
            </w:r>
            <w:r w:rsidR="00462FF6" w:rsidRPr="00AE676C">
              <w:rPr>
                <w:szCs w:val="24"/>
              </w:rPr>
              <w:t xml:space="preserve"> </w:t>
            </w:r>
          </w:p>
          <w:p w:rsidR="00462FF6" w:rsidRPr="00AE676C" w:rsidRDefault="00462FF6" w:rsidP="009C3A41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>The conditions placed on the school during its 2009 renewal were</w:t>
            </w:r>
            <w:r w:rsidR="005D5A06" w:rsidRPr="00AE676C">
              <w:rPr>
                <w:szCs w:val="24"/>
              </w:rPr>
              <w:t xml:space="preserve"> met and subsequently</w:t>
            </w:r>
            <w:r w:rsidRPr="00AE676C">
              <w:rPr>
                <w:szCs w:val="24"/>
              </w:rPr>
              <w:t xml:space="preserve"> removed by the B</w:t>
            </w:r>
            <w:r w:rsidR="008C1399" w:rsidRPr="00AE676C">
              <w:rPr>
                <w:szCs w:val="24"/>
              </w:rPr>
              <w:t xml:space="preserve">oard of </w:t>
            </w:r>
            <w:r w:rsidRPr="00AE676C">
              <w:rPr>
                <w:szCs w:val="24"/>
              </w:rPr>
              <w:t>E</w:t>
            </w:r>
            <w:r w:rsidR="008C1399" w:rsidRPr="00AE676C">
              <w:rPr>
                <w:szCs w:val="24"/>
              </w:rPr>
              <w:t xml:space="preserve">lementary and </w:t>
            </w:r>
            <w:r w:rsidRPr="00AE676C">
              <w:rPr>
                <w:szCs w:val="24"/>
              </w:rPr>
              <w:t>S</w:t>
            </w:r>
            <w:r w:rsidR="008C1399" w:rsidRPr="00AE676C">
              <w:rPr>
                <w:szCs w:val="24"/>
              </w:rPr>
              <w:t xml:space="preserve">econdary </w:t>
            </w:r>
            <w:r w:rsidRPr="00AE676C">
              <w:rPr>
                <w:szCs w:val="24"/>
              </w:rPr>
              <w:t>E</w:t>
            </w:r>
            <w:r w:rsidR="008C1399" w:rsidRPr="00AE676C">
              <w:rPr>
                <w:szCs w:val="24"/>
              </w:rPr>
              <w:t>ducation</w:t>
            </w:r>
            <w:r w:rsidRPr="00AE676C">
              <w:rPr>
                <w:szCs w:val="24"/>
              </w:rPr>
              <w:t xml:space="preserve"> in </w:t>
            </w:r>
            <w:r w:rsidR="005D5A06" w:rsidRPr="00AE676C">
              <w:rPr>
                <w:szCs w:val="24"/>
              </w:rPr>
              <w:t xml:space="preserve">February </w:t>
            </w:r>
            <w:r w:rsidRPr="00AE676C">
              <w:rPr>
                <w:szCs w:val="24"/>
              </w:rPr>
              <w:t xml:space="preserve">2011. </w:t>
            </w:r>
            <w:r w:rsidR="005D5A06" w:rsidRPr="00AE676C">
              <w:rPr>
                <w:szCs w:val="24"/>
              </w:rPr>
              <w:t xml:space="preserve">The three conditions </w:t>
            </w:r>
            <w:r w:rsidR="005370D5" w:rsidRPr="00AE676C">
              <w:rPr>
                <w:szCs w:val="24"/>
              </w:rPr>
              <w:t xml:space="preserve">were </w:t>
            </w:r>
            <w:r w:rsidR="005D5A06" w:rsidRPr="00AE676C">
              <w:rPr>
                <w:szCs w:val="24"/>
              </w:rPr>
              <w:t xml:space="preserve">related to implementation of its Learning </w:t>
            </w:r>
            <w:proofErr w:type="gramStart"/>
            <w:r w:rsidR="005D5A06" w:rsidRPr="00AE676C">
              <w:rPr>
                <w:szCs w:val="24"/>
              </w:rPr>
              <w:t>Through</w:t>
            </w:r>
            <w:proofErr w:type="gramEnd"/>
            <w:r w:rsidR="005D5A06" w:rsidRPr="00AE676C">
              <w:rPr>
                <w:szCs w:val="24"/>
              </w:rPr>
              <w:t xml:space="preserve"> Music program and ensuring a programmatically accessible facility.</w:t>
            </w:r>
          </w:p>
          <w:p w:rsidR="004E3773" w:rsidRPr="00AE676C" w:rsidRDefault="004E3773" w:rsidP="009C3A41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 xml:space="preserve">The school is </w:t>
            </w:r>
            <w:r w:rsidR="008C1399" w:rsidRPr="00AE676C">
              <w:rPr>
                <w:szCs w:val="24"/>
              </w:rPr>
              <w:t xml:space="preserve">identified as </w:t>
            </w:r>
            <w:r w:rsidR="00654B9B" w:rsidRPr="00AE676C">
              <w:rPr>
                <w:szCs w:val="24"/>
              </w:rPr>
              <w:t xml:space="preserve">Level 1 </w:t>
            </w:r>
            <w:r w:rsidR="008C1399" w:rsidRPr="00AE676C">
              <w:rPr>
                <w:szCs w:val="24"/>
              </w:rPr>
              <w:t>in the Department</w:t>
            </w:r>
            <w:r w:rsidR="00654B9B" w:rsidRPr="00AE676C">
              <w:rPr>
                <w:szCs w:val="24"/>
              </w:rPr>
              <w:t xml:space="preserve">'s </w:t>
            </w:r>
            <w:r w:rsidR="008C1399" w:rsidRPr="00AE676C">
              <w:rPr>
                <w:szCs w:val="24"/>
              </w:rPr>
              <w:t xml:space="preserve">framework for </w:t>
            </w:r>
            <w:r w:rsidR="00654B9B" w:rsidRPr="00AE676C">
              <w:rPr>
                <w:szCs w:val="24"/>
              </w:rPr>
              <w:t>district accountability and assistance</w:t>
            </w:r>
            <w:r w:rsidRPr="00AE676C">
              <w:rPr>
                <w:szCs w:val="24"/>
              </w:rPr>
              <w:t>.</w:t>
            </w:r>
          </w:p>
          <w:p w:rsidR="00436BAC" w:rsidRPr="00AE676C" w:rsidRDefault="005B3D76" w:rsidP="009F4E72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>The addition of a 7</w:t>
            </w:r>
            <w:r w:rsidRPr="00AE676C">
              <w:rPr>
                <w:szCs w:val="24"/>
                <w:vertAlign w:val="superscript"/>
              </w:rPr>
              <w:t>th</w:t>
            </w:r>
            <w:r w:rsidRPr="00AE676C">
              <w:rPr>
                <w:szCs w:val="24"/>
              </w:rPr>
              <w:t xml:space="preserve"> and 8</w:t>
            </w:r>
            <w:r w:rsidRPr="00AE676C">
              <w:rPr>
                <w:szCs w:val="24"/>
                <w:vertAlign w:val="superscript"/>
              </w:rPr>
              <w:t>th</w:t>
            </w:r>
            <w:r w:rsidRPr="00AE676C">
              <w:rPr>
                <w:szCs w:val="24"/>
              </w:rPr>
              <w:t xml:space="preserve"> grade will address attrition issues for students who had previously left in 6</w:t>
            </w:r>
            <w:r w:rsidRPr="00AE676C">
              <w:rPr>
                <w:szCs w:val="24"/>
                <w:vertAlign w:val="superscript"/>
              </w:rPr>
              <w:t>th</w:t>
            </w:r>
            <w:r w:rsidRPr="00AE676C">
              <w:rPr>
                <w:szCs w:val="24"/>
              </w:rPr>
              <w:t xml:space="preserve"> grade for other middle school options. </w:t>
            </w:r>
          </w:p>
          <w:p w:rsidR="00C22355" w:rsidRPr="00AE676C" w:rsidRDefault="00C22355" w:rsidP="009F4E72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>The school plans to expand its Expeditionary Learning (EL) model to the 7</w:t>
            </w:r>
            <w:r w:rsidRPr="00AE676C">
              <w:rPr>
                <w:szCs w:val="24"/>
                <w:vertAlign w:val="superscript"/>
              </w:rPr>
              <w:t>th</w:t>
            </w:r>
            <w:r w:rsidRPr="00AE676C">
              <w:rPr>
                <w:szCs w:val="24"/>
              </w:rPr>
              <w:t xml:space="preserve"> and 8</w:t>
            </w:r>
            <w:r w:rsidRPr="00AE676C">
              <w:rPr>
                <w:szCs w:val="24"/>
                <w:vertAlign w:val="superscript"/>
              </w:rPr>
              <w:t>th</w:t>
            </w:r>
            <w:r w:rsidRPr="00AE676C">
              <w:rPr>
                <w:szCs w:val="24"/>
              </w:rPr>
              <w:t xml:space="preserve"> grades.</w:t>
            </w:r>
          </w:p>
          <w:p w:rsidR="001D6D7F" w:rsidRPr="00AE676C" w:rsidRDefault="00DD5FC3" w:rsidP="001D6D7F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 xml:space="preserve">The school is working with a real estate broker to find and purchase its own facility. </w:t>
            </w:r>
            <w:r w:rsidR="0079326F" w:rsidRPr="00AE676C">
              <w:rPr>
                <w:szCs w:val="24"/>
              </w:rPr>
              <w:t xml:space="preserve">It has options for temporary space if required. </w:t>
            </w:r>
          </w:p>
          <w:p w:rsidR="001D6D7F" w:rsidRPr="00AE676C" w:rsidRDefault="001D6D7F" w:rsidP="001D6D7F">
            <w:pPr>
              <w:numPr>
                <w:ilvl w:val="0"/>
                <w:numId w:val="10"/>
              </w:numPr>
              <w:rPr>
                <w:szCs w:val="24"/>
              </w:rPr>
            </w:pPr>
            <w:r w:rsidRPr="00AE676C">
              <w:rPr>
                <w:szCs w:val="24"/>
              </w:rPr>
              <w:t xml:space="preserve">The school has a strong teacher pipeline based on its partnerships with Simmons </w:t>
            </w:r>
            <w:r w:rsidR="005A0D40" w:rsidRPr="00AE676C">
              <w:rPr>
                <w:szCs w:val="24"/>
              </w:rPr>
              <w:t xml:space="preserve">College </w:t>
            </w:r>
            <w:r w:rsidRPr="00AE676C">
              <w:rPr>
                <w:szCs w:val="24"/>
              </w:rPr>
              <w:t xml:space="preserve">and Wheelock </w:t>
            </w:r>
            <w:r w:rsidR="005A0D40" w:rsidRPr="00AE676C">
              <w:rPr>
                <w:szCs w:val="24"/>
              </w:rPr>
              <w:t>College</w:t>
            </w:r>
            <w:r w:rsidRPr="00AE676C">
              <w:rPr>
                <w:szCs w:val="24"/>
              </w:rPr>
              <w:t xml:space="preserve">. </w:t>
            </w:r>
          </w:p>
          <w:p w:rsidR="00DD5FC3" w:rsidRPr="00AE676C" w:rsidRDefault="00DD5FC3" w:rsidP="00DD5FC3">
            <w:pPr>
              <w:ind w:left="360"/>
              <w:rPr>
                <w:szCs w:val="24"/>
              </w:rPr>
            </w:pPr>
          </w:p>
          <w:p w:rsidR="00C71ED4" w:rsidRPr="00AE676C" w:rsidRDefault="00C71ED4" w:rsidP="00C71ED4">
            <w:pPr>
              <w:rPr>
                <w:b/>
                <w:color w:val="000000"/>
                <w:szCs w:val="24"/>
              </w:rPr>
            </w:pPr>
            <w:r w:rsidRPr="00AE676C">
              <w:rPr>
                <w:b/>
                <w:color w:val="000000"/>
                <w:szCs w:val="24"/>
              </w:rPr>
              <w:t>Weaknesses:</w:t>
            </w:r>
          </w:p>
          <w:p w:rsidR="00C71ED4" w:rsidRPr="00AE676C" w:rsidRDefault="004E3773" w:rsidP="009869D7">
            <w:pPr>
              <w:numPr>
                <w:ilvl w:val="0"/>
                <w:numId w:val="7"/>
              </w:numPr>
              <w:rPr>
                <w:b/>
                <w:bCs/>
                <w:szCs w:val="24"/>
              </w:rPr>
            </w:pPr>
            <w:r w:rsidRPr="00AE676C">
              <w:rPr>
                <w:bCs/>
                <w:szCs w:val="24"/>
              </w:rPr>
              <w:t>Despite the school’s Level 1 status, it is in the 34</w:t>
            </w:r>
            <w:r w:rsidRPr="00AE676C">
              <w:rPr>
                <w:bCs/>
                <w:szCs w:val="24"/>
                <w:vertAlign w:val="superscript"/>
              </w:rPr>
              <w:t>th</w:t>
            </w:r>
            <w:r w:rsidRPr="00AE676C">
              <w:rPr>
                <w:bCs/>
                <w:szCs w:val="24"/>
              </w:rPr>
              <w:t xml:space="preserve"> percentile</w:t>
            </w:r>
            <w:r w:rsidR="001C567D" w:rsidRPr="00AE676C">
              <w:rPr>
                <w:bCs/>
                <w:szCs w:val="24"/>
              </w:rPr>
              <w:t xml:space="preserve"> relative to other elementary schools</w:t>
            </w:r>
            <w:r w:rsidRPr="00AE676C">
              <w:rPr>
                <w:bCs/>
                <w:szCs w:val="24"/>
              </w:rPr>
              <w:t xml:space="preserve">. </w:t>
            </w:r>
          </w:p>
          <w:p w:rsidR="00DD5FC3" w:rsidRPr="00AE676C" w:rsidRDefault="00DD5FC3" w:rsidP="009869D7">
            <w:pPr>
              <w:numPr>
                <w:ilvl w:val="0"/>
                <w:numId w:val="7"/>
              </w:numPr>
              <w:rPr>
                <w:b/>
                <w:bCs/>
                <w:szCs w:val="24"/>
              </w:rPr>
            </w:pPr>
            <w:r w:rsidRPr="00AE676C">
              <w:rPr>
                <w:bCs/>
                <w:szCs w:val="24"/>
              </w:rPr>
              <w:t xml:space="preserve">The school plans to </w:t>
            </w:r>
            <w:r w:rsidR="00FE3F50" w:rsidRPr="00AE676C">
              <w:rPr>
                <w:bCs/>
                <w:szCs w:val="24"/>
              </w:rPr>
              <w:t xml:space="preserve">grow quickly by </w:t>
            </w:r>
            <w:r w:rsidRPr="00AE676C">
              <w:rPr>
                <w:bCs/>
                <w:szCs w:val="24"/>
              </w:rPr>
              <w:t>add</w:t>
            </w:r>
            <w:r w:rsidR="00FE3F50" w:rsidRPr="00AE676C">
              <w:rPr>
                <w:bCs/>
                <w:szCs w:val="24"/>
              </w:rPr>
              <w:t>ing</w:t>
            </w:r>
            <w:r w:rsidRPr="00AE676C">
              <w:rPr>
                <w:bCs/>
                <w:szCs w:val="24"/>
              </w:rPr>
              <w:t xml:space="preserve"> nearly double the </w:t>
            </w:r>
            <w:r w:rsidR="00FE3F50" w:rsidRPr="00AE676C">
              <w:rPr>
                <w:bCs/>
                <w:szCs w:val="24"/>
              </w:rPr>
              <w:t>student population</w:t>
            </w:r>
            <w:r w:rsidRPr="00AE676C">
              <w:rPr>
                <w:bCs/>
                <w:szCs w:val="24"/>
              </w:rPr>
              <w:t xml:space="preserve"> in </w:t>
            </w:r>
            <w:r w:rsidR="00FE3F50" w:rsidRPr="00AE676C">
              <w:rPr>
                <w:bCs/>
                <w:szCs w:val="24"/>
              </w:rPr>
              <w:t>one</w:t>
            </w:r>
            <w:r w:rsidRPr="00AE676C">
              <w:rPr>
                <w:bCs/>
                <w:szCs w:val="24"/>
              </w:rPr>
              <w:t xml:space="preserve"> year</w:t>
            </w:r>
            <w:r w:rsidR="00FE3F50" w:rsidRPr="00AE676C">
              <w:rPr>
                <w:bCs/>
                <w:szCs w:val="24"/>
              </w:rPr>
              <w:t xml:space="preserve"> (142)</w:t>
            </w:r>
            <w:r w:rsidRPr="00AE676C">
              <w:rPr>
                <w:bCs/>
                <w:szCs w:val="24"/>
              </w:rPr>
              <w:t xml:space="preserve">. </w:t>
            </w:r>
          </w:p>
          <w:p w:rsidR="00FE3F50" w:rsidRPr="00AE676C" w:rsidRDefault="009F4E72" w:rsidP="00AE676C">
            <w:pPr>
              <w:numPr>
                <w:ilvl w:val="0"/>
                <w:numId w:val="7"/>
              </w:numPr>
              <w:rPr>
                <w:b/>
                <w:bCs/>
                <w:szCs w:val="24"/>
              </w:rPr>
            </w:pPr>
            <w:r w:rsidRPr="00AE676C">
              <w:rPr>
                <w:bCs/>
                <w:szCs w:val="24"/>
              </w:rPr>
              <w:t xml:space="preserve">The school has not yet </w:t>
            </w:r>
            <w:r w:rsidR="001C567D" w:rsidRPr="00AE676C">
              <w:rPr>
                <w:bCs/>
                <w:szCs w:val="24"/>
              </w:rPr>
              <w:t>developed</w:t>
            </w:r>
            <w:r w:rsidRPr="00AE676C">
              <w:rPr>
                <w:bCs/>
                <w:szCs w:val="24"/>
              </w:rPr>
              <w:t xml:space="preserve"> curriculum for </w:t>
            </w:r>
            <w:r w:rsidR="001C567D" w:rsidRPr="00AE676C">
              <w:rPr>
                <w:bCs/>
                <w:szCs w:val="24"/>
              </w:rPr>
              <w:t xml:space="preserve">the </w:t>
            </w:r>
            <w:r w:rsidR="00FE3F50" w:rsidRPr="00AE676C">
              <w:rPr>
                <w:bCs/>
                <w:szCs w:val="24"/>
              </w:rPr>
              <w:t>new</w:t>
            </w:r>
            <w:r w:rsidRPr="00AE676C">
              <w:rPr>
                <w:bCs/>
                <w:szCs w:val="24"/>
              </w:rPr>
              <w:t xml:space="preserve"> grade</w:t>
            </w:r>
            <w:r w:rsidR="00FE3F50" w:rsidRPr="00AE676C">
              <w:rPr>
                <w:bCs/>
                <w:szCs w:val="24"/>
              </w:rPr>
              <w:t>s</w:t>
            </w:r>
            <w:r w:rsidRPr="00AE676C">
              <w:rPr>
                <w:bCs/>
                <w:szCs w:val="24"/>
              </w:rPr>
              <w:t>, although they do have content experts on staff</w:t>
            </w:r>
            <w:r w:rsidR="001C567D" w:rsidRPr="00AE676C">
              <w:rPr>
                <w:bCs/>
                <w:szCs w:val="24"/>
              </w:rPr>
              <w:t xml:space="preserve"> and access to resources through an EL School Designer and the EL school network</w:t>
            </w:r>
            <w:r w:rsidRPr="00AE676C">
              <w:rPr>
                <w:bCs/>
                <w:szCs w:val="24"/>
              </w:rPr>
              <w:t xml:space="preserve">. </w:t>
            </w:r>
          </w:p>
        </w:tc>
      </w:tr>
    </w:tbl>
    <w:p w:rsidR="00BF38B5" w:rsidRDefault="00BF38B5" w:rsidP="006977A5">
      <w:pPr>
        <w:widowControl/>
        <w:snapToGrid/>
        <w:rPr>
          <w:b/>
          <w:szCs w:val="24"/>
        </w:rPr>
        <w:sectPr w:rsidR="00BF38B5" w:rsidSect="004E26A5">
          <w:footerReference w:type="default" r:id="rId9"/>
          <w:pgSz w:w="12240" w:h="15840" w:code="1"/>
          <w:pgMar w:top="1440" w:right="1800" w:bottom="1325" w:left="1800" w:header="720" w:footer="720" w:gutter="0"/>
          <w:cols w:space="720"/>
          <w:docGrid w:linePitch="360"/>
        </w:sectPr>
      </w:pPr>
    </w:p>
    <w:p w:rsidR="006555B7" w:rsidRDefault="006555B7" w:rsidP="006555B7">
      <w:pPr>
        <w:widowControl/>
        <w:snapToGrid/>
        <w:rPr>
          <w:b/>
          <w:szCs w:val="24"/>
        </w:rPr>
      </w:pPr>
      <w:smartTag w:uri="urn:schemas-microsoft-com:office:smarttags" w:element="place">
        <w:smartTag w:uri="urn:schemas-microsoft-com:office:smarttags" w:element="PlaceType">
          <w:r w:rsidRPr="00937C78">
            <w:rPr>
              <w:b/>
              <w:szCs w:val="24"/>
            </w:rPr>
            <w:lastRenderedPageBreak/>
            <w:t>Conservatory</w:t>
          </w:r>
        </w:smartTag>
        <w:r w:rsidRPr="00937C78">
          <w:rPr>
            <w:b/>
            <w:szCs w:val="24"/>
          </w:rPr>
          <w:t xml:space="preserve"> </w:t>
        </w:r>
        <w:smartTag w:uri="urn:schemas-microsoft-com:office:smarttags" w:element="PlaceName">
          <w:r w:rsidRPr="00937C78">
            <w:rPr>
              <w:b/>
              <w:szCs w:val="24"/>
            </w:rPr>
            <w:t>Lab</w:t>
          </w:r>
        </w:smartTag>
        <w:r w:rsidRPr="00937C78">
          <w:rPr>
            <w:b/>
            <w:szCs w:val="24"/>
          </w:rPr>
          <w:t xml:space="preserve"> </w:t>
        </w:r>
        <w:smartTag w:uri="urn:schemas-microsoft-com:office:smarttags" w:element="PlaceName">
          <w:r w:rsidRPr="00937C78">
            <w:rPr>
              <w:b/>
              <w:szCs w:val="24"/>
            </w:rPr>
            <w:t>Charter</w:t>
          </w:r>
        </w:smartTag>
        <w:r w:rsidRPr="00937C78">
          <w:rPr>
            <w:b/>
            <w:szCs w:val="24"/>
          </w:rPr>
          <w:t xml:space="preserve"> </w:t>
        </w:r>
        <w:smartTag w:uri="urn:schemas-microsoft-com:office:smarttags" w:element="PlaceType">
          <w:r w:rsidRPr="00937C78">
            <w:rPr>
              <w:b/>
              <w:szCs w:val="24"/>
            </w:rPr>
            <w:t>School</w:t>
          </w:r>
        </w:smartTag>
      </w:smartTag>
    </w:p>
    <w:p w:rsidR="006555B7" w:rsidRDefault="006555B7" w:rsidP="006555B7">
      <w:pPr>
        <w:widowControl/>
        <w:snapToGrid/>
        <w:rPr>
          <w:b/>
          <w:szCs w:val="24"/>
        </w:rPr>
      </w:pPr>
      <w:r>
        <w:rPr>
          <w:b/>
          <w:szCs w:val="24"/>
        </w:rPr>
        <w:t>Academic Performance and Demographic Data</w:t>
      </w:r>
    </w:p>
    <w:p w:rsidR="006555B7" w:rsidRDefault="009A011E" w:rsidP="00BF38B5">
      <w:pPr>
        <w:widowControl/>
        <w:snapToGrid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8302625" cy="2026193"/>
            <wp:effectExtent l="19050" t="0" r="3175" b="0"/>
            <wp:docPr id="1" name="Picture 1" descr="Accountability and Assistance Level 1, 34th Percen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625" cy="202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tbl>
      <w:tblPr>
        <w:tblpPr w:leftFromText="180" w:rightFromText="180" w:vertAnchor="text" w:horzAnchor="margin" w:tblpXSpec="center" w:tblpY="-62"/>
        <w:tblW w:w="11651" w:type="dxa"/>
        <w:tblLayout w:type="fixed"/>
        <w:tblLook w:val="04A0" w:firstRow="1" w:lastRow="0" w:firstColumn="1" w:lastColumn="0" w:noHBand="0" w:noVBand="1"/>
      </w:tblPr>
      <w:tblGrid>
        <w:gridCol w:w="1044"/>
        <w:gridCol w:w="2026"/>
        <w:gridCol w:w="1061"/>
        <w:gridCol w:w="734"/>
        <w:gridCol w:w="972"/>
        <w:gridCol w:w="766"/>
        <w:gridCol w:w="972"/>
        <w:gridCol w:w="1061"/>
        <w:gridCol w:w="1061"/>
        <w:gridCol w:w="1095"/>
        <w:gridCol w:w="859"/>
      </w:tblGrid>
      <w:tr w:rsidR="006555B7" w:rsidRPr="00F50248" w:rsidTr="006555B7">
        <w:trPr>
          <w:trHeight w:val="1035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555B7" w:rsidRPr="00F50248" w:rsidRDefault="006555B7" w:rsidP="006555B7">
            <w:pPr>
              <w:widowControl/>
              <w:snapToGrid/>
              <w:rPr>
                <w:color w:val="FFFFFF"/>
                <w:sz w:val="20"/>
              </w:rPr>
            </w:pPr>
            <w:r w:rsidRPr="00F50248">
              <w:rPr>
                <w:color w:val="FFFFFF"/>
                <w:sz w:val="20"/>
              </w:rPr>
              <w:t>Org Code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widowControl/>
              <w:snapToGrid/>
              <w:jc w:val="center"/>
              <w:rPr>
                <w:b/>
                <w:bCs/>
                <w:color w:val="000000"/>
                <w:sz w:val="20"/>
              </w:rPr>
            </w:pPr>
            <w:r w:rsidRPr="004D147D">
              <w:rPr>
                <w:b/>
                <w:bCs/>
                <w:color w:val="000000"/>
                <w:sz w:val="20"/>
              </w:rPr>
              <w:t xml:space="preserve">2011-2012 </w:t>
            </w:r>
          </w:p>
          <w:p w:rsidR="006555B7" w:rsidRPr="004D147D" w:rsidRDefault="006555B7" w:rsidP="006555B7">
            <w:pPr>
              <w:widowControl/>
              <w:snapToGrid/>
              <w:jc w:val="center"/>
              <w:rPr>
                <w:b/>
                <w:bCs/>
                <w:color w:val="000000"/>
                <w:szCs w:val="24"/>
              </w:rPr>
            </w:pPr>
            <w:r w:rsidRPr="004D147D">
              <w:rPr>
                <w:b/>
                <w:bCs/>
                <w:color w:val="000000"/>
                <w:sz w:val="20"/>
              </w:rPr>
              <w:t>Demographics 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African American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Asian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Hispanic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White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widowControl/>
              <w:snapToGrid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Multi-Race, Non-Hispanic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First Language Not English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Limited English Proficient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Special Education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7" w:rsidRPr="004D147D" w:rsidRDefault="006555B7" w:rsidP="006555B7">
            <w:pPr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Low-Income</w:t>
            </w:r>
          </w:p>
        </w:tc>
      </w:tr>
      <w:tr w:rsidR="006555B7" w:rsidRPr="00F50248" w:rsidTr="006555B7">
        <w:trPr>
          <w:trHeight w:val="525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rPr>
                <w:color w:val="FFFFFF"/>
                <w:sz w:val="20"/>
              </w:rPr>
            </w:pPr>
            <w:r w:rsidRPr="00F50248">
              <w:rPr>
                <w:color w:val="FFFFFF"/>
                <w:sz w:val="20"/>
              </w:rPr>
              <w:t xml:space="preserve">                                                                              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4D147D">
                  <w:rPr>
                    <w:b/>
                    <w:color w:val="000000"/>
                    <w:sz w:val="20"/>
                  </w:rPr>
                  <w:t>Conservatory</w:t>
                </w:r>
              </w:smartTag>
              <w:r w:rsidRPr="004D147D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4D147D">
                  <w:rPr>
                    <w:b/>
                    <w:color w:val="000000"/>
                    <w:sz w:val="20"/>
                  </w:rPr>
                  <w:t>Lab</w:t>
                </w:r>
              </w:smartTag>
              <w:r w:rsidRPr="004D147D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4D147D">
                  <w:rPr>
                    <w:b/>
                    <w:color w:val="000000"/>
                    <w:sz w:val="20"/>
                  </w:rPr>
                  <w:t>Charter</w:t>
                </w:r>
              </w:smartTag>
              <w:r w:rsidRPr="004D147D">
                <w:rPr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Pr="004D147D">
                  <w:rPr>
                    <w:b/>
                    <w:color w:val="000000"/>
                    <w:sz w:val="20"/>
                  </w:rPr>
                  <w:t>School</w:t>
                </w:r>
              </w:smartTag>
            </w:smartTag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37.4%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7.6%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26.3%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24.6%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4.1%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33.9%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21.1%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9.4%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63.2%</w:t>
            </w:r>
          </w:p>
        </w:tc>
      </w:tr>
      <w:tr w:rsidR="006555B7" w:rsidRPr="00F50248" w:rsidTr="00465B8B">
        <w:trPr>
          <w:trHeight w:val="49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(92 Schools)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Comparison Minimum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1.5%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0.0%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17.2%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0.3%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7.4%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32.7%</w:t>
            </w:r>
          </w:p>
        </w:tc>
      </w:tr>
      <w:tr w:rsidR="006555B7" w:rsidRPr="00F50248" w:rsidTr="00465B8B">
        <w:trPr>
          <w:trHeight w:val="270"/>
        </w:trPr>
        <w:tc>
          <w:tcPr>
            <w:tcW w:w="10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5B7" w:rsidRPr="00F50248" w:rsidRDefault="006555B7" w:rsidP="006555B7">
            <w:pPr>
              <w:widowControl/>
              <w:snapToGrid/>
              <w:rPr>
                <w:rFonts w:ascii="Tahoma" w:hAnsi="Tahoma" w:cs="Tahoma"/>
                <w:color w:val="000000"/>
                <w:sz w:val="20"/>
              </w:rPr>
            </w:pPr>
            <w:r w:rsidRPr="00F50248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Comparison Median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31.2%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2.4%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42.5%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8.3%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2.0%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18.4%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74.6%</w:t>
            </w:r>
          </w:p>
        </w:tc>
      </w:tr>
      <w:tr w:rsidR="006555B7" w:rsidRPr="00F50248" w:rsidTr="00465B8B">
        <w:trPr>
          <w:trHeight w:val="525"/>
        </w:trPr>
        <w:tc>
          <w:tcPr>
            <w:tcW w:w="10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5B7" w:rsidRPr="00F50248" w:rsidRDefault="006555B7" w:rsidP="006555B7">
            <w:pPr>
              <w:widowControl/>
              <w:snapToGrid/>
              <w:rPr>
                <w:rFonts w:ascii="Tahoma" w:hAnsi="Tahoma" w:cs="Tahoma"/>
                <w:color w:val="000000"/>
                <w:sz w:val="20"/>
              </w:rPr>
            </w:pPr>
            <w:r w:rsidRPr="00F50248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Comparison Maximum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75.8%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56.6%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90.8%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62.3%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6.6%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71.4%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98.4%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92.1%</w:t>
            </w:r>
          </w:p>
        </w:tc>
      </w:tr>
      <w:tr w:rsidR="006555B7" w:rsidRPr="00F50248" w:rsidTr="00465B8B">
        <w:trPr>
          <w:trHeight w:val="270"/>
        </w:trPr>
        <w:tc>
          <w:tcPr>
            <w:tcW w:w="104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6555B7" w:rsidRPr="00F50248" w:rsidRDefault="006555B7" w:rsidP="006555B7">
            <w:pPr>
              <w:widowControl/>
              <w:snapToGrid/>
              <w:rPr>
                <w:rFonts w:ascii="Tahoma" w:hAnsi="Tahoma" w:cs="Tahoma"/>
                <w:color w:val="000000"/>
                <w:sz w:val="20"/>
              </w:rPr>
            </w:pPr>
            <w:r w:rsidRPr="00F50248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center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 xml:space="preserve"> Comparison Total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33.1%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7.1%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45.8%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11.5%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jc w:val="right"/>
              <w:rPr>
                <w:color w:val="000000"/>
                <w:sz w:val="20"/>
              </w:rPr>
            </w:pPr>
            <w:r w:rsidRPr="00F50248">
              <w:rPr>
                <w:color w:val="000000"/>
                <w:sz w:val="20"/>
              </w:rPr>
              <w:t>2.1%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19.8%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Default="006555B7" w:rsidP="006555B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71.8%</w:t>
            </w:r>
          </w:p>
        </w:tc>
      </w:tr>
      <w:tr w:rsidR="006555B7" w:rsidRPr="00F50248" w:rsidTr="00465B8B">
        <w:trPr>
          <w:trHeight w:val="270"/>
        </w:trPr>
        <w:tc>
          <w:tcPr>
            <w:tcW w:w="10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5B7" w:rsidRPr="00F50248" w:rsidRDefault="006555B7" w:rsidP="006555B7">
            <w:pPr>
              <w:widowControl/>
              <w:snapToGrid/>
              <w:rPr>
                <w:color w:val="FFFFFF"/>
                <w:sz w:val="20"/>
              </w:rPr>
            </w:pPr>
            <w:r w:rsidRPr="00F50248">
              <w:rPr>
                <w:color w:val="FFFFFF"/>
                <w:sz w:val="20"/>
              </w:rPr>
              <w:t>State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center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State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8.3%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5.7%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16.1%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67.0%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B7" w:rsidRPr="004D147D" w:rsidRDefault="006555B7" w:rsidP="006555B7">
            <w:pPr>
              <w:widowControl/>
              <w:snapToGrid/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2.5%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16.7%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7.3%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17.0%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B7" w:rsidRPr="004D147D" w:rsidRDefault="006555B7" w:rsidP="006555B7">
            <w:pPr>
              <w:jc w:val="right"/>
              <w:rPr>
                <w:b/>
                <w:color w:val="000000"/>
                <w:sz w:val="20"/>
              </w:rPr>
            </w:pPr>
            <w:r w:rsidRPr="004D147D">
              <w:rPr>
                <w:b/>
                <w:color w:val="000000"/>
                <w:sz w:val="20"/>
              </w:rPr>
              <w:t>35.2%</w:t>
            </w:r>
          </w:p>
        </w:tc>
      </w:tr>
    </w:tbl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6555B7" w:rsidRDefault="006555B7" w:rsidP="00BF38B5">
      <w:pPr>
        <w:widowControl/>
        <w:snapToGrid/>
        <w:rPr>
          <w:b/>
          <w:szCs w:val="24"/>
        </w:rPr>
      </w:pPr>
    </w:p>
    <w:p w:rsidR="00A442CB" w:rsidRDefault="00A442CB" w:rsidP="00BF38B5">
      <w:pPr>
        <w:widowControl/>
        <w:snapToGrid/>
        <w:rPr>
          <w:b/>
          <w:szCs w:val="24"/>
        </w:rPr>
      </w:pPr>
    </w:p>
    <w:p w:rsidR="009A011E" w:rsidRDefault="009A011E">
      <w:pPr>
        <w:widowControl/>
        <w:snapToGrid/>
        <w:rPr>
          <w:b/>
          <w:szCs w:val="24"/>
        </w:rPr>
      </w:pPr>
      <w:r>
        <w:rPr>
          <w:b/>
          <w:szCs w:val="24"/>
        </w:rPr>
        <w:br w:type="page"/>
      </w:r>
    </w:p>
    <w:p w:rsidR="00937C78" w:rsidRDefault="009A011E" w:rsidP="00BF38B5">
      <w:pPr>
        <w:widowControl/>
        <w:snapToGrid/>
        <w:rPr>
          <w:b/>
          <w:szCs w:val="24"/>
        </w:rPr>
      </w:pPr>
      <w:bookmarkStart w:id="2" w:name="_GoBack"/>
      <w:r>
        <w:rPr>
          <w:b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570230</wp:posOffset>
            </wp:positionV>
            <wp:extent cx="8301990" cy="5581015"/>
            <wp:effectExtent l="19050" t="0" r="3810" b="0"/>
            <wp:wrapTight wrapText="bothSides">
              <wp:wrapPolygon edited="0">
                <wp:start x="-50" y="0"/>
                <wp:lineTo x="-50" y="21529"/>
                <wp:lineTo x="21610" y="21529"/>
                <wp:lineTo x="21610" y="0"/>
                <wp:lineTo x="-50" y="0"/>
              </wp:wrapPolygon>
            </wp:wrapTight>
            <wp:docPr id="10" name="Picture 10" descr="Conservatory Lab Charter School&#10;Demographic Data: Selected Populations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990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  <w:r w:rsidR="00937C78" w:rsidRPr="00937C78">
        <w:rPr>
          <w:b/>
          <w:szCs w:val="24"/>
        </w:rPr>
        <w:t>Conservatory Lab Charter School</w:t>
      </w:r>
    </w:p>
    <w:p w:rsidR="007A7ECE" w:rsidRDefault="006555B7" w:rsidP="009A011E">
      <w:pPr>
        <w:widowControl/>
        <w:snapToGrid/>
      </w:pPr>
      <w:r>
        <w:rPr>
          <w:b/>
          <w:szCs w:val="24"/>
        </w:rPr>
        <w:t>Demographic Data: Selected Populations</w:t>
      </w:r>
    </w:p>
    <w:p w:rsidR="00F50248" w:rsidRDefault="00F50248" w:rsidP="00BF38B5"/>
    <w:sectPr w:rsidR="00F50248" w:rsidSect="00F50248">
      <w:pgSz w:w="15840" w:h="12240" w:orient="landscape" w:code="1"/>
      <w:pgMar w:top="990" w:right="1440" w:bottom="180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AC" w:rsidRDefault="00862CAC">
      <w:r>
        <w:separator/>
      </w:r>
    </w:p>
  </w:endnote>
  <w:endnote w:type="continuationSeparator" w:id="0">
    <w:p w:rsidR="00862CAC" w:rsidRDefault="008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D5" w:rsidRPr="00747E24" w:rsidRDefault="005370D5" w:rsidP="00814C1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3075"/>
      </w:tabs>
      <w:rPr>
        <w:rFonts w:ascii="Cambria" w:hAnsi="Cambria"/>
        <w:sz w:val="20"/>
      </w:rPr>
    </w:pPr>
    <w:r w:rsidRPr="00747E24">
      <w:rPr>
        <w:rFonts w:ascii="Cambria" w:hAnsi="Cambria"/>
        <w:sz w:val="20"/>
      </w:rPr>
      <w:t>Conservatory Lab Amendment</w:t>
    </w:r>
    <w:r>
      <w:rPr>
        <w:rFonts w:ascii="Cambria" w:hAnsi="Cambria"/>
        <w:sz w:val="20"/>
      </w:rPr>
      <w:t xml:space="preserve">                                                                                                                           </w:t>
    </w:r>
    <w:r w:rsidRPr="00747E24">
      <w:rPr>
        <w:rFonts w:ascii="Cambria" w:hAnsi="Cambria"/>
        <w:sz w:val="20"/>
      </w:rPr>
      <w:t xml:space="preserve">Page </w:t>
    </w:r>
    <w:r w:rsidR="000E799C" w:rsidRPr="00747E24">
      <w:rPr>
        <w:sz w:val="20"/>
      </w:rPr>
      <w:fldChar w:fldCharType="begin"/>
    </w:r>
    <w:r w:rsidRPr="00747E24">
      <w:rPr>
        <w:sz w:val="20"/>
      </w:rPr>
      <w:instrText xml:space="preserve"> PAGE   \* MERGEFORMAT </w:instrText>
    </w:r>
    <w:r w:rsidR="000E799C" w:rsidRPr="00747E24">
      <w:rPr>
        <w:sz w:val="20"/>
      </w:rPr>
      <w:fldChar w:fldCharType="separate"/>
    </w:r>
    <w:r w:rsidR="00672AD4" w:rsidRPr="00672AD4">
      <w:rPr>
        <w:rFonts w:ascii="Cambria" w:hAnsi="Cambria"/>
        <w:noProof/>
        <w:sz w:val="20"/>
      </w:rPr>
      <w:t>1</w:t>
    </w:r>
    <w:r w:rsidR="000E799C" w:rsidRPr="00747E24">
      <w:rPr>
        <w:sz w:val="20"/>
      </w:rPr>
      <w:fldChar w:fldCharType="end"/>
    </w:r>
  </w:p>
  <w:p w:rsidR="005370D5" w:rsidRDefault="00537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AC" w:rsidRDefault="00862CAC">
      <w:r>
        <w:separator/>
      </w:r>
    </w:p>
  </w:footnote>
  <w:footnote w:type="continuationSeparator" w:id="0">
    <w:p w:rsidR="00862CAC" w:rsidRDefault="0086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AFC"/>
    <w:multiLevelType w:val="hybridMultilevel"/>
    <w:tmpl w:val="7DD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3453"/>
    <w:multiLevelType w:val="hybridMultilevel"/>
    <w:tmpl w:val="7BFC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12CC6"/>
    <w:multiLevelType w:val="hybridMultilevel"/>
    <w:tmpl w:val="B2202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61EF0"/>
    <w:multiLevelType w:val="hybridMultilevel"/>
    <w:tmpl w:val="14CE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0D3A"/>
    <w:multiLevelType w:val="hybridMultilevel"/>
    <w:tmpl w:val="3D8C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D4C3D"/>
    <w:multiLevelType w:val="hybridMultilevel"/>
    <w:tmpl w:val="927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E3B57"/>
    <w:multiLevelType w:val="hybridMultilevel"/>
    <w:tmpl w:val="639A9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47523B"/>
    <w:multiLevelType w:val="hybridMultilevel"/>
    <w:tmpl w:val="D120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75774"/>
    <w:multiLevelType w:val="hybridMultilevel"/>
    <w:tmpl w:val="DC204334"/>
    <w:lvl w:ilvl="0" w:tplc="C46020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6CB4C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22697"/>
    <w:multiLevelType w:val="hybridMultilevel"/>
    <w:tmpl w:val="5084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A2575"/>
    <w:multiLevelType w:val="hybridMultilevel"/>
    <w:tmpl w:val="79A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CE"/>
    <w:rsid w:val="00003DB4"/>
    <w:rsid w:val="000224B6"/>
    <w:rsid w:val="00030DFA"/>
    <w:rsid w:val="00031E93"/>
    <w:rsid w:val="00036639"/>
    <w:rsid w:val="000601CA"/>
    <w:rsid w:val="00064797"/>
    <w:rsid w:val="00064FD9"/>
    <w:rsid w:val="00071D0A"/>
    <w:rsid w:val="00085B35"/>
    <w:rsid w:val="00086AC0"/>
    <w:rsid w:val="00086BA5"/>
    <w:rsid w:val="00095B4F"/>
    <w:rsid w:val="000D41A4"/>
    <w:rsid w:val="000E09A6"/>
    <w:rsid w:val="000E799C"/>
    <w:rsid w:val="000F472F"/>
    <w:rsid w:val="0010613A"/>
    <w:rsid w:val="00116858"/>
    <w:rsid w:val="001410C8"/>
    <w:rsid w:val="00143132"/>
    <w:rsid w:val="00143B91"/>
    <w:rsid w:val="00146512"/>
    <w:rsid w:val="00177640"/>
    <w:rsid w:val="00196228"/>
    <w:rsid w:val="001963EA"/>
    <w:rsid w:val="001C567D"/>
    <w:rsid w:val="001D6D7F"/>
    <w:rsid w:val="001E33FC"/>
    <w:rsid w:val="001E3526"/>
    <w:rsid w:val="001E4A9F"/>
    <w:rsid w:val="002023A9"/>
    <w:rsid w:val="002075A5"/>
    <w:rsid w:val="002159D7"/>
    <w:rsid w:val="00225629"/>
    <w:rsid w:val="002358CD"/>
    <w:rsid w:val="002502A9"/>
    <w:rsid w:val="002543B6"/>
    <w:rsid w:val="0026175C"/>
    <w:rsid w:val="00265C39"/>
    <w:rsid w:val="00281B62"/>
    <w:rsid w:val="00290C2B"/>
    <w:rsid w:val="0029712D"/>
    <w:rsid w:val="002C7E65"/>
    <w:rsid w:val="002D7149"/>
    <w:rsid w:val="002D7FB8"/>
    <w:rsid w:val="002E0AC7"/>
    <w:rsid w:val="002E0EC9"/>
    <w:rsid w:val="002E7294"/>
    <w:rsid w:val="00301C6E"/>
    <w:rsid w:val="00301F37"/>
    <w:rsid w:val="00303045"/>
    <w:rsid w:val="00311BE1"/>
    <w:rsid w:val="00324D35"/>
    <w:rsid w:val="00335569"/>
    <w:rsid w:val="003515A4"/>
    <w:rsid w:val="0036426C"/>
    <w:rsid w:val="00395BF2"/>
    <w:rsid w:val="003A1177"/>
    <w:rsid w:val="003B0B2D"/>
    <w:rsid w:val="003C575F"/>
    <w:rsid w:val="003D2F2A"/>
    <w:rsid w:val="003D49B0"/>
    <w:rsid w:val="003E09EA"/>
    <w:rsid w:val="003E1FE8"/>
    <w:rsid w:val="003E3653"/>
    <w:rsid w:val="003E7B07"/>
    <w:rsid w:val="003F5250"/>
    <w:rsid w:val="00402402"/>
    <w:rsid w:val="00402A7B"/>
    <w:rsid w:val="004036DD"/>
    <w:rsid w:val="004050E6"/>
    <w:rsid w:val="00407488"/>
    <w:rsid w:val="00410524"/>
    <w:rsid w:val="00414BD0"/>
    <w:rsid w:val="00425509"/>
    <w:rsid w:val="004341B0"/>
    <w:rsid w:val="00435595"/>
    <w:rsid w:val="00436BAC"/>
    <w:rsid w:val="00444AAE"/>
    <w:rsid w:val="00451A99"/>
    <w:rsid w:val="00455FA3"/>
    <w:rsid w:val="00462FF6"/>
    <w:rsid w:val="00465B8B"/>
    <w:rsid w:val="00465EB6"/>
    <w:rsid w:val="0047050F"/>
    <w:rsid w:val="00475487"/>
    <w:rsid w:val="004821F8"/>
    <w:rsid w:val="004D147D"/>
    <w:rsid w:val="004E26A5"/>
    <w:rsid w:val="004E3773"/>
    <w:rsid w:val="004F085F"/>
    <w:rsid w:val="004F39BE"/>
    <w:rsid w:val="00532B54"/>
    <w:rsid w:val="005370D5"/>
    <w:rsid w:val="00545BA4"/>
    <w:rsid w:val="00551DD5"/>
    <w:rsid w:val="005645D6"/>
    <w:rsid w:val="00567405"/>
    <w:rsid w:val="00570BF2"/>
    <w:rsid w:val="0059310F"/>
    <w:rsid w:val="005944B4"/>
    <w:rsid w:val="005A06E7"/>
    <w:rsid w:val="005A0D40"/>
    <w:rsid w:val="005A40B7"/>
    <w:rsid w:val="005A616A"/>
    <w:rsid w:val="005B3D76"/>
    <w:rsid w:val="005C7B01"/>
    <w:rsid w:val="005D5A06"/>
    <w:rsid w:val="005D6B26"/>
    <w:rsid w:val="005E081D"/>
    <w:rsid w:val="005E382F"/>
    <w:rsid w:val="005E660A"/>
    <w:rsid w:val="005E744C"/>
    <w:rsid w:val="005F13BB"/>
    <w:rsid w:val="005F6B6F"/>
    <w:rsid w:val="0060340E"/>
    <w:rsid w:val="006267FB"/>
    <w:rsid w:val="006276AA"/>
    <w:rsid w:val="00653613"/>
    <w:rsid w:val="00654B9B"/>
    <w:rsid w:val="006555B7"/>
    <w:rsid w:val="00662D00"/>
    <w:rsid w:val="00672AD4"/>
    <w:rsid w:val="00682401"/>
    <w:rsid w:val="00682C10"/>
    <w:rsid w:val="0068486C"/>
    <w:rsid w:val="00685A6D"/>
    <w:rsid w:val="006977A5"/>
    <w:rsid w:val="006A2A19"/>
    <w:rsid w:val="006A757E"/>
    <w:rsid w:val="006B241C"/>
    <w:rsid w:val="006B6C50"/>
    <w:rsid w:val="006C0652"/>
    <w:rsid w:val="006F0C06"/>
    <w:rsid w:val="00702894"/>
    <w:rsid w:val="00702E91"/>
    <w:rsid w:val="00704447"/>
    <w:rsid w:val="00714A45"/>
    <w:rsid w:val="007310C0"/>
    <w:rsid w:val="0073448D"/>
    <w:rsid w:val="00736DA4"/>
    <w:rsid w:val="00737DBA"/>
    <w:rsid w:val="007420E4"/>
    <w:rsid w:val="00742FB8"/>
    <w:rsid w:val="00747E24"/>
    <w:rsid w:val="007873A9"/>
    <w:rsid w:val="0079326F"/>
    <w:rsid w:val="00797733"/>
    <w:rsid w:val="007A49B6"/>
    <w:rsid w:val="007A7ECE"/>
    <w:rsid w:val="007B09B1"/>
    <w:rsid w:val="007D35DA"/>
    <w:rsid w:val="007F3DEF"/>
    <w:rsid w:val="008064C5"/>
    <w:rsid w:val="00814C1C"/>
    <w:rsid w:val="00815F70"/>
    <w:rsid w:val="008477EB"/>
    <w:rsid w:val="00862CAC"/>
    <w:rsid w:val="008656D7"/>
    <w:rsid w:val="00873F5E"/>
    <w:rsid w:val="008822FE"/>
    <w:rsid w:val="0089605B"/>
    <w:rsid w:val="008A5A3C"/>
    <w:rsid w:val="008C1399"/>
    <w:rsid w:val="008C47C9"/>
    <w:rsid w:val="008F1B07"/>
    <w:rsid w:val="00905B9D"/>
    <w:rsid w:val="00907ADB"/>
    <w:rsid w:val="00915619"/>
    <w:rsid w:val="00930F0C"/>
    <w:rsid w:val="00937C78"/>
    <w:rsid w:val="0094115E"/>
    <w:rsid w:val="0094762C"/>
    <w:rsid w:val="009502C2"/>
    <w:rsid w:val="00960BED"/>
    <w:rsid w:val="00964705"/>
    <w:rsid w:val="00965E51"/>
    <w:rsid w:val="0097273D"/>
    <w:rsid w:val="0097639C"/>
    <w:rsid w:val="009776EA"/>
    <w:rsid w:val="00977F9C"/>
    <w:rsid w:val="009855CB"/>
    <w:rsid w:val="009869D7"/>
    <w:rsid w:val="009A011E"/>
    <w:rsid w:val="009A326B"/>
    <w:rsid w:val="009A760A"/>
    <w:rsid w:val="009A77D0"/>
    <w:rsid w:val="009C3A41"/>
    <w:rsid w:val="009C4C45"/>
    <w:rsid w:val="009C60FC"/>
    <w:rsid w:val="009D032C"/>
    <w:rsid w:val="009D061D"/>
    <w:rsid w:val="009D12CB"/>
    <w:rsid w:val="009D29D8"/>
    <w:rsid w:val="009E5295"/>
    <w:rsid w:val="009F00B0"/>
    <w:rsid w:val="009F4E72"/>
    <w:rsid w:val="009F6F88"/>
    <w:rsid w:val="00A04029"/>
    <w:rsid w:val="00A065F4"/>
    <w:rsid w:val="00A1080F"/>
    <w:rsid w:val="00A26CDF"/>
    <w:rsid w:val="00A312D0"/>
    <w:rsid w:val="00A44291"/>
    <w:rsid w:val="00A442CB"/>
    <w:rsid w:val="00A5356B"/>
    <w:rsid w:val="00A55155"/>
    <w:rsid w:val="00A55D20"/>
    <w:rsid w:val="00A6009F"/>
    <w:rsid w:val="00A62509"/>
    <w:rsid w:val="00A64AE7"/>
    <w:rsid w:val="00A73C02"/>
    <w:rsid w:val="00A81040"/>
    <w:rsid w:val="00A841B3"/>
    <w:rsid w:val="00A92C61"/>
    <w:rsid w:val="00A97617"/>
    <w:rsid w:val="00AB0511"/>
    <w:rsid w:val="00AB4D93"/>
    <w:rsid w:val="00AC175C"/>
    <w:rsid w:val="00AD08EB"/>
    <w:rsid w:val="00AD29FB"/>
    <w:rsid w:val="00AD50C9"/>
    <w:rsid w:val="00AE676C"/>
    <w:rsid w:val="00AF1B00"/>
    <w:rsid w:val="00AF5E7A"/>
    <w:rsid w:val="00B032A1"/>
    <w:rsid w:val="00B11D52"/>
    <w:rsid w:val="00B17375"/>
    <w:rsid w:val="00B2115D"/>
    <w:rsid w:val="00B37315"/>
    <w:rsid w:val="00B41BFA"/>
    <w:rsid w:val="00B52038"/>
    <w:rsid w:val="00B524E9"/>
    <w:rsid w:val="00B56F47"/>
    <w:rsid w:val="00B6554B"/>
    <w:rsid w:val="00B65725"/>
    <w:rsid w:val="00B65E50"/>
    <w:rsid w:val="00B811E1"/>
    <w:rsid w:val="00B8392D"/>
    <w:rsid w:val="00B84719"/>
    <w:rsid w:val="00BA1B26"/>
    <w:rsid w:val="00BB001B"/>
    <w:rsid w:val="00BB1BA0"/>
    <w:rsid w:val="00BB2A3B"/>
    <w:rsid w:val="00BD18C0"/>
    <w:rsid w:val="00BD3295"/>
    <w:rsid w:val="00BE18B8"/>
    <w:rsid w:val="00BE48C3"/>
    <w:rsid w:val="00BE5F38"/>
    <w:rsid w:val="00BF38B5"/>
    <w:rsid w:val="00BF4AF1"/>
    <w:rsid w:val="00C02448"/>
    <w:rsid w:val="00C22355"/>
    <w:rsid w:val="00C23B9E"/>
    <w:rsid w:val="00C40486"/>
    <w:rsid w:val="00C51462"/>
    <w:rsid w:val="00C515B8"/>
    <w:rsid w:val="00C64A88"/>
    <w:rsid w:val="00C71ED4"/>
    <w:rsid w:val="00C736CF"/>
    <w:rsid w:val="00C73C16"/>
    <w:rsid w:val="00C82321"/>
    <w:rsid w:val="00C852E0"/>
    <w:rsid w:val="00C903B5"/>
    <w:rsid w:val="00C9574F"/>
    <w:rsid w:val="00CA49EF"/>
    <w:rsid w:val="00CC4B82"/>
    <w:rsid w:val="00CD1504"/>
    <w:rsid w:val="00CE3094"/>
    <w:rsid w:val="00CF39F2"/>
    <w:rsid w:val="00CF66E9"/>
    <w:rsid w:val="00D06AB9"/>
    <w:rsid w:val="00D1090E"/>
    <w:rsid w:val="00D118DC"/>
    <w:rsid w:val="00D2122C"/>
    <w:rsid w:val="00D22D3E"/>
    <w:rsid w:val="00D23EE7"/>
    <w:rsid w:val="00D254D7"/>
    <w:rsid w:val="00D2611A"/>
    <w:rsid w:val="00D303F4"/>
    <w:rsid w:val="00D31815"/>
    <w:rsid w:val="00D477E5"/>
    <w:rsid w:val="00D743E0"/>
    <w:rsid w:val="00D75698"/>
    <w:rsid w:val="00D96218"/>
    <w:rsid w:val="00D971CF"/>
    <w:rsid w:val="00DA3CE6"/>
    <w:rsid w:val="00DB04D3"/>
    <w:rsid w:val="00DC38AD"/>
    <w:rsid w:val="00DD5FC3"/>
    <w:rsid w:val="00DE6A43"/>
    <w:rsid w:val="00DF3D2E"/>
    <w:rsid w:val="00E03907"/>
    <w:rsid w:val="00E17ADC"/>
    <w:rsid w:val="00E17B67"/>
    <w:rsid w:val="00E2385F"/>
    <w:rsid w:val="00E25859"/>
    <w:rsid w:val="00E33AEF"/>
    <w:rsid w:val="00E34A21"/>
    <w:rsid w:val="00E54286"/>
    <w:rsid w:val="00E72C04"/>
    <w:rsid w:val="00E732BD"/>
    <w:rsid w:val="00E96FE1"/>
    <w:rsid w:val="00E97834"/>
    <w:rsid w:val="00EA419F"/>
    <w:rsid w:val="00EB4AB3"/>
    <w:rsid w:val="00EC5E6D"/>
    <w:rsid w:val="00EC771B"/>
    <w:rsid w:val="00EE0B46"/>
    <w:rsid w:val="00EE1197"/>
    <w:rsid w:val="00EF46EB"/>
    <w:rsid w:val="00F036AD"/>
    <w:rsid w:val="00F13F04"/>
    <w:rsid w:val="00F21D1F"/>
    <w:rsid w:val="00F50248"/>
    <w:rsid w:val="00F53BF4"/>
    <w:rsid w:val="00F91671"/>
    <w:rsid w:val="00FA61AC"/>
    <w:rsid w:val="00FC10D7"/>
    <w:rsid w:val="00FD3CDC"/>
    <w:rsid w:val="00FD4F0D"/>
    <w:rsid w:val="00FD5822"/>
    <w:rsid w:val="00FE1F9F"/>
    <w:rsid w:val="00FE3F50"/>
    <w:rsid w:val="00FE466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ECE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977A5"/>
    <w:pPr>
      <w:widowControl/>
      <w:snapToGri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2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2402"/>
    <w:pPr>
      <w:tabs>
        <w:tab w:val="center" w:pos="4320"/>
        <w:tab w:val="right" w:pos="8640"/>
      </w:tabs>
    </w:pPr>
  </w:style>
  <w:style w:type="paragraph" w:customStyle="1" w:styleId="text">
    <w:name w:val="text"/>
    <w:basedOn w:val="BodyText"/>
    <w:autoRedefine/>
    <w:rsid w:val="00064FD9"/>
    <w:pPr>
      <w:tabs>
        <w:tab w:val="left" w:pos="3420"/>
        <w:tab w:val="left" w:pos="6930"/>
      </w:tabs>
      <w:suppressAutoHyphens/>
      <w:snapToGrid/>
      <w:jc w:val="both"/>
    </w:pPr>
    <w:rPr>
      <w:rFonts w:eastAsia="Times"/>
      <w:iCs/>
      <w:sz w:val="22"/>
      <w:szCs w:val="32"/>
    </w:rPr>
  </w:style>
  <w:style w:type="paragraph" w:styleId="BodyText">
    <w:name w:val="Body Text"/>
    <w:basedOn w:val="Normal"/>
    <w:rsid w:val="00064FD9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6977A5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77A5"/>
    <w:rPr>
      <w:color w:val="0000FF"/>
      <w:u w:val="single"/>
    </w:rPr>
  </w:style>
  <w:style w:type="paragraph" w:customStyle="1" w:styleId="Body">
    <w:name w:val="Body"/>
    <w:basedOn w:val="Normal"/>
    <w:rsid w:val="00E25859"/>
    <w:pPr>
      <w:widowControl/>
      <w:snapToGrid/>
      <w:spacing w:after="12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4C1C"/>
    <w:rPr>
      <w:sz w:val="24"/>
    </w:rPr>
  </w:style>
  <w:style w:type="character" w:styleId="CommentReference">
    <w:name w:val="annotation reference"/>
    <w:basedOn w:val="DefaultParagraphFont"/>
    <w:semiHidden/>
    <w:rsid w:val="008C1399"/>
    <w:rPr>
      <w:sz w:val="16"/>
      <w:szCs w:val="16"/>
    </w:rPr>
  </w:style>
  <w:style w:type="paragraph" w:styleId="CommentText">
    <w:name w:val="annotation text"/>
    <w:basedOn w:val="Normal"/>
    <w:semiHidden/>
    <w:rsid w:val="008C13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8C1399"/>
    <w:rPr>
      <w:b/>
      <w:bCs/>
    </w:rPr>
  </w:style>
  <w:style w:type="paragraph" w:styleId="ListParagraph">
    <w:name w:val="List Paragraph"/>
    <w:basedOn w:val="Normal"/>
    <w:uiPriority w:val="34"/>
    <w:qFormat/>
    <w:rsid w:val="00AE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D9CB-454B-4F39-9853-75A3C5BE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558</Words>
  <Characters>3230</Characters>
  <Application>Microsoft Office Word</Application>
  <DocSecurity>0</DocSecurity>
  <Lines>248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Conservatory Lab Charter School, Feb 2013 </vt:lpstr>
    </vt:vector>
  </TitlesOfParts>
  <Company>Mass. Dept. of ESE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Conservatory Lab Charter School, Feb 2013 </dc:title>
  <dc:creator/>
  <cp:lastModifiedBy>ESE</cp:lastModifiedBy>
  <cp:revision>13</cp:revision>
  <cp:lastPrinted>2013-02-14T14:53:00Z</cp:lastPrinted>
  <dcterms:created xsi:type="dcterms:W3CDTF">2013-02-05T17:18:00Z</dcterms:created>
  <dcterms:modified xsi:type="dcterms:W3CDTF">2013-02-25T20:48:00Z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2013</vt:lpwstr>
  </property>
</Properties>
</file>