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1644"/>
        <w:gridCol w:w="4230"/>
      </w:tblGrid>
      <w:tr w:rsidR="007A7ECE" w:rsidTr="000E3498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7ECE" w:rsidRPr="00E72C04" w:rsidRDefault="00DB04D3">
            <w:pPr>
              <w:jc w:val="center"/>
              <w:rPr>
                <w:b/>
                <w:caps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Cs w:val="24"/>
              </w:rPr>
              <w:t>Amendment Request</w:t>
            </w:r>
            <w:r w:rsidR="005F3AEF">
              <w:rPr>
                <w:b/>
                <w:caps/>
                <w:szCs w:val="24"/>
              </w:rPr>
              <w:t xml:space="preserve"> – February</w:t>
            </w:r>
            <w:r w:rsidR="007A7ECE" w:rsidRPr="00E72C04">
              <w:rPr>
                <w:b/>
                <w:caps/>
                <w:szCs w:val="24"/>
              </w:rPr>
              <w:t xml:space="preserve"> 201</w:t>
            </w:r>
            <w:r w:rsidR="007420E4">
              <w:rPr>
                <w:b/>
                <w:caps/>
                <w:szCs w:val="24"/>
              </w:rPr>
              <w:t>3</w:t>
            </w:r>
          </w:p>
        </w:tc>
      </w:tr>
      <w:tr w:rsidR="007A7ECE" w:rsidTr="000E3498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E72C04" w:rsidRDefault="007A7ECE">
            <w:pPr>
              <w:rPr>
                <w:b/>
                <w:bCs/>
                <w:szCs w:val="24"/>
              </w:rPr>
            </w:pPr>
            <w:r w:rsidRPr="00E72C04">
              <w:rPr>
                <w:b/>
                <w:bCs/>
                <w:szCs w:val="24"/>
              </w:rPr>
              <w:t>School Name: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E72C04" w:rsidRDefault="005F3AEF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4"/>
                  </w:rPr>
                  <w:t>Edward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Cs w:val="24"/>
                  </w:rPr>
                  <w:t>W.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Cs w:val="24"/>
                  </w:rPr>
                  <w:t>Brooke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Cs w:val="24"/>
                  </w:rPr>
                  <w:t>Charter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4"/>
                  </w:rPr>
                  <w:t>School</w:t>
                </w:r>
              </w:smartTag>
            </w:smartTag>
            <w:r w:rsidR="00FF3D27">
              <w:rPr>
                <w:szCs w:val="24"/>
              </w:rPr>
              <w:t xml:space="preserve"> (Brooke)</w:t>
            </w:r>
          </w:p>
        </w:tc>
      </w:tr>
      <w:tr w:rsidR="007A7ECE" w:rsidTr="000E3498">
        <w:trPr>
          <w:cantSplit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E72C04" w:rsidRDefault="007A7ECE">
            <w:pPr>
              <w:tabs>
                <w:tab w:val="left" w:pos="2592"/>
              </w:tabs>
              <w:rPr>
                <w:szCs w:val="24"/>
              </w:rPr>
            </w:pPr>
            <w:r w:rsidRPr="00E72C04">
              <w:rPr>
                <w:b/>
                <w:szCs w:val="24"/>
              </w:rPr>
              <w:t>Amendment Request</w:t>
            </w:r>
            <w:r w:rsidRPr="00E72C04">
              <w:rPr>
                <w:szCs w:val="24"/>
              </w:rPr>
              <w:t xml:space="preserve">: 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4927" w:rsidRDefault="00C6651E" w:rsidP="00265C39">
            <w:pPr>
              <w:tabs>
                <w:tab w:val="left" w:pos="2592"/>
              </w:tabs>
              <w:rPr>
                <w:szCs w:val="24"/>
              </w:rPr>
            </w:pPr>
            <w:r>
              <w:rPr>
                <w:szCs w:val="24"/>
              </w:rPr>
              <w:t xml:space="preserve">Consolidate </w:t>
            </w:r>
            <w:r w:rsidR="00514927">
              <w:rPr>
                <w:szCs w:val="24"/>
              </w:rPr>
              <w:t>3</w:t>
            </w:r>
            <w:r>
              <w:rPr>
                <w:szCs w:val="24"/>
              </w:rPr>
              <w:t xml:space="preserve"> charters </w:t>
            </w:r>
            <w:r w:rsidR="00514927">
              <w:rPr>
                <w:szCs w:val="24"/>
              </w:rPr>
              <w:t>and</w:t>
            </w:r>
            <w:r>
              <w:rPr>
                <w:szCs w:val="24"/>
              </w:rPr>
              <w:t xml:space="preserve"> application (if granted</w:t>
            </w:r>
            <w:r w:rsidR="00F047AC">
              <w:rPr>
                <w:szCs w:val="24"/>
              </w:rPr>
              <w:t xml:space="preserve">) </w:t>
            </w:r>
          </w:p>
          <w:p w:rsidR="007A7ECE" w:rsidRPr="00E72C04" w:rsidRDefault="00514927" w:rsidP="00265C39">
            <w:pPr>
              <w:tabs>
                <w:tab w:val="left" w:pos="2592"/>
              </w:tabs>
              <w:rPr>
                <w:szCs w:val="24"/>
              </w:rPr>
            </w:pPr>
            <w:r>
              <w:rPr>
                <w:szCs w:val="24"/>
              </w:rPr>
              <w:t>Additional seats-105 (35</w:t>
            </w:r>
            <w:r w:rsidR="00F047AC">
              <w:rPr>
                <w:szCs w:val="24"/>
              </w:rPr>
              <w:t xml:space="preserve"> per school</w:t>
            </w:r>
            <w:r>
              <w:rPr>
                <w:szCs w:val="24"/>
              </w:rPr>
              <w:t>)</w:t>
            </w:r>
          </w:p>
        </w:tc>
      </w:tr>
      <w:tr w:rsidR="007A7ECE" w:rsidTr="000E3498">
        <w:trPr>
          <w:cantSplit/>
          <w:trHeight w:val="7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E72C04" w:rsidRDefault="007A7ECE">
            <w:pPr>
              <w:rPr>
                <w:b/>
                <w:szCs w:val="24"/>
              </w:rPr>
            </w:pPr>
            <w:r w:rsidRPr="00E72C04">
              <w:rPr>
                <w:b/>
                <w:szCs w:val="24"/>
              </w:rPr>
              <w:t>Implementation: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E72C04" w:rsidRDefault="006D485E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  <w:r w:rsidR="008F1FA5">
              <w:rPr>
                <w:szCs w:val="24"/>
              </w:rPr>
              <w:t>-2014</w:t>
            </w:r>
          </w:p>
        </w:tc>
      </w:tr>
      <w:tr w:rsidR="007A7ECE" w:rsidTr="000E3498">
        <w:trPr>
          <w:cantSplit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E72C04" w:rsidRDefault="007A7ECE">
            <w:pPr>
              <w:rPr>
                <w:szCs w:val="24"/>
              </w:rPr>
            </w:pPr>
            <w:r w:rsidRPr="00E72C04">
              <w:rPr>
                <w:b/>
                <w:szCs w:val="24"/>
              </w:rPr>
              <w:t xml:space="preserve">Year </w:t>
            </w:r>
            <w:r w:rsidR="009D032C">
              <w:rPr>
                <w:b/>
                <w:szCs w:val="24"/>
              </w:rPr>
              <w:t>Charter/</w:t>
            </w:r>
            <w:r w:rsidR="00CF66E9">
              <w:rPr>
                <w:b/>
                <w:szCs w:val="24"/>
              </w:rPr>
              <w:t>Opened</w:t>
            </w:r>
            <w:r w:rsidRPr="00E72C04">
              <w:rPr>
                <w:szCs w:val="24"/>
              </w:rPr>
              <w:t>: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E72C04" w:rsidRDefault="00707308" w:rsidP="00265C39">
            <w:pPr>
              <w:rPr>
                <w:szCs w:val="24"/>
              </w:rPr>
            </w:pPr>
            <w:r>
              <w:rPr>
                <w:szCs w:val="24"/>
              </w:rPr>
              <w:t>Opened 2002</w:t>
            </w:r>
            <w:r w:rsidR="007420E4">
              <w:rPr>
                <w:szCs w:val="24"/>
              </w:rPr>
              <w:t>; Renewed 200</w:t>
            </w:r>
            <w:r>
              <w:rPr>
                <w:szCs w:val="24"/>
              </w:rPr>
              <w:t>7, and 2012</w:t>
            </w:r>
          </w:p>
        </w:tc>
      </w:tr>
      <w:tr w:rsidR="007A7ECE" w:rsidTr="000E3498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E72C04" w:rsidRDefault="007A7ECE">
            <w:pPr>
              <w:rPr>
                <w:b/>
                <w:bCs/>
                <w:szCs w:val="24"/>
              </w:rPr>
            </w:pPr>
            <w:r w:rsidRPr="00E72C04">
              <w:rPr>
                <w:b/>
                <w:bCs/>
                <w:szCs w:val="24"/>
              </w:rPr>
              <w:t>Grades Served: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E72C04" w:rsidRDefault="00707308">
            <w:pPr>
              <w:rPr>
                <w:szCs w:val="24"/>
              </w:rPr>
            </w:pPr>
            <w:r>
              <w:rPr>
                <w:szCs w:val="24"/>
              </w:rPr>
              <w:t>K-8</w:t>
            </w:r>
          </w:p>
        </w:tc>
      </w:tr>
      <w:tr w:rsidR="007A7ECE" w:rsidTr="001268F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E72C04" w:rsidRDefault="007A7ECE">
            <w:pPr>
              <w:rPr>
                <w:b/>
                <w:bCs/>
                <w:szCs w:val="24"/>
              </w:rPr>
            </w:pPr>
            <w:r w:rsidRPr="00E72C04">
              <w:rPr>
                <w:b/>
                <w:bCs/>
                <w:szCs w:val="24"/>
              </w:rPr>
              <w:t>Current Maximum Enrollment: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E72C04" w:rsidRDefault="00707308">
            <w:pPr>
              <w:rPr>
                <w:szCs w:val="24"/>
              </w:rPr>
            </w:pPr>
            <w:r>
              <w:rPr>
                <w:szCs w:val="24"/>
              </w:rPr>
              <w:t>475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40770A" w:rsidRDefault="007A7ECE" w:rsidP="001268F7">
            <w:pPr>
              <w:rPr>
                <w:szCs w:val="24"/>
              </w:rPr>
            </w:pPr>
            <w:r w:rsidRPr="00473DD1">
              <w:rPr>
                <w:b/>
                <w:szCs w:val="24"/>
              </w:rPr>
              <w:t>Wait List</w:t>
            </w:r>
            <w:r w:rsidR="00473DD1">
              <w:rPr>
                <w:szCs w:val="24"/>
              </w:rPr>
              <w:t xml:space="preserve"> </w:t>
            </w:r>
            <w:r w:rsidR="00473DD1">
              <w:rPr>
                <w:b/>
                <w:sz w:val="23"/>
                <w:szCs w:val="23"/>
              </w:rPr>
              <w:t>as of March 2012</w:t>
            </w:r>
            <w:r w:rsidRPr="0040770A">
              <w:rPr>
                <w:szCs w:val="24"/>
              </w:rPr>
              <w:t>:</w:t>
            </w:r>
            <w:r w:rsidR="00402402" w:rsidRPr="0040770A">
              <w:rPr>
                <w:szCs w:val="24"/>
              </w:rPr>
              <w:t xml:space="preserve"> </w:t>
            </w:r>
            <w:r w:rsidR="00473DD1">
              <w:rPr>
                <w:szCs w:val="24"/>
              </w:rPr>
              <w:t>2,611</w:t>
            </w:r>
            <w:r w:rsidR="00402402" w:rsidRPr="0040770A">
              <w:rPr>
                <w:szCs w:val="24"/>
              </w:rPr>
              <w:t xml:space="preserve"> </w:t>
            </w:r>
            <w:r w:rsidR="00473DD1">
              <w:rPr>
                <w:szCs w:val="24"/>
              </w:rPr>
              <w:t xml:space="preserve">(across </w:t>
            </w:r>
            <w:r w:rsidR="001268F7">
              <w:rPr>
                <w:szCs w:val="24"/>
              </w:rPr>
              <w:t>the three Brooke schools</w:t>
            </w:r>
            <w:r w:rsidR="00473DD1">
              <w:rPr>
                <w:szCs w:val="24"/>
              </w:rPr>
              <w:t>-4,574)</w:t>
            </w:r>
          </w:p>
        </w:tc>
      </w:tr>
      <w:tr w:rsidR="00FF46DA" w:rsidTr="000E3498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E72C04" w:rsidRDefault="00FF46D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Proven Provider Status Required</w:t>
            </w:r>
            <w:r w:rsidR="00E54286">
              <w:rPr>
                <w:b/>
                <w:bCs/>
                <w:szCs w:val="24"/>
              </w:rPr>
              <w:t>?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Default="007420E4" w:rsidP="00E96FE1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54286" w:rsidTr="000E3498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 w:rsidP="00E54286">
            <w:pPr>
              <w:rPr>
                <w:b/>
                <w:bCs/>
                <w:szCs w:val="24"/>
              </w:rPr>
            </w:pPr>
            <w:smartTag w:uri="urn:schemas-microsoft-com:office:smarttags" w:element="place">
              <w:r w:rsidRPr="00E72C04">
                <w:rPr>
                  <w:b/>
                  <w:bCs/>
                  <w:szCs w:val="24"/>
                </w:rPr>
                <w:t>Mission</w:t>
              </w:r>
            </w:smartTag>
            <w:r w:rsidRPr="00E72C04">
              <w:rPr>
                <w:b/>
                <w:bCs/>
                <w:szCs w:val="24"/>
              </w:rPr>
              <w:t xml:space="preserve"> Statement:</w:t>
            </w:r>
          </w:p>
          <w:p w:rsidR="00E54286" w:rsidRPr="00B124D6" w:rsidRDefault="00B124D6" w:rsidP="00514927">
            <w:pPr>
              <w:rPr>
                <w:bCs/>
              </w:rPr>
            </w:pPr>
            <w:r>
              <w:t>“</w:t>
            </w:r>
            <w:r w:rsidRPr="00B124D6">
              <w:rPr>
                <w:szCs w:val="24"/>
              </w:rPr>
              <w:t xml:space="preserve">To </w:t>
            </w:r>
            <w:r>
              <w:t xml:space="preserve">provide an academically rigorous public education to students from the City of </w:t>
            </w:r>
            <w:smartTag w:uri="urn:schemas-microsoft-com:office:smarttags" w:element="place">
              <w:smartTag w:uri="urn:schemas-microsoft-com:office:smarttags" w:element="City">
                <w:r>
                  <w:t>Boston</w:t>
                </w:r>
              </w:smartTag>
            </w:smartTag>
            <w:r>
              <w:t xml:space="preserve"> that will ensure that they are prepared to attend and succeed in college.”</w:t>
            </w:r>
          </w:p>
        </w:tc>
      </w:tr>
      <w:tr w:rsidR="00C71ED4" w:rsidTr="000E3498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4" w:rsidRDefault="00C71ED4" w:rsidP="00C71ED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Nature of the Request:</w:t>
            </w:r>
          </w:p>
          <w:p w:rsidR="00001819" w:rsidRPr="00001819" w:rsidRDefault="00C6651E" w:rsidP="00001819">
            <w:pPr>
              <w:rPr>
                <w:szCs w:val="24"/>
              </w:rPr>
            </w:pPr>
            <w:r w:rsidRPr="00C6651E">
              <w:rPr>
                <w:bCs/>
                <w:szCs w:val="24"/>
              </w:rPr>
              <w:t xml:space="preserve">The school is proposing to consolidate all </w:t>
            </w:r>
            <w:r w:rsidR="00FF3D27">
              <w:rPr>
                <w:bCs/>
                <w:szCs w:val="24"/>
              </w:rPr>
              <w:t>3</w:t>
            </w:r>
            <w:r w:rsidRPr="00C6651E">
              <w:rPr>
                <w:bCs/>
                <w:szCs w:val="24"/>
              </w:rPr>
              <w:t xml:space="preserve"> charters (including </w:t>
            </w:r>
            <w:r w:rsidR="00514927">
              <w:rPr>
                <w:bCs/>
                <w:szCs w:val="24"/>
              </w:rPr>
              <w:t xml:space="preserve">the </w:t>
            </w:r>
            <w:r w:rsidRPr="00C6651E">
              <w:rPr>
                <w:bCs/>
                <w:szCs w:val="24"/>
              </w:rPr>
              <w:t>current Brooke 4 application</w:t>
            </w:r>
            <w:r w:rsidR="00514927">
              <w:rPr>
                <w:bCs/>
                <w:szCs w:val="24"/>
              </w:rPr>
              <w:t xml:space="preserve"> if granted</w:t>
            </w:r>
            <w:r w:rsidRPr="00C6651E">
              <w:rPr>
                <w:bCs/>
                <w:szCs w:val="24"/>
              </w:rPr>
              <w:t xml:space="preserve">) and increase </w:t>
            </w:r>
            <w:r>
              <w:rPr>
                <w:bCs/>
                <w:szCs w:val="24"/>
              </w:rPr>
              <w:t xml:space="preserve">its </w:t>
            </w:r>
            <w:r w:rsidR="00001819">
              <w:rPr>
                <w:bCs/>
                <w:szCs w:val="24"/>
              </w:rPr>
              <w:t xml:space="preserve">total </w:t>
            </w:r>
            <w:r w:rsidRPr="00C6651E">
              <w:rPr>
                <w:bCs/>
                <w:szCs w:val="24"/>
              </w:rPr>
              <w:t>m</w:t>
            </w:r>
            <w:r>
              <w:rPr>
                <w:bCs/>
                <w:szCs w:val="24"/>
              </w:rPr>
              <w:t>ax</w:t>
            </w:r>
            <w:r w:rsidR="00FF3D27">
              <w:rPr>
                <w:bCs/>
                <w:szCs w:val="24"/>
              </w:rPr>
              <w:t>imum</w:t>
            </w:r>
            <w:r>
              <w:rPr>
                <w:bCs/>
                <w:szCs w:val="24"/>
              </w:rPr>
              <w:t xml:space="preserve"> enrollment </w:t>
            </w:r>
            <w:r w:rsidR="00514927">
              <w:rPr>
                <w:bCs/>
                <w:szCs w:val="24"/>
              </w:rPr>
              <w:t xml:space="preserve">across the network </w:t>
            </w:r>
            <w:r>
              <w:rPr>
                <w:bCs/>
                <w:szCs w:val="24"/>
              </w:rPr>
              <w:t>from 142</w:t>
            </w:r>
            <w:r w:rsidR="00001819">
              <w:rPr>
                <w:bCs/>
                <w:szCs w:val="24"/>
              </w:rPr>
              <w:t>5 to 1530. Each Brooke location</w:t>
            </w:r>
            <w:r>
              <w:rPr>
                <w:bCs/>
                <w:szCs w:val="24"/>
              </w:rPr>
              <w:t xml:space="preserve"> will have a maximum enrollment </w:t>
            </w:r>
            <w:r w:rsidR="00001819">
              <w:rPr>
                <w:bCs/>
                <w:szCs w:val="24"/>
              </w:rPr>
              <w:t>increase from 475 to</w:t>
            </w:r>
            <w:r>
              <w:rPr>
                <w:bCs/>
                <w:szCs w:val="24"/>
              </w:rPr>
              <w:t xml:space="preserve"> 510 students. </w:t>
            </w:r>
            <w:r w:rsidR="00001819" w:rsidRPr="00001819">
              <w:rPr>
                <w:szCs w:val="24"/>
              </w:rPr>
              <w:t xml:space="preserve">The </w:t>
            </w:r>
            <w:r w:rsidR="00FF3D27">
              <w:rPr>
                <w:szCs w:val="24"/>
              </w:rPr>
              <w:t>flagship</w:t>
            </w:r>
            <w:r w:rsidR="00001819" w:rsidRPr="00001819">
              <w:rPr>
                <w:szCs w:val="24"/>
              </w:rPr>
              <w:t xml:space="preserve"> Brooke opened in 2002, Brooke 2 opened in 2011, and Brooke 3 opened in 2012. </w:t>
            </w:r>
            <w:r w:rsidR="00FF3D27">
              <w:rPr>
                <w:szCs w:val="24"/>
              </w:rPr>
              <w:t xml:space="preserve">Brooke and Brooke 2 serve </w:t>
            </w:r>
            <w:smartTag w:uri="urn:schemas-microsoft-com:office:smarttags" w:element="City">
              <w:r w:rsidR="00FF3D27">
                <w:rPr>
                  <w:szCs w:val="24"/>
                </w:rPr>
                <w:t>Boston</w:t>
              </w:r>
            </w:smartTag>
            <w:r w:rsidR="00FF3D27">
              <w:rPr>
                <w:szCs w:val="24"/>
              </w:rPr>
              <w:t xml:space="preserve">; </w:t>
            </w:r>
            <w:r w:rsidR="00001819" w:rsidRPr="00001819">
              <w:rPr>
                <w:szCs w:val="24"/>
              </w:rPr>
              <w:t xml:space="preserve">Brooke 3 is a regional school serving </w:t>
            </w:r>
            <w:smartTag w:uri="urn:schemas-microsoft-com:office:smarttags" w:element="City">
              <w:r w:rsidR="00001819" w:rsidRPr="00001819">
                <w:rPr>
                  <w:szCs w:val="24"/>
                </w:rPr>
                <w:t>Chelsea</w:t>
              </w:r>
            </w:smartTag>
            <w:r w:rsidR="00001819" w:rsidRPr="00001819">
              <w:rPr>
                <w:szCs w:val="24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="00001819" w:rsidRPr="00001819">
                  <w:rPr>
                    <w:szCs w:val="24"/>
                  </w:rPr>
                  <w:t>Boston</w:t>
                </w:r>
              </w:smartTag>
            </w:smartTag>
            <w:r w:rsidR="00E10276">
              <w:rPr>
                <w:szCs w:val="24"/>
              </w:rPr>
              <w:t xml:space="preserve">. In 2012-2013, </w:t>
            </w:r>
            <w:r w:rsidR="00001819" w:rsidRPr="00001819">
              <w:rPr>
                <w:szCs w:val="24"/>
              </w:rPr>
              <w:t xml:space="preserve">the </w:t>
            </w:r>
            <w:r w:rsidR="00E10276">
              <w:rPr>
                <w:szCs w:val="24"/>
              </w:rPr>
              <w:t>3</w:t>
            </w:r>
            <w:r w:rsidR="00FF3D27">
              <w:rPr>
                <w:szCs w:val="24"/>
              </w:rPr>
              <w:t xml:space="preserve"> schools serve 925 students. The network of </w:t>
            </w:r>
            <w:r w:rsidR="00E10276">
              <w:rPr>
                <w:szCs w:val="24"/>
              </w:rPr>
              <w:t>3</w:t>
            </w:r>
            <w:r w:rsidR="00FF3D27">
              <w:rPr>
                <w:szCs w:val="24"/>
              </w:rPr>
              <w:t xml:space="preserve"> schools will be fully expanded in </w:t>
            </w:r>
            <w:r w:rsidR="00FF3D27">
              <w:rPr>
                <w:bCs/>
                <w:szCs w:val="24"/>
              </w:rPr>
              <w:t>2015-2016.</w:t>
            </w:r>
          </w:p>
          <w:p w:rsidR="00346613" w:rsidRPr="00276876" w:rsidRDefault="00346613" w:rsidP="00C71ED4">
            <w:pPr>
              <w:rPr>
                <w:szCs w:val="24"/>
              </w:rPr>
            </w:pPr>
          </w:p>
          <w:p w:rsidR="00C71ED4" w:rsidRPr="00276876" w:rsidRDefault="00C71ED4" w:rsidP="00C71ED4">
            <w:pPr>
              <w:rPr>
                <w:b/>
                <w:szCs w:val="24"/>
              </w:rPr>
            </w:pPr>
            <w:r w:rsidRPr="00276876">
              <w:rPr>
                <w:b/>
                <w:szCs w:val="24"/>
              </w:rPr>
              <w:t>Strengths and Weaknesses related to Amendment Request:</w:t>
            </w:r>
          </w:p>
          <w:p w:rsidR="00C71ED4" w:rsidRPr="00276876" w:rsidRDefault="00C71ED4" w:rsidP="00C71ED4">
            <w:pPr>
              <w:rPr>
                <w:b/>
                <w:szCs w:val="24"/>
              </w:rPr>
            </w:pPr>
            <w:r w:rsidRPr="00276876">
              <w:rPr>
                <w:b/>
                <w:szCs w:val="24"/>
              </w:rPr>
              <w:t>Strengths:</w:t>
            </w:r>
          </w:p>
          <w:p w:rsidR="009D29D8" w:rsidRPr="00F03C99" w:rsidRDefault="00A66B05" w:rsidP="00A66B05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276876">
              <w:rPr>
                <w:szCs w:val="24"/>
              </w:rPr>
              <w:t xml:space="preserve">The board of </w:t>
            </w:r>
            <w:r w:rsidR="00311B28" w:rsidRPr="00276876">
              <w:rPr>
                <w:szCs w:val="24"/>
              </w:rPr>
              <w:t>trustees</w:t>
            </w:r>
            <w:r w:rsidRPr="00276876">
              <w:rPr>
                <w:szCs w:val="24"/>
              </w:rPr>
              <w:t xml:space="preserve"> presently operates three K-8 schools. The original flagship school is in its third charter term</w:t>
            </w:r>
            <w:r w:rsidR="003D135A">
              <w:rPr>
                <w:szCs w:val="24"/>
              </w:rPr>
              <w:t>;</w:t>
            </w:r>
            <w:r w:rsidRPr="00276876">
              <w:rPr>
                <w:szCs w:val="24"/>
              </w:rPr>
              <w:t xml:space="preserve"> has had continued success with its educational program</w:t>
            </w:r>
            <w:r w:rsidR="003D135A">
              <w:rPr>
                <w:szCs w:val="24"/>
              </w:rPr>
              <w:t>;</w:t>
            </w:r>
            <w:r w:rsidR="00E10276">
              <w:rPr>
                <w:szCs w:val="24"/>
              </w:rPr>
              <w:t xml:space="preserve"> and is identified as a L</w:t>
            </w:r>
            <w:r w:rsidRPr="00276876">
              <w:rPr>
                <w:szCs w:val="24"/>
              </w:rPr>
              <w:t xml:space="preserve">evel 1 school under the </w:t>
            </w:r>
            <w:r w:rsidR="00514927">
              <w:rPr>
                <w:szCs w:val="24"/>
              </w:rPr>
              <w:t>Department's</w:t>
            </w:r>
            <w:r w:rsidRPr="00276876">
              <w:rPr>
                <w:szCs w:val="24"/>
              </w:rPr>
              <w:t xml:space="preserve"> framework for </w:t>
            </w:r>
            <w:r w:rsidR="00514927">
              <w:rPr>
                <w:szCs w:val="24"/>
              </w:rPr>
              <w:t xml:space="preserve">district </w:t>
            </w:r>
            <w:r w:rsidRPr="00276876">
              <w:rPr>
                <w:szCs w:val="24"/>
              </w:rPr>
              <w:t>accountability and assistance. The recently added network schools are in their second and first year of operation.</w:t>
            </w:r>
          </w:p>
          <w:p w:rsidR="00F03C99" w:rsidRPr="00276876" w:rsidRDefault="00F03C99" w:rsidP="00A66B05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>
              <w:rPr>
                <w:szCs w:val="22"/>
              </w:rPr>
              <w:t xml:space="preserve">In February 2012, the flagship school was renewed with a condition related to special education service delivery. </w:t>
            </w:r>
            <w:r>
              <w:t xml:space="preserve">All instructional staff involved in the delivery of special education services </w:t>
            </w:r>
            <w:proofErr w:type="gramStart"/>
            <w:r>
              <w:t>are</w:t>
            </w:r>
            <w:proofErr w:type="gramEnd"/>
            <w:r>
              <w:t xml:space="preserve"> now either appropriately qualified to do so independently, or work under the supervision and oversight of an appropriately qualified individual. </w:t>
            </w:r>
            <w:r>
              <w:rPr>
                <w:szCs w:val="22"/>
              </w:rPr>
              <w:t>The condition has been met and is expected to be removed.</w:t>
            </w:r>
          </w:p>
          <w:p w:rsidR="00A66B05" w:rsidRPr="00276876" w:rsidRDefault="00A66B05" w:rsidP="00A66B05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276876">
              <w:rPr>
                <w:szCs w:val="24"/>
              </w:rPr>
              <w:t>The school has been noted by ot</w:t>
            </w:r>
            <w:r w:rsidR="00311B28" w:rsidRPr="00276876">
              <w:rPr>
                <w:szCs w:val="24"/>
              </w:rPr>
              <w:t>her charter schools as a source</w:t>
            </w:r>
            <w:r w:rsidRPr="00276876">
              <w:rPr>
                <w:szCs w:val="24"/>
              </w:rPr>
              <w:t xml:space="preserve"> of best practices, including its mathematics and character education curriculum. </w:t>
            </w:r>
          </w:p>
          <w:p w:rsidR="00A66B05" w:rsidRPr="00276876" w:rsidRDefault="00311B28" w:rsidP="00A66B05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276876">
              <w:rPr>
                <w:szCs w:val="24"/>
              </w:rPr>
              <w:t xml:space="preserve">While the school acknowledges high suspension rates, they </w:t>
            </w:r>
            <w:r w:rsidR="00514927">
              <w:rPr>
                <w:szCs w:val="24"/>
              </w:rPr>
              <w:t>also report</w:t>
            </w:r>
            <w:r w:rsidRPr="00276876">
              <w:rPr>
                <w:szCs w:val="24"/>
              </w:rPr>
              <w:t xml:space="preserve"> the trend of a decreasing attrition rate. They state that their discipline system provides for an effective learning environment with a strong culture of safety and respect. The decreasing attrition </w:t>
            </w:r>
            <w:r w:rsidR="00C41CB3" w:rsidRPr="00276876">
              <w:rPr>
                <w:szCs w:val="24"/>
              </w:rPr>
              <w:t xml:space="preserve">has </w:t>
            </w:r>
            <w:r w:rsidRPr="00276876">
              <w:rPr>
                <w:szCs w:val="24"/>
              </w:rPr>
              <w:t>prompted the charter amendment request to add 35 additional seats to each of the existing three schools.</w:t>
            </w:r>
          </w:p>
          <w:p w:rsidR="00311B28" w:rsidRPr="00276876" w:rsidRDefault="00311B28" w:rsidP="00A66B05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276876">
              <w:rPr>
                <w:szCs w:val="24"/>
              </w:rPr>
              <w:t xml:space="preserve">The group has indicated that a future proposal for a high school hinges on the ability for all Brooke </w:t>
            </w:r>
            <w:r w:rsidR="00514927">
              <w:rPr>
                <w:szCs w:val="24"/>
              </w:rPr>
              <w:t>8</w:t>
            </w:r>
            <w:r w:rsidR="00514927" w:rsidRPr="00514927">
              <w:rPr>
                <w:szCs w:val="24"/>
                <w:vertAlign w:val="superscript"/>
              </w:rPr>
              <w:t>th</w:t>
            </w:r>
            <w:r w:rsidR="00514927">
              <w:rPr>
                <w:szCs w:val="24"/>
              </w:rPr>
              <w:t xml:space="preserve"> </w:t>
            </w:r>
            <w:r w:rsidRPr="00276876">
              <w:rPr>
                <w:szCs w:val="24"/>
              </w:rPr>
              <w:t xml:space="preserve">grade students to be provided </w:t>
            </w:r>
            <w:r w:rsidR="003D135A">
              <w:rPr>
                <w:szCs w:val="24"/>
              </w:rPr>
              <w:t xml:space="preserve">enrollment </w:t>
            </w:r>
            <w:r w:rsidRPr="00276876">
              <w:rPr>
                <w:szCs w:val="24"/>
              </w:rPr>
              <w:t>preference. Consolidation will allow for Brooke students to be guaranteed seats at a future high school.</w:t>
            </w:r>
          </w:p>
          <w:p w:rsidR="00311B28" w:rsidRPr="00276876" w:rsidRDefault="00311B28" w:rsidP="00311B28">
            <w:pPr>
              <w:ind w:left="1080"/>
              <w:rPr>
                <w:b/>
                <w:szCs w:val="24"/>
              </w:rPr>
            </w:pPr>
          </w:p>
          <w:p w:rsidR="00C71ED4" w:rsidRPr="00276876" w:rsidRDefault="00C71ED4" w:rsidP="00C71ED4">
            <w:pPr>
              <w:rPr>
                <w:b/>
                <w:color w:val="000000"/>
                <w:szCs w:val="24"/>
              </w:rPr>
            </w:pPr>
            <w:r w:rsidRPr="00276876">
              <w:rPr>
                <w:b/>
                <w:color w:val="000000"/>
                <w:szCs w:val="24"/>
              </w:rPr>
              <w:t>Weaknesses:</w:t>
            </w:r>
          </w:p>
          <w:p w:rsidR="00C41CB3" w:rsidRPr="00276876" w:rsidRDefault="00311B28" w:rsidP="00311B28">
            <w:pPr>
              <w:numPr>
                <w:ilvl w:val="0"/>
                <w:numId w:val="8"/>
              </w:numPr>
              <w:rPr>
                <w:b/>
                <w:bCs/>
                <w:szCs w:val="24"/>
              </w:rPr>
            </w:pPr>
            <w:r w:rsidRPr="00276876">
              <w:rPr>
                <w:szCs w:val="24"/>
              </w:rPr>
              <w:t xml:space="preserve">With the </w:t>
            </w:r>
            <w:r w:rsidR="00514927">
              <w:rPr>
                <w:szCs w:val="24"/>
              </w:rPr>
              <w:t>net school spending</w:t>
            </w:r>
            <w:r w:rsidR="00E10276">
              <w:rPr>
                <w:szCs w:val="24"/>
              </w:rPr>
              <w:t xml:space="preserve"> (NSS)</w:t>
            </w:r>
            <w:r w:rsidR="003D135A">
              <w:rPr>
                <w:szCs w:val="24"/>
              </w:rPr>
              <w:t xml:space="preserve"> </w:t>
            </w:r>
            <w:r w:rsidRPr="00276876">
              <w:rPr>
                <w:szCs w:val="24"/>
              </w:rPr>
              <w:t>cap in place</w:t>
            </w:r>
            <w:r w:rsidR="00C41CB3" w:rsidRPr="00276876">
              <w:rPr>
                <w:szCs w:val="24"/>
              </w:rPr>
              <w:t xml:space="preserve">, </w:t>
            </w:r>
            <w:r w:rsidRPr="00276876">
              <w:rPr>
                <w:szCs w:val="24"/>
              </w:rPr>
              <w:t xml:space="preserve"> the present demand for Boston seats</w:t>
            </w:r>
            <w:r w:rsidR="00C41CB3" w:rsidRPr="00276876">
              <w:rPr>
                <w:szCs w:val="24"/>
              </w:rPr>
              <w:t xml:space="preserve">, and the absence of a request for the high school </w:t>
            </w:r>
            <w:r w:rsidR="003D135A">
              <w:rPr>
                <w:szCs w:val="24"/>
              </w:rPr>
              <w:t>grade span</w:t>
            </w:r>
            <w:r w:rsidRPr="00276876">
              <w:rPr>
                <w:szCs w:val="24"/>
              </w:rPr>
              <w:t>, the group would</w:t>
            </w:r>
            <w:r w:rsidR="003D135A">
              <w:rPr>
                <w:szCs w:val="24"/>
              </w:rPr>
              <w:t xml:space="preserve"> not</w:t>
            </w:r>
            <w:r w:rsidRPr="00276876">
              <w:rPr>
                <w:szCs w:val="24"/>
              </w:rPr>
              <w:t xml:space="preserve"> have access to 1000 additional Boston seats without legislative change to the charter school statute.</w:t>
            </w:r>
          </w:p>
          <w:p w:rsidR="00514927" w:rsidRPr="00514927" w:rsidRDefault="00514927" w:rsidP="00311B28">
            <w:pPr>
              <w:numPr>
                <w:ilvl w:val="0"/>
                <w:numId w:val="8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The school does not indicate when it would implement the </w:t>
            </w:r>
            <w:r w:rsidR="00E10276">
              <w:rPr>
                <w:bCs/>
                <w:szCs w:val="24"/>
              </w:rPr>
              <w:t xml:space="preserve">additional </w:t>
            </w:r>
            <w:r>
              <w:rPr>
                <w:bCs/>
                <w:szCs w:val="24"/>
              </w:rPr>
              <w:t>35 seats at each of the three schools, two of which have yet to reach the</w:t>
            </w:r>
            <w:r w:rsidR="00E10276">
              <w:rPr>
                <w:bCs/>
                <w:szCs w:val="24"/>
              </w:rPr>
              <w:t>ir present maximum enrollment. The r</w:t>
            </w:r>
            <w:r>
              <w:rPr>
                <w:bCs/>
                <w:szCs w:val="24"/>
              </w:rPr>
              <w:t xml:space="preserve">equest was submitted in the anticipation that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Cs w:val="24"/>
                  </w:rPr>
                  <w:t>Boston</w:t>
                </w:r>
              </w:smartTag>
            </w:smartTag>
            <w:r>
              <w:rPr>
                <w:bCs/>
                <w:szCs w:val="24"/>
              </w:rPr>
              <w:t xml:space="preserve"> will reach its NSS cap during this year's application and amendment cycle.</w:t>
            </w:r>
          </w:p>
          <w:p w:rsidR="00311B28" w:rsidRPr="00E72C04" w:rsidRDefault="00004DEF" w:rsidP="00C41CB3">
            <w:pPr>
              <w:numPr>
                <w:ilvl w:val="0"/>
                <w:numId w:val="8"/>
              </w:numPr>
              <w:rPr>
                <w:b/>
                <w:bCs/>
                <w:szCs w:val="24"/>
              </w:rPr>
            </w:pPr>
            <w:r w:rsidRPr="00276876">
              <w:rPr>
                <w:szCs w:val="24"/>
              </w:rPr>
              <w:t>The amendment request does not address the potential challenges of consolidation for a regional Boston-Chelsea K-8.</w:t>
            </w:r>
          </w:p>
        </w:tc>
      </w:tr>
    </w:tbl>
    <w:p w:rsidR="00131D00" w:rsidRDefault="00131D00" w:rsidP="006977A5">
      <w:pPr>
        <w:widowControl/>
        <w:snapToGrid/>
        <w:rPr>
          <w:b/>
          <w:szCs w:val="24"/>
        </w:rPr>
        <w:sectPr w:rsidR="00131D00" w:rsidSect="004E26A5">
          <w:footerReference w:type="default" r:id="rId8"/>
          <w:pgSz w:w="12240" w:h="15840" w:code="1"/>
          <w:pgMar w:top="1440" w:right="1800" w:bottom="1325" w:left="1800" w:header="720" w:footer="720" w:gutter="0"/>
          <w:cols w:space="720"/>
          <w:docGrid w:linePitch="360"/>
        </w:sectPr>
      </w:pPr>
    </w:p>
    <w:p w:rsidR="00B5168B" w:rsidRDefault="00B5168B" w:rsidP="00B5168B">
      <w:pPr>
        <w:widowControl/>
        <w:snapToGrid/>
        <w:rPr>
          <w:b/>
          <w:szCs w:val="24"/>
        </w:rPr>
      </w:pPr>
      <w:r>
        <w:rPr>
          <w:b/>
          <w:szCs w:val="24"/>
        </w:rPr>
        <w:lastRenderedPageBreak/>
        <w:t>E</w:t>
      </w:r>
      <w:r w:rsidRPr="00131D00">
        <w:rPr>
          <w:b/>
          <w:szCs w:val="24"/>
        </w:rPr>
        <w:t xml:space="preserve">dward W. </w:t>
      </w:r>
      <w:smartTag w:uri="urn:schemas-microsoft-com:office:smarttags" w:element="PlaceName">
        <w:r w:rsidRPr="00131D00">
          <w:rPr>
            <w:b/>
            <w:szCs w:val="24"/>
          </w:rPr>
          <w:t>Brooke</w:t>
        </w:r>
      </w:smartTag>
      <w:r w:rsidRPr="00131D00">
        <w:rPr>
          <w:b/>
          <w:szCs w:val="24"/>
        </w:rPr>
        <w:t xml:space="preserve"> </w:t>
      </w:r>
      <w:smartTag w:uri="urn:schemas-microsoft-com:office:smarttags" w:element="PlaceName">
        <w:r w:rsidRPr="00131D00">
          <w:rPr>
            <w:b/>
            <w:szCs w:val="24"/>
          </w:rPr>
          <w:t>Charter</w:t>
        </w:r>
      </w:smartTag>
      <w:r w:rsidRPr="00131D00">
        <w:rPr>
          <w:b/>
          <w:szCs w:val="24"/>
        </w:rPr>
        <w:t xml:space="preserve"> </w:t>
      </w:r>
      <w:smartTag w:uri="urn:schemas-microsoft-com:office:smarttags" w:element="PlaceType">
        <w:r w:rsidRPr="00131D00">
          <w:rPr>
            <w:b/>
            <w:szCs w:val="24"/>
          </w:rPr>
          <w:t>School</w:t>
        </w:r>
      </w:smartTag>
    </w:p>
    <w:p w:rsidR="00B5168B" w:rsidRDefault="00B5168B" w:rsidP="00B5168B">
      <w:pPr>
        <w:widowControl/>
        <w:snapToGrid/>
        <w:rPr>
          <w:b/>
          <w:szCs w:val="24"/>
        </w:rPr>
      </w:pPr>
      <w:r>
        <w:rPr>
          <w:b/>
          <w:szCs w:val="24"/>
        </w:rPr>
        <w:t>Academic Performance and Demographic Data</w:t>
      </w:r>
    </w:p>
    <w:p w:rsidR="00B5168B" w:rsidRDefault="00B5168B" w:rsidP="00131D00">
      <w:pPr>
        <w:widowControl/>
        <w:snapToGrid/>
        <w:rPr>
          <w:b/>
          <w:szCs w:val="24"/>
        </w:rPr>
      </w:pPr>
    </w:p>
    <w:tbl>
      <w:tblPr>
        <w:tblW w:w="13779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473"/>
        <w:gridCol w:w="4836"/>
      </w:tblGrid>
      <w:tr w:rsidR="00831DBF" w:rsidRPr="004C73FA" w:rsidTr="00A76DC3">
        <w:trPr>
          <w:trHeight w:val="3392"/>
          <w:jc w:val="center"/>
        </w:trPr>
        <w:tc>
          <w:tcPr>
            <w:tcW w:w="4701" w:type="dxa"/>
            <w:vAlign w:val="center"/>
          </w:tcPr>
          <w:p w:rsidR="00831DBF" w:rsidRPr="004C73FA" w:rsidRDefault="00A76DC3" w:rsidP="00831DBF">
            <w:pPr>
              <w:jc w:val="center"/>
            </w:pPr>
            <w:r w:rsidRPr="00A76DC3">
              <w:rPr>
                <w:noProof/>
              </w:rPr>
              <w:drawing>
                <wp:inline distT="0" distB="0" distL="0" distR="0">
                  <wp:extent cx="2847975" cy="1953067"/>
                  <wp:effectExtent l="0" t="0" r="0" b="0"/>
                  <wp:docPr id="29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471" w:type="dxa"/>
          </w:tcPr>
          <w:p w:rsidR="00831DBF" w:rsidRDefault="00831DBF" w:rsidP="00A76DC3"/>
          <w:tbl>
            <w:tblPr>
              <w:tblW w:w="4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9"/>
              <w:gridCol w:w="372"/>
              <w:gridCol w:w="200"/>
              <w:gridCol w:w="572"/>
              <w:gridCol w:w="572"/>
              <w:gridCol w:w="572"/>
            </w:tblGrid>
            <w:tr w:rsidR="00A76DC3" w:rsidTr="00A76DC3">
              <w:trPr>
                <w:jc w:val="center"/>
              </w:trPr>
              <w:tc>
                <w:tcPr>
                  <w:tcW w:w="424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A76DC3" w:rsidRDefault="00A76DC3" w:rsidP="00815FE9">
                  <w:pPr>
                    <w:jc w:val="center"/>
                  </w:pPr>
                  <w:r w:rsidRPr="007409D6">
                    <w:rPr>
                      <w:b/>
                      <w:sz w:val="22"/>
                      <w:szCs w:val="22"/>
                    </w:rPr>
                    <w:t>Accountability and Assistance Level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A76DC3" w:rsidTr="00A76DC3">
              <w:trPr>
                <w:trHeight w:val="404"/>
                <w:jc w:val="center"/>
              </w:trPr>
              <w:tc>
                <w:tcPr>
                  <w:tcW w:w="4247" w:type="dxa"/>
                  <w:gridSpan w:val="6"/>
                  <w:shd w:val="clear" w:color="auto" w:fill="auto"/>
                  <w:vAlign w:val="center"/>
                </w:tcPr>
                <w:p w:rsidR="00A76DC3" w:rsidRPr="007409D6" w:rsidRDefault="00A76DC3" w:rsidP="00815FE9">
                  <w:pPr>
                    <w:jc w:val="center"/>
                  </w:pPr>
                  <w:r>
                    <w:t>Level 1 – 95</w:t>
                  </w:r>
                  <w:r w:rsidRPr="00A77B4D">
                    <w:rPr>
                      <w:vertAlign w:val="superscript"/>
                    </w:rPr>
                    <w:t>th</w:t>
                  </w:r>
                  <w:r>
                    <w:t xml:space="preserve"> Percentile</w:t>
                  </w:r>
                </w:p>
              </w:tc>
            </w:tr>
            <w:tr w:rsidR="00A76DC3" w:rsidTr="00A76DC3">
              <w:trPr>
                <w:jc w:val="center"/>
              </w:trPr>
              <w:tc>
                <w:tcPr>
                  <w:tcW w:w="2331" w:type="dxa"/>
                  <w:gridSpan w:val="2"/>
                  <w:shd w:val="clear" w:color="auto" w:fill="D9D9D9"/>
                </w:tcPr>
                <w:p w:rsidR="00A76DC3" w:rsidRPr="007409D6" w:rsidRDefault="00A76DC3" w:rsidP="00815FE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Proficiency Gap Narrowing:</w:t>
                  </w:r>
                </w:p>
              </w:tc>
              <w:tc>
                <w:tcPr>
                  <w:tcW w:w="1916" w:type="dxa"/>
                  <w:gridSpan w:val="4"/>
                  <w:shd w:val="clear" w:color="auto" w:fill="D9D9D9"/>
                  <w:vAlign w:val="center"/>
                </w:tcPr>
                <w:p w:rsidR="00A76DC3" w:rsidRPr="007409D6" w:rsidRDefault="00A76DC3" w:rsidP="00815FE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09D6">
                    <w:rPr>
                      <w:b/>
                      <w:sz w:val="22"/>
                      <w:szCs w:val="22"/>
                    </w:rPr>
                    <w:t>Rating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A76DC3" w:rsidRPr="007409D6" w:rsidRDefault="00A76DC3" w:rsidP="00815F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6DC3" w:rsidTr="00A76DC3">
              <w:trPr>
                <w:jc w:val="center"/>
              </w:trPr>
              <w:tc>
                <w:tcPr>
                  <w:tcW w:w="2331" w:type="dxa"/>
                  <w:gridSpan w:val="2"/>
                  <w:shd w:val="clear" w:color="auto" w:fill="F2F2F2"/>
                </w:tcPr>
                <w:p w:rsidR="00A76DC3" w:rsidRPr="007409D6" w:rsidRDefault="00A76DC3" w:rsidP="00815FE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09D6">
                    <w:rPr>
                      <w:b/>
                      <w:sz w:val="22"/>
                      <w:szCs w:val="22"/>
                    </w:rPr>
                    <w:t>English Language Arts</w:t>
                  </w:r>
                </w:p>
              </w:tc>
              <w:tc>
                <w:tcPr>
                  <w:tcW w:w="1916" w:type="dxa"/>
                  <w:gridSpan w:val="4"/>
                </w:tcPr>
                <w:p w:rsidR="00A76DC3" w:rsidRPr="007409D6" w:rsidRDefault="00A76DC3" w:rsidP="00815FE9">
                  <w:pPr>
                    <w:rPr>
                      <w:sz w:val="22"/>
                      <w:szCs w:val="22"/>
                    </w:rPr>
                  </w:pPr>
                  <w:r>
                    <w:t>Above Target</w:t>
                  </w:r>
                </w:p>
              </w:tc>
            </w:tr>
            <w:tr w:rsidR="00A76DC3" w:rsidTr="00A76DC3">
              <w:trPr>
                <w:jc w:val="center"/>
              </w:trPr>
              <w:tc>
                <w:tcPr>
                  <w:tcW w:w="2331" w:type="dxa"/>
                  <w:gridSpan w:val="2"/>
                  <w:shd w:val="clear" w:color="auto" w:fill="F2F2F2"/>
                </w:tcPr>
                <w:p w:rsidR="00A76DC3" w:rsidRPr="007409D6" w:rsidRDefault="00A76DC3" w:rsidP="00815FE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09D6">
                    <w:rPr>
                      <w:b/>
                      <w:sz w:val="22"/>
                      <w:szCs w:val="22"/>
                    </w:rPr>
                    <w:t>Mathematics</w:t>
                  </w:r>
                </w:p>
              </w:tc>
              <w:tc>
                <w:tcPr>
                  <w:tcW w:w="1916" w:type="dxa"/>
                  <w:gridSpan w:val="4"/>
                </w:tcPr>
                <w:p w:rsidR="00A76DC3" w:rsidRPr="007409D6" w:rsidRDefault="00A76DC3" w:rsidP="00815FE9">
                  <w:pPr>
                    <w:rPr>
                      <w:sz w:val="22"/>
                      <w:szCs w:val="22"/>
                    </w:rPr>
                  </w:pPr>
                  <w:r>
                    <w:t>Above Target</w:t>
                  </w:r>
                </w:p>
              </w:tc>
            </w:tr>
            <w:tr w:rsidR="00A76DC3" w:rsidTr="00A76DC3">
              <w:trPr>
                <w:jc w:val="center"/>
              </w:trPr>
              <w:tc>
                <w:tcPr>
                  <w:tcW w:w="2331" w:type="dxa"/>
                  <w:gridSpan w:val="2"/>
                  <w:shd w:val="clear" w:color="auto" w:fill="F2F2F2"/>
                </w:tcPr>
                <w:p w:rsidR="00A76DC3" w:rsidRPr="007409D6" w:rsidRDefault="00A76DC3" w:rsidP="00815FE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09D6">
                    <w:rPr>
                      <w:b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tcW w:w="1916" w:type="dxa"/>
                  <w:gridSpan w:val="4"/>
                </w:tcPr>
                <w:p w:rsidR="00A76DC3" w:rsidRPr="00161E34" w:rsidRDefault="00A76DC3" w:rsidP="00815FE9">
                  <w:pPr>
                    <w:rPr>
                      <w:i/>
                      <w:sz w:val="22"/>
                      <w:szCs w:val="22"/>
                    </w:rPr>
                  </w:pPr>
                  <w:r>
                    <w:t>Above Target</w:t>
                  </w:r>
                </w:p>
              </w:tc>
            </w:tr>
            <w:tr w:rsidR="00A76DC3" w:rsidRPr="008079E3" w:rsidTr="00A76DC3">
              <w:tblPrEx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4247" w:type="dxa"/>
                  <w:gridSpan w:val="6"/>
                  <w:shd w:val="clear" w:color="auto" w:fill="BFBFBF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EBCS </w:t>
                  </w:r>
                  <w:r w:rsidRPr="008079E3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Median Student Growth Percentile</w:t>
                  </w:r>
                </w:p>
              </w:tc>
            </w:tr>
            <w:tr w:rsidR="00A76DC3" w:rsidRPr="008079E3" w:rsidTr="00A76DC3">
              <w:tblPrEx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959" w:type="dxa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572" w:type="dxa"/>
                  <w:gridSpan w:val="2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2009</w:t>
                  </w:r>
                </w:p>
              </w:tc>
              <w:tc>
                <w:tcPr>
                  <w:tcW w:w="572" w:type="dxa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572" w:type="dxa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572" w:type="dxa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2012</w:t>
                  </w:r>
                </w:p>
              </w:tc>
            </w:tr>
            <w:tr w:rsidR="00A76DC3" w:rsidRPr="008079E3" w:rsidTr="00A76DC3">
              <w:tblPrEx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959" w:type="dxa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English Language Arts</w:t>
                  </w:r>
                </w:p>
              </w:tc>
              <w:tc>
                <w:tcPr>
                  <w:tcW w:w="572" w:type="dxa"/>
                  <w:gridSpan w:val="2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71.5</w:t>
                  </w:r>
                </w:p>
              </w:tc>
              <w:tc>
                <w:tcPr>
                  <w:tcW w:w="572" w:type="dxa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572" w:type="dxa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572" w:type="dxa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</w:tr>
            <w:tr w:rsidR="00A76DC3" w:rsidRPr="008079E3" w:rsidTr="00A76DC3">
              <w:tblPrEx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959" w:type="dxa"/>
                  <w:shd w:val="clear" w:color="auto" w:fill="D9D9D9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079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572" w:type="dxa"/>
                  <w:gridSpan w:val="2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572" w:type="dxa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76.5</w:t>
                  </w:r>
                </w:p>
              </w:tc>
              <w:tc>
                <w:tcPr>
                  <w:tcW w:w="572" w:type="dxa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572" w:type="dxa"/>
                </w:tcPr>
                <w:p w:rsidR="00A76DC3" w:rsidRPr="008079E3" w:rsidRDefault="00A76DC3" w:rsidP="00815FE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</w:t>
                  </w:r>
                </w:p>
              </w:tc>
            </w:tr>
          </w:tbl>
          <w:p w:rsidR="00A76DC3" w:rsidRPr="00FE32B9" w:rsidRDefault="00A76DC3" w:rsidP="00831DBF">
            <w:pPr>
              <w:jc w:val="center"/>
            </w:pPr>
          </w:p>
        </w:tc>
        <w:tc>
          <w:tcPr>
            <w:tcW w:w="4607" w:type="dxa"/>
            <w:vAlign w:val="center"/>
          </w:tcPr>
          <w:p w:rsidR="00831DBF" w:rsidRPr="004C73FA" w:rsidRDefault="00A76DC3" w:rsidP="00831DBF">
            <w:pPr>
              <w:jc w:val="center"/>
            </w:pPr>
            <w:r w:rsidRPr="00A76DC3">
              <w:rPr>
                <w:noProof/>
              </w:rPr>
              <w:drawing>
                <wp:inline distT="0" distB="0" distL="0" distR="0">
                  <wp:extent cx="2933700" cy="2019300"/>
                  <wp:effectExtent l="0" t="0" r="0" b="0"/>
                  <wp:docPr id="1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5168B" w:rsidRDefault="00C4240E" w:rsidP="00131D00">
      <w:pPr>
        <w:widowControl/>
        <w:snapToGrid/>
        <w:rPr>
          <w:b/>
          <w:szCs w:val="24"/>
        </w:rPr>
      </w:pPr>
      <w:r>
        <w:rPr>
          <w:b/>
          <w:szCs w:val="24"/>
        </w:rPr>
        <w:br/>
      </w:r>
    </w:p>
    <w:p w:rsidR="00B5168B" w:rsidRDefault="00B5168B" w:rsidP="00131D00">
      <w:pPr>
        <w:widowControl/>
        <w:snapToGrid/>
        <w:rPr>
          <w:b/>
          <w:szCs w:val="24"/>
        </w:rPr>
      </w:pPr>
    </w:p>
    <w:tbl>
      <w:tblPr>
        <w:tblpPr w:leftFromText="180" w:rightFromText="180" w:vertAnchor="text" w:horzAnchor="margin" w:tblpXSpec="center" w:tblpY="113"/>
        <w:tblW w:w="11481" w:type="dxa"/>
        <w:tblLook w:val="04A0" w:firstRow="1" w:lastRow="0" w:firstColumn="1" w:lastColumn="0" w:noHBand="0" w:noVBand="1"/>
      </w:tblPr>
      <w:tblGrid>
        <w:gridCol w:w="916"/>
        <w:gridCol w:w="1978"/>
        <w:gridCol w:w="1061"/>
        <w:gridCol w:w="735"/>
        <w:gridCol w:w="972"/>
        <w:gridCol w:w="766"/>
        <w:gridCol w:w="972"/>
        <w:gridCol w:w="1061"/>
        <w:gridCol w:w="1061"/>
        <w:gridCol w:w="1095"/>
        <w:gridCol w:w="864"/>
      </w:tblGrid>
      <w:tr w:rsidR="00B5168B" w:rsidRPr="00131D00" w:rsidTr="00B5168B">
        <w:trPr>
          <w:trHeight w:val="1035"/>
        </w:trPr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168B" w:rsidRPr="00131D00" w:rsidRDefault="00B5168B" w:rsidP="00B5168B">
            <w:pPr>
              <w:widowControl/>
              <w:snapToGrid/>
              <w:rPr>
                <w:color w:val="FFFFFF"/>
                <w:sz w:val="20"/>
              </w:rPr>
            </w:pPr>
            <w:r w:rsidRPr="00131D00">
              <w:rPr>
                <w:color w:val="FFFFFF"/>
                <w:sz w:val="20"/>
              </w:rPr>
              <w:t>Org Code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widowControl/>
              <w:snapToGrid/>
              <w:jc w:val="center"/>
              <w:rPr>
                <w:b/>
                <w:bCs/>
                <w:color w:val="000000"/>
                <w:sz w:val="20"/>
              </w:rPr>
            </w:pPr>
            <w:r w:rsidRPr="009F4933">
              <w:rPr>
                <w:b/>
                <w:bCs/>
                <w:color w:val="000000"/>
                <w:sz w:val="20"/>
              </w:rPr>
              <w:t xml:space="preserve">2011-2012 </w:t>
            </w:r>
          </w:p>
          <w:p w:rsidR="00B5168B" w:rsidRPr="009F4933" w:rsidRDefault="00B5168B" w:rsidP="00B5168B">
            <w:pPr>
              <w:widowControl/>
              <w:snapToGrid/>
              <w:jc w:val="center"/>
              <w:rPr>
                <w:b/>
                <w:bCs/>
                <w:color w:val="000000"/>
                <w:szCs w:val="24"/>
              </w:rPr>
            </w:pPr>
            <w:r w:rsidRPr="009F4933">
              <w:rPr>
                <w:b/>
                <w:bCs/>
                <w:color w:val="000000"/>
                <w:sz w:val="20"/>
              </w:rPr>
              <w:t>Demographics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African American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Asian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Hispanic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White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Multi-Race, Non-Hispanic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First Language Not English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Limited English Proficient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Special Education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68B" w:rsidRPr="009F4933" w:rsidRDefault="00B5168B" w:rsidP="00B5168B">
            <w:pPr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Low-Income</w:t>
            </w:r>
          </w:p>
        </w:tc>
      </w:tr>
      <w:tr w:rsidR="00B5168B" w:rsidRPr="00131D00" w:rsidTr="00B5168B">
        <w:trPr>
          <w:trHeight w:val="525"/>
        </w:trPr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rPr>
                <w:color w:val="FFFFFF"/>
                <w:sz w:val="20"/>
              </w:rPr>
            </w:pPr>
            <w:r w:rsidRPr="00131D00">
              <w:rPr>
                <w:color w:val="FFFFFF"/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F4933">
                  <w:rPr>
                    <w:b/>
                    <w:color w:val="000000"/>
                    <w:sz w:val="20"/>
                  </w:rPr>
                  <w:t>Edward</w:t>
                </w:r>
              </w:smartTag>
              <w:r w:rsidRPr="009F4933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9F4933">
                  <w:rPr>
                    <w:b/>
                    <w:color w:val="000000"/>
                    <w:sz w:val="20"/>
                  </w:rPr>
                  <w:t>Brooke</w:t>
                </w:r>
              </w:smartTag>
              <w:r w:rsidRPr="009F4933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9F4933">
                  <w:rPr>
                    <w:b/>
                    <w:color w:val="000000"/>
                    <w:sz w:val="20"/>
                  </w:rPr>
                  <w:t>Charter</w:t>
                </w:r>
              </w:smartTag>
              <w:r w:rsidRPr="009F4933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9F4933">
                  <w:rPr>
                    <w:b/>
                    <w:color w:val="000000"/>
                    <w:sz w:val="20"/>
                  </w:rPr>
                  <w:t>School</w:t>
                </w:r>
              </w:smartTag>
            </w:smartTag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71.7%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0.6%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23.6%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1.3%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2.8%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12.8%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0.2%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7.4%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82.3%</w:t>
            </w:r>
          </w:p>
        </w:tc>
      </w:tr>
      <w:tr w:rsidR="00B5168B" w:rsidRPr="00131D00" w:rsidTr="00F4676F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(95 Schools)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Comparison Minimum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1.5%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0.0%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9.4%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0.3%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28.7%</w:t>
            </w:r>
          </w:p>
        </w:tc>
      </w:tr>
      <w:tr w:rsidR="00B5168B" w:rsidRPr="00131D00" w:rsidTr="00F4676F">
        <w:trPr>
          <w:trHeight w:val="270"/>
        </w:trPr>
        <w:tc>
          <w:tcPr>
            <w:tcW w:w="9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68B" w:rsidRPr="00131D00" w:rsidRDefault="00B5168B" w:rsidP="00B5168B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  <w:r w:rsidRPr="00131D00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Comparison Median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29.8%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2.5%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42.1%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8.4%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2.0%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18.3%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74.4%</w:t>
            </w:r>
          </w:p>
        </w:tc>
      </w:tr>
      <w:tr w:rsidR="00B5168B" w:rsidRPr="00131D00" w:rsidTr="00F4676F">
        <w:trPr>
          <w:trHeight w:val="270"/>
        </w:trPr>
        <w:tc>
          <w:tcPr>
            <w:tcW w:w="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68B" w:rsidRPr="00131D00" w:rsidRDefault="00B5168B" w:rsidP="00B5168B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  <w:r w:rsidRPr="00131D00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Comparison Maximum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75.8%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56.6%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90.8%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62.3%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6.6%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98.4%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92.1%</w:t>
            </w:r>
          </w:p>
        </w:tc>
      </w:tr>
      <w:tr w:rsidR="00B5168B" w:rsidRPr="00131D00" w:rsidTr="00F4676F">
        <w:trPr>
          <w:trHeight w:val="270"/>
        </w:trPr>
        <w:tc>
          <w:tcPr>
            <w:tcW w:w="916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5168B" w:rsidRPr="00131D00" w:rsidRDefault="00B5168B" w:rsidP="00B5168B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  <w:r w:rsidRPr="00131D00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 xml:space="preserve"> Comparison Total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31.8%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9.3%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42.3%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14.1%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131D00">
              <w:rPr>
                <w:color w:val="000000"/>
                <w:sz w:val="20"/>
              </w:rPr>
              <w:t>2.0%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17.6%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Default="00B5168B" w:rsidP="00B516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68.6%</w:t>
            </w:r>
          </w:p>
        </w:tc>
      </w:tr>
      <w:tr w:rsidR="00B5168B" w:rsidRPr="00131D00" w:rsidTr="00F4676F">
        <w:trPr>
          <w:trHeight w:val="270"/>
        </w:trPr>
        <w:tc>
          <w:tcPr>
            <w:tcW w:w="9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68B" w:rsidRPr="00131D00" w:rsidRDefault="00B5168B" w:rsidP="00B5168B">
            <w:pPr>
              <w:widowControl/>
              <w:snapToGrid/>
              <w:rPr>
                <w:color w:val="FFFFFF"/>
                <w:sz w:val="20"/>
              </w:rPr>
            </w:pPr>
            <w:r w:rsidRPr="00131D00">
              <w:rPr>
                <w:color w:val="FFFFFF"/>
                <w:sz w:val="20"/>
              </w:rPr>
              <w:t>State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State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8.3%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5.7%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16.1%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67.0%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B" w:rsidRPr="009F4933" w:rsidRDefault="00B5168B" w:rsidP="00B5168B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2.5%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16.7%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7.3%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17.0%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B" w:rsidRPr="009F4933" w:rsidRDefault="00B5168B" w:rsidP="00B5168B">
            <w:pPr>
              <w:jc w:val="right"/>
              <w:rPr>
                <w:b/>
                <w:color w:val="000000"/>
                <w:sz w:val="20"/>
              </w:rPr>
            </w:pPr>
            <w:r w:rsidRPr="009F4933">
              <w:rPr>
                <w:b/>
                <w:color w:val="000000"/>
                <w:sz w:val="20"/>
              </w:rPr>
              <w:t>35.2%</w:t>
            </w:r>
          </w:p>
        </w:tc>
      </w:tr>
    </w:tbl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</w:p>
    <w:p w:rsidR="00B5168B" w:rsidRDefault="00B5168B" w:rsidP="00131D00">
      <w:pPr>
        <w:widowControl/>
        <w:snapToGrid/>
        <w:rPr>
          <w:b/>
          <w:szCs w:val="24"/>
        </w:rPr>
      </w:pPr>
      <w:r>
        <w:rPr>
          <w:b/>
          <w:szCs w:val="24"/>
        </w:rPr>
        <w:br/>
      </w:r>
    </w:p>
    <w:p w:rsidR="00C4240E" w:rsidRDefault="00C4240E" w:rsidP="00131D00">
      <w:pPr>
        <w:widowControl/>
        <w:snapToGrid/>
        <w:rPr>
          <w:b/>
          <w:szCs w:val="24"/>
        </w:rPr>
      </w:pPr>
      <w:r>
        <w:rPr>
          <w:b/>
          <w:szCs w:val="24"/>
        </w:rPr>
        <w:br/>
      </w:r>
    </w:p>
    <w:p w:rsidR="00131D00" w:rsidRDefault="002927C9" w:rsidP="00131D00">
      <w:pPr>
        <w:widowControl/>
        <w:snapToGrid/>
        <w:rPr>
          <w:b/>
          <w:szCs w:val="24"/>
        </w:rPr>
      </w:pPr>
      <w:r>
        <w:rPr>
          <w:b/>
          <w:szCs w:val="24"/>
        </w:rPr>
        <w:lastRenderedPageBreak/>
        <w:br/>
      </w:r>
      <w:r w:rsidR="004D182A">
        <w:rPr>
          <w:b/>
          <w:szCs w:val="24"/>
        </w:rPr>
        <w:t>E</w:t>
      </w:r>
      <w:r w:rsidR="00131D00" w:rsidRPr="00131D00">
        <w:rPr>
          <w:b/>
          <w:szCs w:val="24"/>
        </w:rPr>
        <w:t xml:space="preserve">dward W. </w:t>
      </w:r>
      <w:smartTag w:uri="urn:schemas-microsoft-com:office:smarttags" w:element="PlaceName">
        <w:r w:rsidR="00131D00" w:rsidRPr="00131D00">
          <w:rPr>
            <w:b/>
            <w:szCs w:val="24"/>
          </w:rPr>
          <w:t>Brooke</w:t>
        </w:r>
      </w:smartTag>
      <w:r w:rsidR="00131D00" w:rsidRPr="00131D00">
        <w:rPr>
          <w:b/>
          <w:szCs w:val="24"/>
        </w:rPr>
        <w:t xml:space="preserve"> </w:t>
      </w:r>
      <w:smartTag w:uri="urn:schemas-microsoft-com:office:smarttags" w:element="PlaceName">
        <w:r w:rsidR="00131D00" w:rsidRPr="00131D00">
          <w:rPr>
            <w:b/>
            <w:szCs w:val="24"/>
          </w:rPr>
          <w:t>Charter</w:t>
        </w:r>
      </w:smartTag>
      <w:r w:rsidR="00131D00" w:rsidRPr="00131D00">
        <w:rPr>
          <w:b/>
          <w:szCs w:val="24"/>
        </w:rPr>
        <w:t xml:space="preserve"> </w:t>
      </w:r>
      <w:smartTag w:uri="urn:schemas-microsoft-com:office:smarttags" w:element="PlaceType">
        <w:r w:rsidR="00131D00" w:rsidRPr="00131D00">
          <w:rPr>
            <w:b/>
            <w:szCs w:val="24"/>
          </w:rPr>
          <w:t>School</w:t>
        </w:r>
      </w:smartTag>
    </w:p>
    <w:p w:rsidR="00B5168B" w:rsidRDefault="00B5168B" w:rsidP="00B5168B">
      <w:pPr>
        <w:widowControl/>
        <w:snapToGrid/>
        <w:rPr>
          <w:b/>
          <w:szCs w:val="24"/>
        </w:rPr>
      </w:pPr>
      <w:r>
        <w:rPr>
          <w:b/>
          <w:szCs w:val="24"/>
        </w:rPr>
        <w:t>Demographic Data: Selected Populations</w:t>
      </w: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4D182A" w:rsidP="006977A5">
      <w:pPr>
        <w:widowControl/>
        <w:snapToGrid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3857625" cy="2295525"/>
            <wp:effectExtent l="19050" t="0" r="9525" b="0"/>
            <wp:wrapTight wrapText="bothSides">
              <wp:wrapPolygon edited="0">
                <wp:start x="-107" y="0"/>
                <wp:lineTo x="-107" y="21510"/>
                <wp:lineTo x="21653" y="21510"/>
                <wp:lineTo x="21653" y="0"/>
                <wp:lineTo x="-107" y="0"/>
              </wp:wrapPolygon>
            </wp:wrapTight>
            <wp:docPr id="3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26670</wp:posOffset>
            </wp:positionV>
            <wp:extent cx="3686175" cy="2286000"/>
            <wp:effectExtent l="19050" t="0" r="9525" b="0"/>
            <wp:wrapTight wrapText="bothSides">
              <wp:wrapPolygon edited="0">
                <wp:start x="-112" y="0"/>
                <wp:lineTo x="-112" y="21600"/>
                <wp:lineTo x="21656" y="21600"/>
                <wp:lineTo x="21656" y="0"/>
                <wp:lineTo x="-112" y="0"/>
              </wp:wrapPolygon>
            </wp:wrapTight>
            <wp:docPr id="5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4D182A" w:rsidP="006977A5">
      <w:pPr>
        <w:widowControl/>
        <w:snapToGrid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39370</wp:posOffset>
            </wp:positionV>
            <wp:extent cx="3686175" cy="2428875"/>
            <wp:effectExtent l="19050" t="0" r="9525" b="0"/>
            <wp:wrapTight wrapText="bothSides">
              <wp:wrapPolygon edited="0">
                <wp:start x="-112" y="0"/>
                <wp:lineTo x="-112" y="21515"/>
                <wp:lineTo x="21656" y="21515"/>
                <wp:lineTo x="21656" y="0"/>
                <wp:lineTo x="-112" y="0"/>
              </wp:wrapPolygon>
            </wp:wrapTight>
            <wp:docPr id="4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3857625" cy="2428875"/>
            <wp:effectExtent l="19050" t="0" r="9525" b="0"/>
            <wp:wrapSquare wrapText="bothSides"/>
            <wp:docPr id="12" name="Chart 1" descr="Line Chart: % of Enrollment&#10;Data: See range C22: K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5168B" w:rsidRDefault="00B5168B" w:rsidP="00B5168B">
      <w:pPr>
        <w:widowControl/>
        <w:snapToGrid/>
        <w:rPr>
          <w:b/>
          <w:szCs w:val="24"/>
        </w:rPr>
      </w:pPr>
    </w:p>
    <w:p w:rsidR="00B5168B" w:rsidRDefault="00B5168B" w:rsidP="00B5168B">
      <w:pPr>
        <w:widowControl/>
        <w:snapToGrid/>
        <w:rPr>
          <w:b/>
          <w:szCs w:val="24"/>
        </w:rPr>
      </w:pPr>
      <w:r>
        <w:rPr>
          <w:b/>
          <w:szCs w:val="24"/>
        </w:rPr>
        <w:lastRenderedPageBreak/>
        <w:t>E</w:t>
      </w:r>
      <w:r w:rsidRPr="00131D00">
        <w:rPr>
          <w:b/>
          <w:szCs w:val="24"/>
        </w:rPr>
        <w:t xml:space="preserve">dward W. </w:t>
      </w:r>
      <w:smartTag w:uri="urn:schemas-microsoft-com:office:smarttags" w:element="PlaceName">
        <w:r w:rsidRPr="00131D00">
          <w:rPr>
            <w:b/>
            <w:szCs w:val="24"/>
          </w:rPr>
          <w:t>Brooke</w:t>
        </w:r>
      </w:smartTag>
      <w:r w:rsidRPr="00131D00">
        <w:rPr>
          <w:b/>
          <w:szCs w:val="24"/>
        </w:rPr>
        <w:t xml:space="preserve"> </w:t>
      </w:r>
      <w:smartTag w:uri="urn:schemas-microsoft-com:office:smarttags" w:element="PlaceName">
        <w:r w:rsidRPr="00131D00">
          <w:rPr>
            <w:b/>
            <w:szCs w:val="24"/>
          </w:rPr>
          <w:t>Charter</w:t>
        </w:r>
      </w:smartTag>
      <w:r w:rsidRPr="00131D00">
        <w:rPr>
          <w:b/>
          <w:szCs w:val="24"/>
        </w:rPr>
        <w:t xml:space="preserve"> </w:t>
      </w:r>
      <w:smartTag w:uri="urn:schemas-microsoft-com:office:smarttags" w:element="PlaceType">
        <w:r w:rsidRPr="00131D00">
          <w:rPr>
            <w:b/>
            <w:szCs w:val="24"/>
          </w:rPr>
          <w:t>School</w:t>
        </w:r>
      </w:smartTag>
    </w:p>
    <w:p w:rsidR="00B5168B" w:rsidRDefault="00B5168B" w:rsidP="00B5168B">
      <w:pPr>
        <w:widowControl/>
        <w:snapToGrid/>
        <w:rPr>
          <w:b/>
          <w:szCs w:val="24"/>
        </w:rPr>
      </w:pPr>
      <w:r>
        <w:rPr>
          <w:b/>
          <w:szCs w:val="24"/>
        </w:rPr>
        <w:t>Demographic Data: Selected Populations</w:t>
      </w:r>
    </w:p>
    <w:p w:rsidR="00B5168B" w:rsidRDefault="00B5168B" w:rsidP="00CC43ED">
      <w:pPr>
        <w:widowControl/>
        <w:snapToGrid/>
        <w:rPr>
          <w:b/>
          <w:szCs w:val="24"/>
        </w:rPr>
      </w:pPr>
    </w:p>
    <w:p w:rsidR="00B5168B" w:rsidRDefault="00B5168B" w:rsidP="00CC43ED">
      <w:pPr>
        <w:widowControl/>
        <w:snapToGrid/>
        <w:rPr>
          <w:b/>
          <w:szCs w:val="24"/>
        </w:rPr>
      </w:pPr>
    </w:p>
    <w:p w:rsidR="00B5168B" w:rsidRDefault="00B5168B" w:rsidP="00CC43ED">
      <w:pPr>
        <w:widowControl/>
        <w:snapToGrid/>
        <w:rPr>
          <w:b/>
          <w:szCs w:val="24"/>
        </w:rPr>
      </w:pPr>
    </w:p>
    <w:p w:rsidR="00B113DD" w:rsidRDefault="004D182A" w:rsidP="00CC43ED">
      <w:pPr>
        <w:widowControl/>
        <w:snapToGrid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-295275</wp:posOffset>
            </wp:positionV>
            <wp:extent cx="3657600" cy="2476500"/>
            <wp:effectExtent l="19050" t="0" r="19050" b="0"/>
            <wp:wrapTight wrapText="bothSides">
              <wp:wrapPolygon edited="0">
                <wp:start x="-113" y="0"/>
                <wp:lineTo x="-113" y="21600"/>
                <wp:lineTo x="21713" y="21600"/>
                <wp:lineTo x="21713" y="0"/>
                <wp:lineTo x="-113" y="0"/>
              </wp:wrapPolygon>
            </wp:wrapTight>
            <wp:docPr id="10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-286385</wp:posOffset>
            </wp:positionV>
            <wp:extent cx="3857625" cy="2466975"/>
            <wp:effectExtent l="19050" t="0" r="9525" b="0"/>
            <wp:wrapTight wrapText="bothSides">
              <wp:wrapPolygon edited="0">
                <wp:start x="-107" y="0"/>
                <wp:lineTo x="-107" y="21517"/>
                <wp:lineTo x="21653" y="21517"/>
                <wp:lineTo x="21653" y="0"/>
                <wp:lineTo x="-107" y="0"/>
              </wp:wrapPolygon>
            </wp:wrapTight>
            <wp:docPr id="9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4D182A" w:rsidP="00CC43ED">
      <w:pPr>
        <w:widowControl/>
        <w:snapToGrid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131445</wp:posOffset>
            </wp:positionV>
            <wp:extent cx="3657600" cy="2619375"/>
            <wp:effectExtent l="19050" t="0" r="19050" b="0"/>
            <wp:wrapTight wrapText="bothSides">
              <wp:wrapPolygon edited="0">
                <wp:start x="-113" y="0"/>
                <wp:lineTo x="-113" y="21521"/>
                <wp:lineTo x="21713" y="21521"/>
                <wp:lineTo x="21713" y="0"/>
                <wp:lineTo x="-113" y="0"/>
              </wp:wrapPolygon>
            </wp:wrapTight>
            <wp:docPr id="11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131445</wp:posOffset>
            </wp:positionV>
            <wp:extent cx="3857625" cy="2619375"/>
            <wp:effectExtent l="19050" t="0" r="9525" b="0"/>
            <wp:wrapSquare wrapText="bothSides"/>
            <wp:docPr id="13" name="Chart 1" descr="Line Chart: % of Enrollment&#10;Data: See range C22: K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B113DD" w:rsidRDefault="00B113DD" w:rsidP="00CC43ED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p w:rsidR="00131D00" w:rsidRDefault="00131D00" w:rsidP="006977A5">
      <w:pPr>
        <w:widowControl/>
        <w:snapToGrid/>
        <w:rPr>
          <w:b/>
          <w:szCs w:val="24"/>
        </w:rPr>
      </w:pPr>
    </w:p>
    <w:sectPr w:rsidR="00131D00" w:rsidSect="00B5168B">
      <w:pgSz w:w="15840" w:h="12240" w:orient="landscape" w:code="1"/>
      <w:pgMar w:top="1440" w:right="1325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A9" w:rsidRDefault="00A67DA9">
      <w:r>
        <w:separator/>
      </w:r>
    </w:p>
  </w:endnote>
  <w:endnote w:type="continuationSeparator" w:id="0">
    <w:p w:rsidR="00A67DA9" w:rsidRDefault="00A6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F" w:rsidRPr="007B2DA8" w:rsidRDefault="00831DBF" w:rsidP="007B2DA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3075"/>
      </w:tabs>
      <w:rPr>
        <w:rFonts w:ascii="Cambria" w:hAnsi="Cambria"/>
        <w:sz w:val="20"/>
      </w:rPr>
    </w:pPr>
    <w:smartTag w:uri="urn:schemas-microsoft-com:office:smarttags" w:element="place">
      <w:smartTag w:uri="urn:schemas-microsoft-com:office:smarttags" w:element="PlaceName">
        <w:r w:rsidRPr="007B2DA8">
          <w:rPr>
            <w:sz w:val="20"/>
          </w:rPr>
          <w:t>Edward</w:t>
        </w:r>
      </w:smartTag>
      <w:r w:rsidRPr="007B2DA8">
        <w:rPr>
          <w:sz w:val="20"/>
        </w:rPr>
        <w:t xml:space="preserve"> </w:t>
      </w:r>
      <w:smartTag w:uri="urn:schemas-microsoft-com:office:smarttags" w:element="PlaceName">
        <w:r w:rsidRPr="007B2DA8">
          <w:rPr>
            <w:sz w:val="20"/>
          </w:rPr>
          <w:t>W.</w:t>
        </w:r>
      </w:smartTag>
      <w:r w:rsidRPr="007B2DA8">
        <w:rPr>
          <w:sz w:val="20"/>
        </w:rPr>
        <w:t xml:space="preserve"> </w:t>
      </w:r>
      <w:smartTag w:uri="urn:schemas-microsoft-com:office:smarttags" w:element="PlaceName">
        <w:r w:rsidRPr="007B2DA8">
          <w:rPr>
            <w:sz w:val="20"/>
          </w:rPr>
          <w:t>Brooke</w:t>
        </w:r>
      </w:smartTag>
      <w:r w:rsidRPr="007B2DA8">
        <w:rPr>
          <w:sz w:val="20"/>
        </w:rPr>
        <w:t xml:space="preserve"> </w:t>
      </w:r>
      <w:smartTag w:uri="urn:schemas-microsoft-com:office:smarttags" w:element="PlaceName">
        <w:r w:rsidRPr="007B2DA8">
          <w:rPr>
            <w:sz w:val="20"/>
          </w:rPr>
          <w:t>Charter</w:t>
        </w:r>
      </w:smartTag>
      <w:r w:rsidRPr="007B2DA8">
        <w:rPr>
          <w:sz w:val="20"/>
        </w:rPr>
        <w:t xml:space="preserve"> </w:t>
      </w:r>
      <w:smartTag w:uri="urn:schemas-microsoft-com:office:smarttags" w:element="PlaceType">
        <w:r w:rsidRPr="007B2DA8">
          <w:rPr>
            <w:sz w:val="20"/>
          </w:rPr>
          <w:t>School</w:t>
        </w:r>
      </w:smartTag>
    </w:smartTag>
    <w:r>
      <w:rPr>
        <w:sz w:val="20"/>
      </w:rPr>
      <w:t xml:space="preserve"> Amendment                                                                                    </w:t>
    </w:r>
    <w:r w:rsidRPr="007B2DA8">
      <w:rPr>
        <w:rFonts w:ascii="Cambria" w:hAnsi="Cambria"/>
        <w:sz w:val="20"/>
      </w:rPr>
      <w:t xml:space="preserve">Page </w:t>
    </w:r>
    <w:r w:rsidR="00AC0643" w:rsidRPr="007B2DA8">
      <w:rPr>
        <w:sz w:val="20"/>
      </w:rPr>
      <w:fldChar w:fldCharType="begin"/>
    </w:r>
    <w:r w:rsidRPr="007B2DA8">
      <w:rPr>
        <w:sz w:val="20"/>
      </w:rPr>
      <w:instrText xml:space="preserve"> PAGE   \* MERGEFORMAT </w:instrText>
    </w:r>
    <w:r w:rsidR="00AC0643" w:rsidRPr="007B2DA8">
      <w:rPr>
        <w:sz w:val="20"/>
      </w:rPr>
      <w:fldChar w:fldCharType="separate"/>
    </w:r>
    <w:r w:rsidR="00E537D1" w:rsidRPr="00E537D1">
      <w:rPr>
        <w:rFonts w:ascii="Cambria" w:hAnsi="Cambria"/>
        <w:noProof/>
        <w:sz w:val="20"/>
      </w:rPr>
      <w:t>1</w:t>
    </w:r>
    <w:r w:rsidR="00AC0643" w:rsidRPr="007B2DA8">
      <w:rPr>
        <w:sz w:val="20"/>
      </w:rPr>
      <w:fldChar w:fldCharType="end"/>
    </w:r>
  </w:p>
  <w:p w:rsidR="00831DBF" w:rsidRDefault="00831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A9" w:rsidRDefault="00A67DA9">
      <w:r>
        <w:separator/>
      </w:r>
    </w:p>
  </w:footnote>
  <w:footnote w:type="continuationSeparator" w:id="0">
    <w:p w:rsidR="00A67DA9" w:rsidRDefault="00A6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D47"/>
    <w:multiLevelType w:val="hybridMultilevel"/>
    <w:tmpl w:val="0574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33453"/>
    <w:multiLevelType w:val="hybridMultilevel"/>
    <w:tmpl w:val="7BFC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03E9C"/>
    <w:multiLevelType w:val="hybridMultilevel"/>
    <w:tmpl w:val="6C8C9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6173E"/>
    <w:multiLevelType w:val="hybridMultilevel"/>
    <w:tmpl w:val="CDCA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D4C3D"/>
    <w:multiLevelType w:val="hybridMultilevel"/>
    <w:tmpl w:val="927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5774"/>
    <w:multiLevelType w:val="hybridMultilevel"/>
    <w:tmpl w:val="DC204334"/>
    <w:lvl w:ilvl="0" w:tplc="C4602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6CB4C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22697"/>
    <w:multiLevelType w:val="hybridMultilevel"/>
    <w:tmpl w:val="5084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A2575"/>
    <w:multiLevelType w:val="hybridMultilevel"/>
    <w:tmpl w:val="79A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CE"/>
    <w:rsid w:val="00001819"/>
    <w:rsid w:val="000019E7"/>
    <w:rsid w:val="00003DB4"/>
    <w:rsid w:val="00004DEF"/>
    <w:rsid w:val="000119CC"/>
    <w:rsid w:val="000224B6"/>
    <w:rsid w:val="00030457"/>
    <w:rsid w:val="00030DFA"/>
    <w:rsid w:val="00031E93"/>
    <w:rsid w:val="00036639"/>
    <w:rsid w:val="000601CA"/>
    <w:rsid w:val="00064797"/>
    <w:rsid w:val="00064FD9"/>
    <w:rsid w:val="00071D0A"/>
    <w:rsid w:val="00085B35"/>
    <w:rsid w:val="00086AC0"/>
    <w:rsid w:val="00086BA5"/>
    <w:rsid w:val="00095B4F"/>
    <w:rsid w:val="000B40FF"/>
    <w:rsid w:val="000C5F38"/>
    <w:rsid w:val="000D41A4"/>
    <w:rsid w:val="000E09A6"/>
    <w:rsid w:val="000E3498"/>
    <w:rsid w:val="00111F2A"/>
    <w:rsid w:val="00116858"/>
    <w:rsid w:val="00121019"/>
    <w:rsid w:val="001268F7"/>
    <w:rsid w:val="00131D00"/>
    <w:rsid w:val="001410C8"/>
    <w:rsid w:val="00143132"/>
    <w:rsid w:val="00143B91"/>
    <w:rsid w:val="00146512"/>
    <w:rsid w:val="00153E49"/>
    <w:rsid w:val="001963EA"/>
    <w:rsid w:val="001B7CDA"/>
    <w:rsid w:val="001E33FC"/>
    <w:rsid w:val="001E3526"/>
    <w:rsid w:val="001E4A9F"/>
    <w:rsid w:val="002023A9"/>
    <w:rsid w:val="002075A5"/>
    <w:rsid w:val="002159D7"/>
    <w:rsid w:val="00217436"/>
    <w:rsid w:val="00224CF0"/>
    <w:rsid w:val="00225629"/>
    <w:rsid w:val="002543B6"/>
    <w:rsid w:val="0026175C"/>
    <w:rsid w:val="00265C39"/>
    <w:rsid w:val="00276876"/>
    <w:rsid w:val="00281B62"/>
    <w:rsid w:val="00290C2B"/>
    <w:rsid w:val="002927C9"/>
    <w:rsid w:val="0029712D"/>
    <w:rsid w:val="002A1EB1"/>
    <w:rsid w:val="002C6CFD"/>
    <w:rsid w:val="002C7E65"/>
    <w:rsid w:val="002D7149"/>
    <w:rsid w:val="002E0AC7"/>
    <w:rsid w:val="00301C6E"/>
    <w:rsid w:val="00301F37"/>
    <w:rsid w:val="003022FC"/>
    <w:rsid w:val="00303045"/>
    <w:rsid w:val="00311B28"/>
    <w:rsid w:val="00311BE1"/>
    <w:rsid w:val="00346613"/>
    <w:rsid w:val="003515A4"/>
    <w:rsid w:val="0036426C"/>
    <w:rsid w:val="00372ECF"/>
    <w:rsid w:val="00395BF2"/>
    <w:rsid w:val="003B0B2D"/>
    <w:rsid w:val="003C575F"/>
    <w:rsid w:val="003D135A"/>
    <w:rsid w:val="003D2F2A"/>
    <w:rsid w:val="003D49B0"/>
    <w:rsid w:val="003E09EA"/>
    <w:rsid w:val="003E1FE8"/>
    <w:rsid w:val="003E3653"/>
    <w:rsid w:val="003E7B07"/>
    <w:rsid w:val="003F5250"/>
    <w:rsid w:val="00402402"/>
    <w:rsid w:val="00402A7B"/>
    <w:rsid w:val="004036DD"/>
    <w:rsid w:val="004050E6"/>
    <w:rsid w:val="00407488"/>
    <w:rsid w:val="0040770A"/>
    <w:rsid w:val="00410524"/>
    <w:rsid w:val="00414BD0"/>
    <w:rsid w:val="00425509"/>
    <w:rsid w:val="00433DFB"/>
    <w:rsid w:val="004341B0"/>
    <w:rsid w:val="00444AAE"/>
    <w:rsid w:val="00451A99"/>
    <w:rsid w:val="00465EB6"/>
    <w:rsid w:val="0047050F"/>
    <w:rsid w:val="00473DD1"/>
    <w:rsid w:val="00475487"/>
    <w:rsid w:val="004821F8"/>
    <w:rsid w:val="004D182A"/>
    <w:rsid w:val="004E26A5"/>
    <w:rsid w:val="004F085F"/>
    <w:rsid w:val="004F39BE"/>
    <w:rsid w:val="005108F7"/>
    <w:rsid w:val="00514927"/>
    <w:rsid w:val="00532B54"/>
    <w:rsid w:val="00545BA4"/>
    <w:rsid w:val="00551DD5"/>
    <w:rsid w:val="005645D6"/>
    <w:rsid w:val="00567405"/>
    <w:rsid w:val="00570BF2"/>
    <w:rsid w:val="00591C20"/>
    <w:rsid w:val="0059310F"/>
    <w:rsid w:val="005944B4"/>
    <w:rsid w:val="005A06E7"/>
    <w:rsid w:val="005A40B7"/>
    <w:rsid w:val="005E081D"/>
    <w:rsid w:val="005E382F"/>
    <w:rsid w:val="005E660A"/>
    <w:rsid w:val="005E744C"/>
    <w:rsid w:val="005F13BB"/>
    <w:rsid w:val="005F3AEF"/>
    <w:rsid w:val="005F6B6F"/>
    <w:rsid w:val="0060340E"/>
    <w:rsid w:val="006267FB"/>
    <w:rsid w:val="006276AA"/>
    <w:rsid w:val="0065165F"/>
    <w:rsid w:val="00653613"/>
    <w:rsid w:val="00662D00"/>
    <w:rsid w:val="00682401"/>
    <w:rsid w:val="00682C10"/>
    <w:rsid w:val="00685A6D"/>
    <w:rsid w:val="006977A5"/>
    <w:rsid w:val="006A2A19"/>
    <w:rsid w:val="006A757E"/>
    <w:rsid w:val="006B5228"/>
    <w:rsid w:val="006B6C50"/>
    <w:rsid w:val="006C0652"/>
    <w:rsid w:val="006D485E"/>
    <w:rsid w:val="00702894"/>
    <w:rsid w:val="00702E91"/>
    <w:rsid w:val="00704447"/>
    <w:rsid w:val="00707308"/>
    <w:rsid w:val="00725EB9"/>
    <w:rsid w:val="0073448D"/>
    <w:rsid w:val="00736DA4"/>
    <w:rsid w:val="00737DBA"/>
    <w:rsid w:val="007420E4"/>
    <w:rsid w:val="00742FB8"/>
    <w:rsid w:val="00783934"/>
    <w:rsid w:val="007873A9"/>
    <w:rsid w:val="00797733"/>
    <w:rsid w:val="007A49B6"/>
    <w:rsid w:val="007A7ECE"/>
    <w:rsid w:val="007B2DA8"/>
    <w:rsid w:val="007D35DA"/>
    <w:rsid w:val="007F3198"/>
    <w:rsid w:val="007F3DEF"/>
    <w:rsid w:val="008064C5"/>
    <w:rsid w:val="00815F70"/>
    <w:rsid w:val="00831DBF"/>
    <w:rsid w:val="008477EB"/>
    <w:rsid w:val="008822FE"/>
    <w:rsid w:val="0089605B"/>
    <w:rsid w:val="008A5A3C"/>
    <w:rsid w:val="008C47C9"/>
    <w:rsid w:val="008D5418"/>
    <w:rsid w:val="008F1B07"/>
    <w:rsid w:val="008F1FA5"/>
    <w:rsid w:val="00907ADB"/>
    <w:rsid w:val="00930F0C"/>
    <w:rsid w:val="0094115E"/>
    <w:rsid w:val="00960BED"/>
    <w:rsid w:val="00964705"/>
    <w:rsid w:val="00965E51"/>
    <w:rsid w:val="0097639C"/>
    <w:rsid w:val="00976D70"/>
    <w:rsid w:val="009776EA"/>
    <w:rsid w:val="00977F9C"/>
    <w:rsid w:val="009855CB"/>
    <w:rsid w:val="009A760A"/>
    <w:rsid w:val="009A77D0"/>
    <w:rsid w:val="009C4C45"/>
    <w:rsid w:val="009D032C"/>
    <w:rsid w:val="009D061D"/>
    <w:rsid w:val="009D12CB"/>
    <w:rsid w:val="009D29D8"/>
    <w:rsid w:val="009F4933"/>
    <w:rsid w:val="00A03D40"/>
    <w:rsid w:val="00A04029"/>
    <w:rsid w:val="00A1080F"/>
    <w:rsid w:val="00A26CDF"/>
    <w:rsid w:val="00A312D0"/>
    <w:rsid w:val="00A413CC"/>
    <w:rsid w:val="00A42354"/>
    <w:rsid w:val="00A44291"/>
    <w:rsid w:val="00A50A31"/>
    <w:rsid w:val="00A5356B"/>
    <w:rsid w:val="00A55155"/>
    <w:rsid w:val="00A55D20"/>
    <w:rsid w:val="00A6009F"/>
    <w:rsid w:val="00A62509"/>
    <w:rsid w:val="00A66B05"/>
    <w:rsid w:val="00A67DA9"/>
    <w:rsid w:val="00A72DA1"/>
    <w:rsid w:val="00A73C02"/>
    <w:rsid w:val="00A76DC3"/>
    <w:rsid w:val="00A81040"/>
    <w:rsid w:val="00A92C61"/>
    <w:rsid w:val="00A97617"/>
    <w:rsid w:val="00AA451D"/>
    <w:rsid w:val="00AB0511"/>
    <w:rsid w:val="00AB32F7"/>
    <w:rsid w:val="00AB4027"/>
    <w:rsid w:val="00AC0643"/>
    <w:rsid w:val="00AC175C"/>
    <w:rsid w:val="00AD08EB"/>
    <w:rsid w:val="00AD384E"/>
    <w:rsid w:val="00AF5E7A"/>
    <w:rsid w:val="00AF6459"/>
    <w:rsid w:val="00B032A1"/>
    <w:rsid w:val="00B113DD"/>
    <w:rsid w:val="00B11D52"/>
    <w:rsid w:val="00B124D6"/>
    <w:rsid w:val="00B17375"/>
    <w:rsid w:val="00B2115D"/>
    <w:rsid w:val="00B37315"/>
    <w:rsid w:val="00B41BFA"/>
    <w:rsid w:val="00B5168B"/>
    <w:rsid w:val="00B52038"/>
    <w:rsid w:val="00B524E9"/>
    <w:rsid w:val="00B56F47"/>
    <w:rsid w:val="00B6554B"/>
    <w:rsid w:val="00B65725"/>
    <w:rsid w:val="00B65E50"/>
    <w:rsid w:val="00B811E1"/>
    <w:rsid w:val="00B8392D"/>
    <w:rsid w:val="00B84719"/>
    <w:rsid w:val="00BA1B26"/>
    <w:rsid w:val="00BB001B"/>
    <w:rsid w:val="00BB2A3B"/>
    <w:rsid w:val="00BD18C0"/>
    <w:rsid w:val="00BD3295"/>
    <w:rsid w:val="00BE18B8"/>
    <w:rsid w:val="00BE5F38"/>
    <w:rsid w:val="00BF4AF1"/>
    <w:rsid w:val="00C02448"/>
    <w:rsid w:val="00C23B9E"/>
    <w:rsid w:val="00C40486"/>
    <w:rsid w:val="00C41CB3"/>
    <w:rsid w:val="00C4240E"/>
    <w:rsid w:val="00C51462"/>
    <w:rsid w:val="00C64A88"/>
    <w:rsid w:val="00C6651E"/>
    <w:rsid w:val="00C71ED4"/>
    <w:rsid w:val="00C736CF"/>
    <w:rsid w:val="00C82321"/>
    <w:rsid w:val="00C852E0"/>
    <w:rsid w:val="00C9574F"/>
    <w:rsid w:val="00CA49EF"/>
    <w:rsid w:val="00CC43ED"/>
    <w:rsid w:val="00CC4B82"/>
    <w:rsid w:val="00CD1504"/>
    <w:rsid w:val="00CD4B28"/>
    <w:rsid w:val="00CE3094"/>
    <w:rsid w:val="00CF39F2"/>
    <w:rsid w:val="00CF4D63"/>
    <w:rsid w:val="00CF66E9"/>
    <w:rsid w:val="00D1090E"/>
    <w:rsid w:val="00D118DC"/>
    <w:rsid w:val="00D22D3E"/>
    <w:rsid w:val="00D23EE7"/>
    <w:rsid w:val="00D254D7"/>
    <w:rsid w:val="00D2611A"/>
    <w:rsid w:val="00D303F4"/>
    <w:rsid w:val="00D31815"/>
    <w:rsid w:val="00D477E5"/>
    <w:rsid w:val="00D75698"/>
    <w:rsid w:val="00D96218"/>
    <w:rsid w:val="00D971CF"/>
    <w:rsid w:val="00DA3CE6"/>
    <w:rsid w:val="00DB04D3"/>
    <w:rsid w:val="00DC38AD"/>
    <w:rsid w:val="00DE6A43"/>
    <w:rsid w:val="00DF3D2E"/>
    <w:rsid w:val="00E03907"/>
    <w:rsid w:val="00E04505"/>
    <w:rsid w:val="00E10276"/>
    <w:rsid w:val="00E17ADC"/>
    <w:rsid w:val="00E17B67"/>
    <w:rsid w:val="00E33AEF"/>
    <w:rsid w:val="00E34A21"/>
    <w:rsid w:val="00E537D1"/>
    <w:rsid w:val="00E54286"/>
    <w:rsid w:val="00E72C04"/>
    <w:rsid w:val="00E732BD"/>
    <w:rsid w:val="00E96FE1"/>
    <w:rsid w:val="00E97834"/>
    <w:rsid w:val="00EA419F"/>
    <w:rsid w:val="00EB4AB3"/>
    <w:rsid w:val="00EC5E6D"/>
    <w:rsid w:val="00EC771B"/>
    <w:rsid w:val="00EE0B46"/>
    <w:rsid w:val="00EE1197"/>
    <w:rsid w:val="00EF46EB"/>
    <w:rsid w:val="00F03C99"/>
    <w:rsid w:val="00F047AC"/>
    <w:rsid w:val="00F13F04"/>
    <w:rsid w:val="00F21D1F"/>
    <w:rsid w:val="00F4676F"/>
    <w:rsid w:val="00F53BF4"/>
    <w:rsid w:val="00F91671"/>
    <w:rsid w:val="00FA3E19"/>
    <w:rsid w:val="00FA61AC"/>
    <w:rsid w:val="00FC10D7"/>
    <w:rsid w:val="00FD3CDC"/>
    <w:rsid w:val="00FD5822"/>
    <w:rsid w:val="00FE1F9F"/>
    <w:rsid w:val="00FE4667"/>
    <w:rsid w:val="00FF3D2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ECE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977A5"/>
    <w:pPr>
      <w:widowControl/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2402"/>
    <w:pPr>
      <w:tabs>
        <w:tab w:val="center" w:pos="4320"/>
        <w:tab w:val="right" w:pos="8640"/>
      </w:tabs>
    </w:pPr>
  </w:style>
  <w:style w:type="paragraph" w:customStyle="1" w:styleId="text">
    <w:name w:val="text"/>
    <w:basedOn w:val="BodyText"/>
    <w:autoRedefine/>
    <w:rsid w:val="00064FD9"/>
    <w:pPr>
      <w:tabs>
        <w:tab w:val="left" w:pos="3420"/>
        <w:tab w:val="left" w:pos="6930"/>
      </w:tabs>
      <w:suppressAutoHyphens/>
      <w:snapToGrid/>
      <w:jc w:val="both"/>
    </w:pPr>
    <w:rPr>
      <w:rFonts w:eastAsia="Times"/>
      <w:iCs/>
      <w:sz w:val="22"/>
      <w:szCs w:val="32"/>
    </w:rPr>
  </w:style>
  <w:style w:type="paragraph" w:styleId="BodyText">
    <w:name w:val="Body Text"/>
    <w:basedOn w:val="Normal"/>
    <w:rsid w:val="00064FD9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6977A5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77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124D6"/>
    <w:pPr>
      <w:widowControl/>
      <w:snapToGrid/>
      <w:jc w:val="center"/>
    </w:pPr>
    <w:rPr>
      <w:b/>
      <w:color w:val="000000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B124D6"/>
    <w:rPr>
      <w:b/>
      <w:color w:val="000000"/>
      <w:sz w:val="3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B2D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x\AppData\Local\Microsoft\Windows\Temporary%20Internet%20Files\Content.Outlook\3GZ9PM5B\CSO%20Data%200129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x\Downloads\districts%20(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x\AppData\Local\Microsoft\Windows\Temporary%20Internet%20Files\Content.Outlook\3GZ9PM5B\CSO%20Data%200129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t\Desktop\Boston-Chelse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t\Desktop\Boston-Chelse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t\Desktop\Boston-Chelse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x\Downloads\districts%20(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t\Desktop\Boston-Chelse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t\Desktop\Boston-Chelse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t\Desktop\Boston-Chelse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[CSO Data 012913.xlsx]Pivot!PivotTable9</c:name>
    <c:fmtId val="-1"/>
  </c:pivotSource>
  <c:chart>
    <c:autoTitleDeleted val="1"/>
    <c:pivotFmts>
      <c:pivotFmt>
        <c:idx val="0"/>
        <c:spPr>
          <a:ln w="19050"/>
        </c:spPr>
        <c:marker>
          <c:symbol val="none"/>
        </c:marker>
      </c:pivotFmt>
      <c:pivotFmt>
        <c:idx val="1"/>
        <c:spPr>
          <a:ln w="19050"/>
        </c:spPr>
        <c:marker>
          <c:symbol val="none"/>
        </c:marker>
      </c:pivotFmt>
      <c:pivotFmt>
        <c:idx val="2"/>
        <c:marker>
          <c:symbol val="none"/>
        </c:marker>
        <c:dLbl>
          <c:idx val="0"/>
          <c:delete val="1"/>
        </c:dLbl>
      </c:pivotFmt>
      <c:pivotFmt>
        <c:idx val="3"/>
        <c:marker>
          <c:symbol val="none"/>
        </c:marker>
        <c:dLbl>
          <c:idx val="0"/>
          <c:delete val="1"/>
        </c:dLbl>
      </c:pivotFmt>
      <c:pivotFmt>
        <c:idx val="4"/>
        <c:marker>
          <c:symbol val="none"/>
        </c:marker>
        <c:dLbl>
          <c:idx val="0"/>
          <c:delete val="1"/>
        </c:dLbl>
      </c:pivotFmt>
      <c:pivotFmt>
        <c:idx val="5"/>
        <c:spPr>
          <a:ln>
            <a:prstDash val="sysDash"/>
          </a:ln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8"/>
        <c:spPr>
          <a:ln>
            <a:prstDash val="sysDash"/>
          </a:ln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Pivot!$B$3:$B$4</c:f>
              <c:strCache>
                <c:ptCount val="1"/>
                <c:pt idx="0">
                  <c:v>ELA History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Pivot!$A$5:$A$15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Pivot!$B$5:$B$15</c:f>
              <c:numCache>
                <c:formatCode>0.0</c:formatCode>
                <c:ptCount val="11"/>
                <c:pt idx="0">
                  <c:v>84.2</c:v>
                </c:pt>
                <c:pt idx="1">
                  <c:v>89.8</c:v>
                </c:pt>
                <c:pt idx="2">
                  <c:v>91.8</c:v>
                </c:pt>
                <c:pt idx="3">
                  <c:v>91.7</c:v>
                </c:pt>
                <c:pt idx="4">
                  <c:v>94.2</c:v>
                </c:pt>
                <c:pt idx="5">
                  <c:v>97.2</c:v>
                </c:pt>
                <c:pt idx="6">
                  <c:v>97.3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Pivot!$C$3:$C$4</c:f>
              <c:strCache>
                <c:ptCount val="1"/>
                <c:pt idx="0">
                  <c:v>ELA Gap-Narrowing Targets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Pivot!$A$5:$A$15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Pivot!$C$5:$C$15</c:f>
              <c:numCache>
                <c:formatCode>General</c:formatCode>
                <c:ptCount val="11"/>
                <c:pt idx="6" formatCode="0.0">
                  <c:v>97.4</c:v>
                </c:pt>
                <c:pt idx="7" formatCode="0.0">
                  <c:v>97.7</c:v>
                </c:pt>
                <c:pt idx="8" formatCode="0.0">
                  <c:v>97.9</c:v>
                </c:pt>
                <c:pt idx="9" formatCode="0.0">
                  <c:v>98.1</c:v>
                </c:pt>
                <c:pt idx="10" formatCode="0.0">
                  <c:v>98.4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116319232"/>
        <c:axId val="103471872"/>
      </c:lineChart>
      <c:catAx>
        <c:axId val="116319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1260000" vert="horz"/>
          <a:lstStyle/>
          <a:p>
            <a:pPr>
              <a:defRPr sz="800"/>
            </a:pPr>
            <a:endParaRPr lang="en-US"/>
          </a:p>
        </c:txPr>
        <c:crossAx val="103471872"/>
        <c:crosses val="autoZero"/>
        <c:auto val="1"/>
        <c:lblAlgn val="ctr"/>
        <c:lblOffset val="100"/>
        <c:noMultiLvlLbl val="0"/>
      </c:catAx>
      <c:valAx>
        <c:axId val="103471872"/>
        <c:scaling>
          <c:orientation val="minMax"/>
          <c:max val="100"/>
          <c:min val="3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CPI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16319232"/>
        <c:crossesAt val="1"/>
        <c:crossBetween val="between"/>
        <c:majorUnit val="1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First Language Not English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Context!$E$46:$E$48</c:f>
              <c:strCache>
                <c:ptCount val="1"/>
                <c:pt idx="0">
                  <c:v>State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circle"/>
            <c:size val="5"/>
            <c:spPr>
              <a:solidFill>
                <a:schemeClr val="accent1"/>
              </a:solidFill>
              <a:ln>
                <a:solidFill>
                  <a:srgbClr val="4F81BD"/>
                </a:solidFill>
              </a:ln>
            </c:spPr>
          </c:marker>
          <c:cat>
            <c:numRef>
              <c:f>Context!$H$17:$K$17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Context!$H$23:$K$23</c:f>
              <c:numCache>
                <c:formatCode>0%</c:formatCode>
                <c:ptCount val="4"/>
                <c:pt idx="0">
                  <c:v>0.15350971415461306</c:v>
                </c:pt>
                <c:pt idx="1">
                  <c:v>0.1560153930869039</c:v>
                </c:pt>
                <c:pt idx="2">
                  <c:v>0.16304628789519957</c:v>
                </c:pt>
                <c:pt idx="3">
                  <c:v>0.16716297676975017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Context!$E$40:$E$42</c:f>
              <c:strCache>
                <c:ptCount val="1"/>
                <c:pt idx="0">
                  <c:v>Edward Brooke Charter</c:v>
                </c:pt>
              </c:strCache>
            </c:strRef>
          </c:tx>
          <c:marker>
            <c:symbol val="square"/>
            <c:size val="5"/>
          </c:marker>
          <c:cat>
            <c:numRef>
              <c:f>Context!$H$17:$K$17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Context!$H$19:$K$19</c:f>
              <c:numCache>
                <c:formatCode>0%</c:formatCode>
                <c:ptCount val="4"/>
                <c:pt idx="0">
                  <c:v>0.11809045226130667</c:v>
                </c:pt>
                <c:pt idx="1">
                  <c:v>0.11590909090909091</c:v>
                </c:pt>
                <c:pt idx="2">
                  <c:v>0.12000000000000002</c:v>
                </c:pt>
                <c:pt idx="3">
                  <c:v>0.12765957446808468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Context!$E$43:$E$45</c:f>
              <c:strCache>
                <c:ptCount val="1"/>
                <c:pt idx="0">
                  <c:v>Chelsea</c:v>
                </c:pt>
              </c:strCache>
            </c:strRef>
          </c:tx>
          <c:marker>
            <c:symbol val="triangle"/>
            <c:size val="5"/>
          </c:marker>
          <c:cat>
            <c:numRef>
              <c:f>Context!$H$17:$K$17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Context!$H$21:$K$21</c:f>
              <c:numCache>
                <c:formatCode>0%</c:formatCode>
                <c:ptCount val="4"/>
                <c:pt idx="0">
                  <c:v>0.83523741520885464</c:v>
                </c:pt>
                <c:pt idx="1">
                  <c:v>0.84409365023058081</c:v>
                </c:pt>
                <c:pt idx="2">
                  <c:v>0.83967684021544065</c:v>
                </c:pt>
                <c:pt idx="3">
                  <c:v>0.81904427266339053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736064"/>
        <c:axId val="116381312"/>
      </c:lineChart>
      <c:catAx>
        <c:axId val="11573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6381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6381312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5736064"/>
        <c:crosses val="autoZero"/>
        <c:crossBetween val="between"/>
        <c:majorUnit val="0.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[CSO Data 012913.xlsx]Pivot!PivotTable10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spPr>
          <a:ln>
            <a:prstDash val="sysDash"/>
          </a:ln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spPr>
          <a:ln>
            <a:prstDash val="sysDash"/>
          </a:ln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Pivot!$B$21:$B$22</c:f>
              <c:strCache>
                <c:ptCount val="1"/>
                <c:pt idx="0">
                  <c:v>Math History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Pivot!$A$23:$A$33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Pivot!$B$23:$B$33</c:f>
              <c:numCache>
                <c:formatCode>0.0</c:formatCode>
                <c:ptCount val="11"/>
                <c:pt idx="0">
                  <c:v>73.3</c:v>
                </c:pt>
                <c:pt idx="1">
                  <c:v>81</c:v>
                </c:pt>
                <c:pt idx="2">
                  <c:v>87.1</c:v>
                </c:pt>
                <c:pt idx="3">
                  <c:v>90.6</c:v>
                </c:pt>
                <c:pt idx="4">
                  <c:v>92</c:v>
                </c:pt>
                <c:pt idx="5">
                  <c:v>97.6</c:v>
                </c:pt>
                <c:pt idx="6">
                  <c:v>97.8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Pivot!$C$21:$C$22</c:f>
              <c:strCache>
                <c:ptCount val="1"/>
                <c:pt idx="0">
                  <c:v>Math Gap-Narrowing Targets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Pivot!$A$23:$A$33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Pivot!$C$23:$C$33</c:f>
              <c:numCache>
                <c:formatCode>General</c:formatCode>
                <c:ptCount val="11"/>
                <c:pt idx="6" formatCode="0.0">
                  <c:v>97.8</c:v>
                </c:pt>
                <c:pt idx="7" formatCode="0.0">
                  <c:v>98</c:v>
                </c:pt>
                <c:pt idx="8" formatCode="0.0">
                  <c:v>98.2</c:v>
                </c:pt>
                <c:pt idx="9" formatCode="0.0">
                  <c:v>98.4</c:v>
                </c:pt>
                <c:pt idx="10" formatCode="0.0">
                  <c:v>98.6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18720"/>
        <c:axId val="103471296"/>
      </c:lineChart>
      <c:catAx>
        <c:axId val="116318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1260000"/>
          <a:lstStyle/>
          <a:p>
            <a:pPr>
              <a:defRPr sz="800"/>
            </a:pPr>
            <a:endParaRPr lang="en-US"/>
          </a:p>
        </c:txPr>
        <c:crossAx val="103471296"/>
        <c:crosses val="autoZero"/>
        <c:auto val="1"/>
        <c:lblAlgn val="ctr"/>
        <c:lblOffset val="100"/>
        <c:noMultiLvlLbl val="0"/>
      </c:catAx>
      <c:valAx>
        <c:axId val="103471296"/>
        <c:scaling>
          <c:orientation val="minMax"/>
          <c:max val="100"/>
          <c:min val="3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/>
                  <a:t>CPI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16318720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English</a:t>
            </a:r>
            <a:r>
              <a:rPr lang="en-US" sz="1050" baseline="0"/>
              <a:t> Language Learner</a:t>
            </a:r>
            <a:endParaRPr lang="en-US" sz="105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boston!$C$3</c:f>
              <c:strCache>
                <c:ptCount val="1"/>
                <c:pt idx="0">
                  <c:v>State</c:v>
                </c:pt>
              </c:strCache>
            </c:strRef>
          </c:tx>
          <c:marker>
            <c:symbol val="circle"/>
            <c:size val="5"/>
          </c:marker>
          <c:cat>
            <c:numRef>
              <c:f>boston!$B$4:$B$7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boston!$C$4:$C$7</c:f>
              <c:numCache>
                <c:formatCode>0.0%</c:formatCode>
                <c:ptCount val="4"/>
                <c:pt idx="0">
                  <c:v>5.9000000000000101E-2</c:v>
                </c:pt>
                <c:pt idx="1">
                  <c:v>6.2000000000000034E-2</c:v>
                </c:pt>
                <c:pt idx="2">
                  <c:v>7.0999999999999994E-2</c:v>
                </c:pt>
                <c:pt idx="3">
                  <c:v>7.3000000000000009E-2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boston!$D$3</c:f>
              <c:strCache>
                <c:ptCount val="1"/>
                <c:pt idx="0">
                  <c:v>Edward W. Brooke</c:v>
                </c:pt>
              </c:strCache>
            </c:strRef>
          </c:tx>
          <c:marker>
            <c:symbol val="square"/>
            <c:size val="5"/>
          </c:marker>
          <c:cat>
            <c:numRef>
              <c:f>boston!$B$4:$B$7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boston!$D$4:$D$7</c:f>
              <c:numCache>
                <c:formatCode>0%</c:formatCode>
                <c:ptCount val="4"/>
                <c:pt idx="0">
                  <c:v>1.0000000000000005E-2</c:v>
                </c:pt>
                <c:pt idx="1">
                  <c:v>1.0000000000000005E-2</c:v>
                </c:pt>
                <c:pt idx="2" formatCode="0.0%">
                  <c:v>2.0000000000000044E-3</c:v>
                </c:pt>
                <c:pt idx="3" formatCode="0.0%">
                  <c:v>2.0000000000000044E-3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boston!$E$3</c:f>
              <c:strCache>
                <c:ptCount val="1"/>
                <c:pt idx="0">
                  <c:v>Boston</c:v>
                </c:pt>
              </c:strCache>
            </c:strRef>
          </c:tx>
          <c:marker>
            <c:symbol val="triangle"/>
            <c:size val="5"/>
          </c:marker>
          <c:cat>
            <c:numRef>
              <c:f>boston!$B$4:$B$7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boston!$E$4:$E$7</c:f>
              <c:numCache>
                <c:formatCode>0.0%</c:formatCode>
                <c:ptCount val="4"/>
                <c:pt idx="0">
                  <c:v>0.18900000000000031</c:v>
                </c:pt>
                <c:pt idx="1">
                  <c:v>0.20400000000000001</c:v>
                </c:pt>
                <c:pt idx="2" formatCode="0%">
                  <c:v>0.28000000000000008</c:v>
                </c:pt>
                <c:pt idx="3">
                  <c:v>0.30600000000000038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734528"/>
        <c:axId val="41756352"/>
      </c:lineChart>
      <c:catAx>
        <c:axId val="1157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756352"/>
        <c:crosses val="autoZero"/>
        <c:auto val="1"/>
        <c:lblAlgn val="ctr"/>
        <c:lblOffset val="100"/>
        <c:noMultiLvlLbl val="0"/>
      </c:catAx>
      <c:valAx>
        <c:axId val="41756352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15734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Low Income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boston!$C$12</c:f>
              <c:strCache>
                <c:ptCount val="1"/>
                <c:pt idx="0">
                  <c:v>State</c:v>
                </c:pt>
              </c:strCache>
            </c:strRef>
          </c:tx>
          <c:marker>
            <c:symbol val="circle"/>
            <c:size val="5"/>
          </c:marker>
          <c:cat>
            <c:numRef>
              <c:f>boston!$B$13:$B$16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boston!$C$13:$C$16</c:f>
              <c:numCache>
                <c:formatCode>0.0%</c:formatCode>
                <c:ptCount val="4"/>
                <c:pt idx="0">
                  <c:v>0.30700000000000038</c:v>
                </c:pt>
                <c:pt idx="1">
                  <c:v>0.32900000000000074</c:v>
                </c:pt>
                <c:pt idx="2">
                  <c:v>0.34200000000000008</c:v>
                </c:pt>
                <c:pt idx="3">
                  <c:v>0.35200000000000031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boston!$D$12</c:f>
              <c:strCache>
                <c:ptCount val="1"/>
                <c:pt idx="0">
                  <c:v>Edward W. Brooke</c:v>
                </c:pt>
              </c:strCache>
            </c:strRef>
          </c:tx>
          <c:marker>
            <c:symbol val="square"/>
            <c:size val="5"/>
          </c:marker>
          <c:cat>
            <c:numRef>
              <c:f>boston!$B$13:$B$16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boston!$D$13:$D$16</c:f>
              <c:numCache>
                <c:formatCode>0%</c:formatCode>
                <c:ptCount val="4"/>
                <c:pt idx="0">
                  <c:v>0.71000000000000063</c:v>
                </c:pt>
                <c:pt idx="1">
                  <c:v>0.72000000000000064</c:v>
                </c:pt>
                <c:pt idx="2">
                  <c:v>0.78</c:v>
                </c:pt>
                <c:pt idx="3">
                  <c:v>0.82000000000000062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boston!$E$12</c:f>
              <c:strCache>
                <c:ptCount val="1"/>
                <c:pt idx="0">
                  <c:v>Boston</c:v>
                </c:pt>
              </c:strCache>
            </c:strRef>
          </c:tx>
          <c:marker>
            <c:symbol val="triangle"/>
            <c:size val="5"/>
          </c:marker>
          <c:cat>
            <c:numRef>
              <c:f>boston!$B$13:$B$16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boston!$E$13:$E$16</c:f>
              <c:numCache>
                <c:formatCode>0.0%</c:formatCode>
                <c:ptCount val="4"/>
                <c:pt idx="0">
                  <c:v>0.7430000000000011</c:v>
                </c:pt>
                <c:pt idx="1">
                  <c:v>0.75600000000000123</c:v>
                </c:pt>
                <c:pt idx="2">
                  <c:v>0.7440000000000011</c:v>
                </c:pt>
                <c:pt idx="3">
                  <c:v>0.69499999999999995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21792"/>
        <c:axId val="41758080"/>
      </c:lineChart>
      <c:catAx>
        <c:axId val="11632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758080"/>
        <c:crosses val="autoZero"/>
        <c:auto val="1"/>
        <c:lblAlgn val="ctr"/>
        <c:lblOffset val="100"/>
        <c:noMultiLvlLbl val="0"/>
      </c:catAx>
      <c:valAx>
        <c:axId val="41758080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16321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Special Education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boston!$C$21</c:f>
              <c:strCache>
                <c:ptCount val="1"/>
                <c:pt idx="0">
                  <c:v>State</c:v>
                </c:pt>
              </c:strCache>
            </c:strRef>
          </c:tx>
          <c:marker>
            <c:symbol val="circle"/>
            <c:size val="5"/>
          </c:marker>
          <c:cat>
            <c:numRef>
              <c:f>boston!$B$22:$B$25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boston!$C$22:$C$25</c:f>
              <c:numCache>
                <c:formatCode>0%</c:formatCode>
                <c:ptCount val="4"/>
                <c:pt idx="0" formatCode="0.0%">
                  <c:v>0.17100000000000001</c:v>
                </c:pt>
                <c:pt idx="1">
                  <c:v>0.17</c:v>
                </c:pt>
                <c:pt idx="2">
                  <c:v>0.17</c:v>
                </c:pt>
                <c:pt idx="3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boston!$D$21</c:f>
              <c:strCache>
                <c:ptCount val="1"/>
                <c:pt idx="0">
                  <c:v>Edward W. Brooke</c:v>
                </c:pt>
              </c:strCache>
            </c:strRef>
          </c:tx>
          <c:marker>
            <c:symbol val="square"/>
            <c:size val="5"/>
          </c:marker>
          <c:cat>
            <c:numRef>
              <c:f>boston!$B$22:$B$25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boston!$D$22:$D$25</c:f>
              <c:numCache>
                <c:formatCode>0%</c:formatCode>
                <c:ptCount val="4"/>
                <c:pt idx="0">
                  <c:v>0.1</c:v>
                </c:pt>
                <c:pt idx="1">
                  <c:v>8.0000000000000043E-2</c:v>
                </c:pt>
                <c:pt idx="2">
                  <c:v>7.0000000000000021E-2</c:v>
                </c:pt>
                <c:pt idx="3">
                  <c:v>7.0000000000000021E-2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boston!$E$21</c:f>
              <c:strCache>
                <c:ptCount val="1"/>
                <c:pt idx="0">
                  <c:v>Boston</c:v>
                </c:pt>
              </c:strCache>
            </c:strRef>
          </c:tx>
          <c:marker>
            <c:symbol val="triangle"/>
            <c:size val="5"/>
          </c:marker>
          <c:cat>
            <c:numRef>
              <c:f>boston!$B$22:$B$25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boston!$E$22:$E$25</c:f>
              <c:numCache>
                <c:formatCode>0.0%</c:formatCode>
                <c:ptCount val="4"/>
                <c:pt idx="0">
                  <c:v>0.20500000000000004</c:v>
                </c:pt>
                <c:pt idx="1">
                  <c:v>0.19600000000000001</c:v>
                </c:pt>
                <c:pt idx="2">
                  <c:v>0.19400000000000001</c:v>
                </c:pt>
                <c:pt idx="3">
                  <c:v>0.1870000000000003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167936"/>
        <c:axId val="41759808"/>
      </c:lineChart>
      <c:catAx>
        <c:axId val="12816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759808"/>
        <c:crosses val="autoZero"/>
        <c:auto val="1"/>
        <c:lblAlgn val="ctr"/>
        <c:lblOffset val="100"/>
        <c:noMultiLvlLbl val="0"/>
      </c:catAx>
      <c:valAx>
        <c:axId val="4175980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28167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First Language Not English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Context!$E$46:$E$48</c:f>
              <c:strCache>
                <c:ptCount val="1"/>
                <c:pt idx="0">
                  <c:v>State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circle"/>
            <c:size val="5"/>
            <c:spPr>
              <a:solidFill>
                <a:schemeClr val="accent1"/>
              </a:solidFill>
              <a:ln>
                <a:solidFill>
                  <a:srgbClr val="4F81BD"/>
                </a:solidFill>
              </a:ln>
            </c:spPr>
          </c:marker>
          <c:cat>
            <c:numRef>
              <c:f>Context!$H$17:$K$17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Context!$H$23:$K$23</c:f>
              <c:numCache>
                <c:formatCode>0%</c:formatCode>
                <c:ptCount val="4"/>
                <c:pt idx="0">
                  <c:v>0.15350971415461306</c:v>
                </c:pt>
                <c:pt idx="1">
                  <c:v>0.1560153930869039</c:v>
                </c:pt>
                <c:pt idx="2">
                  <c:v>0.16304628789519957</c:v>
                </c:pt>
                <c:pt idx="3">
                  <c:v>0.16716297676975017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Context!$E$40:$E$42</c:f>
              <c:strCache>
                <c:ptCount val="1"/>
                <c:pt idx="0">
                  <c:v>Edward Brooke Charter</c:v>
                </c:pt>
              </c:strCache>
            </c:strRef>
          </c:tx>
          <c:marker>
            <c:symbol val="square"/>
            <c:size val="5"/>
          </c:marker>
          <c:cat>
            <c:numRef>
              <c:f>Context!$H$17:$K$17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Context!$H$19:$K$19</c:f>
              <c:numCache>
                <c:formatCode>0%</c:formatCode>
                <c:ptCount val="4"/>
                <c:pt idx="0">
                  <c:v>0.11809045226130667</c:v>
                </c:pt>
                <c:pt idx="1">
                  <c:v>0.11590909090909091</c:v>
                </c:pt>
                <c:pt idx="2">
                  <c:v>0.12000000000000002</c:v>
                </c:pt>
                <c:pt idx="3">
                  <c:v>0.12765957446808468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Context!$E$43:$E$45</c:f>
              <c:strCache>
                <c:ptCount val="1"/>
                <c:pt idx="0">
                  <c:v>Boston</c:v>
                </c:pt>
              </c:strCache>
            </c:strRef>
          </c:tx>
          <c:marker>
            <c:symbol val="triangle"/>
            <c:size val="5"/>
          </c:marker>
          <c:cat>
            <c:numRef>
              <c:f>Context!$H$17:$K$17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Context!$H$21:$K$21</c:f>
              <c:numCache>
                <c:formatCode>0%</c:formatCode>
                <c:ptCount val="4"/>
                <c:pt idx="0">
                  <c:v>0.38093449922214601</c:v>
                </c:pt>
                <c:pt idx="1">
                  <c:v>0.38823571905871307</c:v>
                </c:pt>
                <c:pt idx="2">
                  <c:v>0.43414172778699789</c:v>
                </c:pt>
                <c:pt idx="3">
                  <c:v>0.44823450306213314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20256"/>
        <c:axId val="41761536"/>
      </c:lineChart>
      <c:catAx>
        <c:axId val="11632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17615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1761536"/>
        <c:scaling>
          <c:orientation val="minMax"/>
          <c:max val="0.5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6320256"/>
        <c:crosses val="autoZero"/>
        <c:crossBetween val="between"/>
        <c:majorUnit val="0.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Low Income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chelsea!$B$13</c:f>
              <c:strCache>
                <c:ptCount val="1"/>
                <c:pt idx="0">
                  <c:v>State</c:v>
                </c:pt>
              </c:strCache>
            </c:strRef>
          </c:tx>
          <c:marker>
            <c:symbol val="circle"/>
            <c:size val="5"/>
          </c:marker>
          <c:cat>
            <c:numRef>
              <c:f>chelsea!$A$14:$A$17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chelsea!$B$14:$B$17</c:f>
              <c:numCache>
                <c:formatCode>0.0%</c:formatCode>
                <c:ptCount val="4"/>
                <c:pt idx="0">
                  <c:v>0.30700000000000038</c:v>
                </c:pt>
                <c:pt idx="1">
                  <c:v>0.32900000000000074</c:v>
                </c:pt>
                <c:pt idx="2">
                  <c:v>0.34200000000000008</c:v>
                </c:pt>
                <c:pt idx="3">
                  <c:v>0.35200000000000031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chelsea!$C$13</c:f>
              <c:strCache>
                <c:ptCount val="1"/>
                <c:pt idx="0">
                  <c:v>Edward W. Brooke</c:v>
                </c:pt>
              </c:strCache>
            </c:strRef>
          </c:tx>
          <c:marker>
            <c:symbol val="square"/>
            <c:size val="5"/>
          </c:marker>
          <c:cat>
            <c:numRef>
              <c:f>chelsea!$A$14:$A$17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chelsea!$C$14:$C$17</c:f>
              <c:numCache>
                <c:formatCode>0%</c:formatCode>
                <c:ptCount val="4"/>
                <c:pt idx="0">
                  <c:v>0.71000000000000063</c:v>
                </c:pt>
                <c:pt idx="1">
                  <c:v>0.72000000000000064</c:v>
                </c:pt>
                <c:pt idx="2">
                  <c:v>0.78</c:v>
                </c:pt>
                <c:pt idx="3">
                  <c:v>0.82000000000000062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chelsea!$D$13</c:f>
              <c:strCache>
                <c:ptCount val="1"/>
                <c:pt idx="0">
                  <c:v>Chelsea</c:v>
                </c:pt>
              </c:strCache>
            </c:strRef>
          </c:tx>
          <c:marker>
            <c:symbol val="triangle"/>
            <c:size val="5"/>
          </c:marker>
          <c:cat>
            <c:numRef>
              <c:f>chelsea!$A$14:$A$17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chelsea!$D$14:$D$17</c:f>
              <c:numCache>
                <c:formatCode>0.0%</c:formatCode>
                <c:ptCount val="4"/>
                <c:pt idx="0">
                  <c:v>0.77800000000000136</c:v>
                </c:pt>
                <c:pt idx="1">
                  <c:v>0.90800000000000003</c:v>
                </c:pt>
                <c:pt idx="2">
                  <c:v>0.81799999999999995</c:v>
                </c:pt>
                <c:pt idx="3">
                  <c:v>0.78100000000000003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62784"/>
        <c:axId val="116376128"/>
      </c:lineChart>
      <c:catAx>
        <c:axId val="1294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376128"/>
        <c:crosses val="autoZero"/>
        <c:auto val="1"/>
        <c:lblAlgn val="ctr"/>
        <c:lblOffset val="100"/>
        <c:noMultiLvlLbl val="0"/>
      </c:catAx>
      <c:valAx>
        <c:axId val="11637612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29462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English</a:t>
            </a:r>
            <a:r>
              <a:rPr lang="en-US" sz="1050" baseline="0"/>
              <a:t> Language Learner</a:t>
            </a:r>
            <a:endParaRPr lang="en-US" sz="105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chelsea!$B$5</c:f>
              <c:strCache>
                <c:ptCount val="1"/>
                <c:pt idx="0">
                  <c:v>State</c:v>
                </c:pt>
              </c:strCache>
            </c:strRef>
          </c:tx>
          <c:marker>
            <c:symbol val="circle"/>
            <c:size val="5"/>
          </c:marker>
          <c:cat>
            <c:numRef>
              <c:f>chelsea!$A$6:$A$9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chelsea!$B$6:$B$9</c:f>
              <c:numCache>
                <c:formatCode>0.0%</c:formatCode>
                <c:ptCount val="4"/>
                <c:pt idx="0">
                  <c:v>5.9000000000000101E-2</c:v>
                </c:pt>
                <c:pt idx="1">
                  <c:v>6.2000000000000034E-2</c:v>
                </c:pt>
                <c:pt idx="2">
                  <c:v>7.0999999999999994E-2</c:v>
                </c:pt>
                <c:pt idx="3">
                  <c:v>7.3000000000000009E-2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chelsea!$C$5</c:f>
              <c:strCache>
                <c:ptCount val="1"/>
                <c:pt idx="0">
                  <c:v>Edward W. Brooke </c:v>
                </c:pt>
              </c:strCache>
            </c:strRef>
          </c:tx>
          <c:marker>
            <c:symbol val="square"/>
            <c:size val="5"/>
          </c:marker>
          <c:cat>
            <c:numRef>
              <c:f>chelsea!$A$6:$A$9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chelsea!$C$6:$C$9</c:f>
              <c:numCache>
                <c:formatCode>0%</c:formatCode>
                <c:ptCount val="4"/>
                <c:pt idx="0">
                  <c:v>1.0000000000000005E-2</c:v>
                </c:pt>
                <c:pt idx="1">
                  <c:v>1.0000000000000005E-2</c:v>
                </c:pt>
                <c:pt idx="2" formatCode="0.0%">
                  <c:v>2.0000000000000044E-3</c:v>
                </c:pt>
                <c:pt idx="3" formatCode="0.0%">
                  <c:v>2.0000000000000044E-3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chelsea!$D$5</c:f>
              <c:strCache>
                <c:ptCount val="1"/>
                <c:pt idx="0">
                  <c:v>Chelsea</c:v>
                </c:pt>
              </c:strCache>
            </c:strRef>
          </c:tx>
          <c:marker>
            <c:symbol val="triangle"/>
            <c:size val="5"/>
          </c:marker>
          <c:cat>
            <c:numRef>
              <c:f>chelsea!$A$6:$A$9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chelsea!$D$6:$D$9</c:f>
              <c:numCache>
                <c:formatCode>0.0%</c:formatCode>
                <c:ptCount val="4"/>
                <c:pt idx="0" formatCode="0%">
                  <c:v>0.17</c:v>
                </c:pt>
                <c:pt idx="1">
                  <c:v>0.16400000000000001</c:v>
                </c:pt>
                <c:pt idx="2">
                  <c:v>0.17800000000000021</c:v>
                </c:pt>
                <c:pt idx="3">
                  <c:v>0.18100000000000024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63296"/>
        <c:axId val="116377856"/>
      </c:lineChart>
      <c:catAx>
        <c:axId val="1294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377856"/>
        <c:crosses val="autoZero"/>
        <c:auto val="1"/>
        <c:lblAlgn val="ctr"/>
        <c:lblOffset val="100"/>
        <c:noMultiLvlLbl val="0"/>
      </c:catAx>
      <c:valAx>
        <c:axId val="11637785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29463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Speical Education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chelsea!$B$22</c:f>
              <c:strCache>
                <c:ptCount val="1"/>
                <c:pt idx="0">
                  <c:v>State</c:v>
                </c:pt>
              </c:strCache>
            </c:strRef>
          </c:tx>
          <c:marker>
            <c:symbol val="circle"/>
            <c:size val="5"/>
          </c:marker>
          <c:cat>
            <c:numRef>
              <c:f>chelsea!$A$23:$A$26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chelsea!$B$23:$B$26</c:f>
              <c:numCache>
                <c:formatCode>0%</c:formatCode>
                <c:ptCount val="4"/>
                <c:pt idx="0" formatCode="0.0%">
                  <c:v>0.17100000000000001</c:v>
                </c:pt>
                <c:pt idx="1">
                  <c:v>0.17</c:v>
                </c:pt>
                <c:pt idx="2">
                  <c:v>0.17</c:v>
                </c:pt>
                <c:pt idx="3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chelsea!$C$22</c:f>
              <c:strCache>
                <c:ptCount val="1"/>
                <c:pt idx="0">
                  <c:v>Edward W. Brooke</c:v>
                </c:pt>
              </c:strCache>
            </c:strRef>
          </c:tx>
          <c:marker>
            <c:symbol val="square"/>
            <c:size val="5"/>
          </c:marker>
          <c:cat>
            <c:numRef>
              <c:f>chelsea!$A$23:$A$26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chelsea!$C$23:$C$26</c:f>
              <c:numCache>
                <c:formatCode>0%</c:formatCode>
                <c:ptCount val="4"/>
                <c:pt idx="0">
                  <c:v>0.1</c:v>
                </c:pt>
                <c:pt idx="1">
                  <c:v>8.0000000000000043E-2</c:v>
                </c:pt>
                <c:pt idx="2">
                  <c:v>7.0000000000000021E-2</c:v>
                </c:pt>
                <c:pt idx="3">
                  <c:v>7.0000000000000021E-2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chelsea!$D$22</c:f>
              <c:strCache>
                <c:ptCount val="1"/>
                <c:pt idx="0">
                  <c:v>Chelsea</c:v>
                </c:pt>
              </c:strCache>
            </c:strRef>
          </c:tx>
          <c:marker>
            <c:symbol val="triangle"/>
            <c:size val="5"/>
          </c:marker>
          <c:cat>
            <c:numRef>
              <c:f>chelsea!$A$23:$A$26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chelsea!$D$23:$D$26</c:f>
              <c:numCache>
                <c:formatCode>0.0%</c:formatCode>
                <c:ptCount val="4"/>
                <c:pt idx="0">
                  <c:v>0.13900000000000001</c:v>
                </c:pt>
                <c:pt idx="1">
                  <c:v>0.13800000000000001</c:v>
                </c:pt>
                <c:pt idx="2">
                  <c:v>0.14200000000000004</c:v>
                </c:pt>
                <c:pt idx="3">
                  <c:v>0.12300000000000012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64832"/>
        <c:axId val="116379584"/>
      </c:lineChart>
      <c:catAx>
        <c:axId val="12946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379584"/>
        <c:crosses val="autoZero"/>
        <c:auto val="1"/>
        <c:lblAlgn val="ctr"/>
        <c:lblOffset val="100"/>
        <c:noMultiLvlLbl val="0"/>
      </c:catAx>
      <c:valAx>
        <c:axId val="116379584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29464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Edward W. Brooke amendment request, February 2013</vt:lpstr>
    </vt:vector>
  </TitlesOfParts>
  <Company>Mass. Dept. of ESE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Edward W. Brooke amendment request, February 2013</dc:title>
  <dc:creator>ESE</dc:creator>
  <cp:lastModifiedBy>ESE</cp:lastModifiedBy>
  <cp:revision>4</cp:revision>
  <cp:lastPrinted>2013-02-04T14:43:00Z</cp:lastPrinted>
  <dcterms:created xsi:type="dcterms:W3CDTF">2013-02-20T15:19:00Z</dcterms:created>
  <dcterms:modified xsi:type="dcterms:W3CDTF">2013-02-22T18:56:00Z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2013</vt:lpwstr>
  </property>
</Properties>
</file>