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44" w:rsidRDefault="00E11144">
      <w:pPr>
        <w:spacing w:line="192" w:lineRule="auto"/>
        <w:outlineLvl w:val="0"/>
        <w:rPr>
          <w:rFonts w:ascii="Arial" w:hAnsi="Arial"/>
          <w:b/>
          <w:i/>
          <w:sz w:val="40"/>
        </w:rPr>
      </w:pPr>
    </w:p>
    <w:p w:rsidR="00A20194" w:rsidRDefault="00E32EFF">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DB0B0C">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824E70">
          <w:footerReference w:type="even" r:id="rId10"/>
          <w:footerReference w:type="default" r:id="rId11"/>
          <w:footerReference w:type="first" r:id="rId12"/>
          <w:endnotePr>
            <w:numFmt w:val="decimal"/>
          </w:endnotePr>
          <w:pgSz w:w="12240" w:h="15840" w:code="1"/>
          <w:pgMar w:top="634" w:right="1080" w:bottom="1440" w:left="1800" w:header="72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rsidTr="00CE1FCB">
        <w:tc>
          <w:tcPr>
            <w:tcW w:w="2988" w:type="dxa"/>
          </w:tcPr>
          <w:p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rsidR="00C974A6" w:rsidRPr="00CE1FCB" w:rsidRDefault="00C974A6" w:rsidP="00CE1FCB">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rsidR="00A20194" w:rsidRDefault="00A20194">
      <w:pPr>
        <w:pStyle w:val="Heading1"/>
        <w:tabs>
          <w:tab w:val="clear" w:pos="4680"/>
        </w:tabs>
      </w:pPr>
      <w:r>
        <w:lastRenderedPageBreak/>
        <w:t>MEMORANDUM</w:t>
      </w:r>
    </w:p>
    <w:p w:rsidR="00A20194" w:rsidRDefault="00A20194"/>
    <w:p w:rsidR="003953C8" w:rsidRDefault="003953C8" w:rsidP="00506AD0">
      <w:pPr>
        <w:widowControl/>
        <w:rPr>
          <w:b/>
        </w:rPr>
      </w:pPr>
    </w:p>
    <w:tbl>
      <w:tblPr>
        <w:tblW w:w="0" w:type="auto"/>
        <w:tblLook w:val="01E0" w:firstRow="1" w:lastRow="1" w:firstColumn="1" w:lastColumn="1" w:noHBand="0" w:noVBand="0"/>
      </w:tblPr>
      <w:tblGrid>
        <w:gridCol w:w="1188"/>
        <w:gridCol w:w="8388"/>
      </w:tblGrid>
      <w:tr w:rsidR="003953C8" w:rsidRPr="00CE1FCB" w:rsidTr="00CE1FCB">
        <w:tc>
          <w:tcPr>
            <w:tcW w:w="1188" w:type="dxa"/>
          </w:tcPr>
          <w:p w:rsidR="003953C8" w:rsidRPr="00CE1FCB" w:rsidRDefault="003953C8" w:rsidP="005430E2">
            <w:pPr>
              <w:rPr>
                <w:b/>
              </w:rPr>
            </w:pPr>
            <w:r w:rsidRPr="00CE1FCB">
              <w:rPr>
                <w:b/>
              </w:rPr>
              <w:t>To:</w:t>
            </w:r>
          </w:p>
        </w:tc>
        <w:tc>
          <w:tcPr>
            <w:tcW w:w="8388" w:type="dxa"/>
          </w:tcPr>
          <w:p w:rsidR="003953C8" w:rsidRPr="00CE1FCB" w:rsidRDefault="00A03710" w:rsidP="005430E2">
            <w:pPr>
              <w:rPr>
                <w:b/>
              </w:rPr>
            </w:pPr>
            <w:r>
              <w:t>Members of the Board of Elementary and Secondary Education</w:t>
            </w:r>
          </w:p>
        </w:tc>
      </w:tr>
      <w:tr w:rsidR="003953C8" w:rsidRPr="00CE1FCB" w:rsidTr="00CE1FCB">
        <w:tc>
          <w:tcPr>
            <w:tcW w:w="1188" w:type="dxa"/>
          </w:tcPr>
          <w:p w:rsidR="003953C8" w:rsidRPr="00CE1FCB" w:rsidRDefault="003953C8" w:rsidP="005430E2">
            <w:pPr>
              <w:rPr>
                <w:b/>
              </w:rPr>
            </w:pPr>
            <w:r w:rsidRPr="00CE1FCB">
              <w:rPr>
                <w:b/>
              </w:rPr>
              <w:t>From:</w:t>
            </w:r>
            <w:r>
              <w:tab/>
            </w:r>
          </w:p>
        </w:tc>
        <w:tc>
          <w:tcPr>
            <w:tcW w:w="8388" w:type="dxa"/>
          </w:tcPr>
          <w:p w:rsidR="003953C8" w:rsidRPr="00CE1FCB" w:rsidRDefault="00A03710" w:rsidP="005430E2">
            <w:pPr>
              <w:rPr>
                <w:b/>
              </w:rPr>
            </w:pPr>
            <w:r>
              <w:t>Mitchell D. Chester, Ed.D., Commissioner</w:t>
            </w:r>
          </w:p>
        </w:tc>
      </w:tr>
      <w:tr w:rsidR="003953C8" w:rsidRPr="00CE1FCB" w:rsidTr="00CE1FCB">
        <w:tc>
          <w:tcPr>
            <w:tcW w:w="1188" w:type="dxa"/>
          </w:tcPr>
          <w:p w:rsidR="003953C8" w:rsidRPr="00CE1FCB" w:rsidRDefault="003953C8" w:rsidP="005430E2">
            <w:pPr>
              <w:rPr>
                <w:b/>
              </w:rPr>
            </w:pPr>
            <w:r w:rsidRPr="00CE1FCB">
              <w:rPr>
                <w:b/>
              </w:rPr>
              <w:t>Date:</w:t>
            </w:r>
            <w:r>
              <w:tab/>
            </w:r>
          </w:p>
        </w:tc>
        <w:tc>
          <w:tcPr>
            <w:tcW w:w="8388" w:type="dxa"/>
          </w:tcPr>
          <w:p w:rsidR="003953C8" w:rsidRPr="003B6870" w:rsidRDefault="00FB36A3" w:rsidP="00824E70">
            <w:r>
              <w:t xml:space="preserve">May </w:t>
            </w:r>
            <w:r w:rsidR="00824E70">
              <w:t>10</w:t>
            </w:r>
            <w:r>
              <w:t>, 2013</w:t>
            </w:r>
          </w:p>
        </w:tc>
      </w:tr>
      <w:tr w:rsidR="003953C8" w:rsidRPr="00CE1FCB" w:rsidTr="00CE1FCB">
        <w:tc>
          <w:tcPr>
            <w:tcW w:w="1188" w:type="dxa"/>
          </w:tcPr>
          <w:p w:rsidR="003953C8" w:rsidRPr="00CE1FCB" w:rsidRDefault="003953C8" w:rsidP="005430E2">
            <w:pPr>
              <w:rPr>
                <w:b/>
              </w:rPr>
            </w:pPr>
            <w:r w:rsidRPr="00CE1FCB">
              <w:rPr>
                <w:b/>
              </w:rPr>
              <w:t>Subject:</w:t>
            </w:r>
          </w:p>
        </w:tc>
        <w:tc>
          <w:tcPr>
            <w:tcW w:w="8388" w:type="dxa"/>
          </w:tcPr>
          <w:p w:rsidR="003953C8" w:rsidRPr="00CE1FCB" w:rsidRDefault="00D566D1" w:rsidP="00BF2FAF">
            <w:pPr>
              <w:rPr>
                <w:b/>
              </w:rPr>
            </w:pPr>
            <w:r>
              <w:t>Spirit of Knowledge Charter School -</w:t>
            </w:r>
            <w:r w:rsidR="00C30543">
              <w:t xml:space="preserve"> Recommendation for Probation</w:t>
            </w:r>
            <w:r w:rsidR="00551F34">
              <w:t xml:space="preserve"> </w:t>
            </w:r>
          </w:p>
        </w:tc>
      </w:tr>
    </w:tbl>
    <w:p w:rsidR="00A20194" w:rsidRDefault="00A20194">
      <w:pPr>
        <w:pBdr>
          <w:bottom w:val="single" w:sz="4" w:space="1" w:color="auto"/>
        </w:pBdr>
      </w:pPr>
      <w:bookmarkStart w:id="0" w:name="TO"/>
      <w:bookmarkStart w:id="1" w:name="FROM"/>
      <w:bookmarkStart w:id="2" w:name="DATE"/>
      <w:bookmarkStart w:id="3" w:name="RE"/>
      <w:bookmarkEnd w:id="0"/>
      <w:bookmarkEnd w:id="1"/>
      <w:bookmarkEnd w:id="2"/>
      <w:bookmarkEnd w:id="3"/>
    </w:p>
    <w:p w:rsidR="00A20194" w:rsidRDefault="00A20194">
      <w:pPr>
        <w:sectPr w:rsidR="00A20194" w:rsidSect="00E22EDD">
          <w:endnotePr>
            <w:numFmt w:val="decimal"/>
          </w:endnotePr>
          <w:type w:val="continuous"/>
          <w:pgSz w:w="12240" w:h="15840"/>
          <w:pgMar w:top="1440" w:right="1440" w:bottom="1440" w:left="1440" w:header="1440" w:footer="1440" w:gutter="0"/>
          <w:cols w:space="720"/>
          <w:noEndnote/>
          <w:titlePg/>
        </w:sectPr>
      </w:pPr>
    </w:p>
    <w:p w:rsidR="00C04DB8" w:rsidRDefault="00C04DB8" w:rsidP="00C04DB8">
      <w:pPr>
        <w:rPr>
          <w:szCs w:val="24"/>
        </w:rPr>
      </w:pPr>
    </w:p>
    <w:p w:rsidR="00D566D1" w:rsidRPr="00971004" w:rsidRDefault="00D566D1" w:rsidP="00D566D1">
      <w:pPr>
        <w:pStyle w:val="Default"/>
      </w:pPr>
      <w:r w:rsidRPr="00971004">
        <w:t>Pursuant to the Charter School Regulations at 603 CMR 1.13(4), I recommend that the Board of Elementary and Secondary Education (</w:t>
      </w:r>
      <w:bookmarkStart w:id="4" w:name="_GoBack"/>
      <w:bookmarkEnd w:id="4"/>
      <w:r w:rsidRPr="00971004">
        <w:t xml:space="preserve">Board) place the </w:t>
      </w:r>
      <w:r w:rsidR="00971004">
        <w:t xml:space="preserve">Spirit of Knowledge Charter School (SOKCS) on </w:t>
      </w:r>
      <w:r w:rsidRPr="00971004">
        <w:t xml:space="preserve">probation in order to allow for the implementation of a remedial plan. My recommendation is based upon my continuing concern about the viability of this school. </w:t>
      </w:r>
      <w:r w:rsidR="008449D1">
        <w:t xml:space="preserve">In nearly three years of operation, </w:t>
      </w:r>
      <w:r w:rsidR="00971004">
        <w:t xml:space="preserve">SOKCS has employed four executive directors, has not maintained a sound or stable financial condition, </w:t>
      </w:r>
      <w:r w:rsidR="006F0AD3">
        <w:t xml:space="preserve">has failed to maintain adequate membership on its </w:t>
      </w:r>
      <w:r w:rsidR="00971004">
        <w:t xml:space="preserve">board </w:t>
      </w:r>
      <w:r w:rsidR="006F0AD3">
        <w:t>of trustees</w:t>
      </w:r>
      <w:r w:rsidR="001D4D6A">
        <w:t>, has not provided</w:t>
      </w:r>
      <w:r w:rsidR="00971004">
        <w:t xml:space="preserve"> the academic model proposed in its charter, has not shown promising academic results, </w:t>
      </w:r>
      <w:r w:rsidRPr="00971004">
        <w:t xml:space="preserve">has a significantly decreased enrollment from what it projected in its application, and will face financial challenges as a result of </w:t>
      </w:r>
      <w:r w:rsidR="006F0AD3">
        <w:t>its</w:t>
      </w:r>
      <w:r w:rsidR="006F0AD3" w:rsidRPr="00971004">
        <w:t xml:space="preserve"> </w:t>
      </w:r>
      <w:r w:rsidRPr="00971004">
        <w:t xml:space="preserve">drop in enrollment. It is clear to me that the school’s board of trustees has </w:t>
      </w:r>
      <w:r w:rsidR="006F0AD3">
        <w:t>failed to oversee</w:t>
      </w:r>
      <w:r w:rsidR="00E32EFF" w:rsidRPr="00971004">
        <w:t xml:space="preserve"> </w:t>
      </w:r>
      <w:r w:rsidR="00971004">
        <w:t>SOKCS</w:t>
      </w:r>
      <w:r w:rsidRPr="00971004">
        <w:t xml:space="preserve"> effectively. </w:t>
      </w:r>
    </w:p>
    <w:p w:rsidR="00971004" w:rsidRDefault="00971004" w:rsidP="00D566D1">
      <w:pPr>
        <w:pStyle w:val="Default"/>
      </w:pPr>
    </w:p>
    <w:p w:rsidR="00D566D1" w:rsidRPr="00971004" w:rsidRDefault="00C95C4D" w:rsidP="00D566D1">
      <w:pPr>
        <w:pStyle w:val="Default"/>
      </w:pPr>
      <w:r>
        <w:t xml:space="preserve">The Board has previously </w:t>
      </w:r>
      <w:r w:rsidR="006C120F">
        <w:t xml:space="preserve">placed charter schools on </w:t>
      </w:r>
      <w:r>
        <w:t xml:space="preserve">probation </w:t>
      </w:r>
      <w:r w:rsidR="006C120F">
        <w:t>during the term of their first charter</w:t>
      </w:r>
      <w:r>
        <w:t xml:space="preserve">. </w:t>
      </w:r>
      <w:r w:rsidR="001D4D6A">
        <w:t xml:space="preserve">This action signals clear concern about the school with the hope that </w:t>
      </w:r>
      <w:r>
        <w:t>SOKCS</w:t>
      </w:r>
      <w:r w:rsidR="00D566D1" w:rsidRPr="00971004">
        <w:t xml:space="preserve"> </w:t>
      </w:r>
      <w:r w:rsidR="001D4D6A">
        <w:t xml:space="preserve">can fulfill the </w:t>
      </w:r>
      <w:r w:rsidR="00E32EFF">
        <w:t xml:space="preserve">probationary </w:t>
      </w:r>
      <w:r w:rsidR="001D4D6A">
        <w:t xml:space="preserve">conditions and </w:t>
      </w:r>
      <w:r w:rsidR="00D566D1" w:rsidRPr="00971004">
        <w:t xml:space="preserve">offer a successful educational program to the students it serves. Based on the success—or lack thereof—of </w:t>
      </w:r>
      <w:r>
        <w:t>SOKCS</w:t>
      </w:r>
      <w:r w:rsidR="00D566D1" w:rsidRPr="00971004">
        <w:t xml:space="preserve"> in meeting the conditions imposed in connection with its probation and in alleviating the causes of its probation, I will recommend further action as appropriate. </w:t>
      </w:r>
    </w:p>
    <w:p w:rsidR="00C95C4D" w:rsidRDefault="00C95C4D" w:rsidP="00D566D1">
      <w:pPr>
        <w:pStyle w:val="Default"/>
        <w:rPr>
          <w:b/>
          <w:bCs/>
        </w:rPr>
      </w:pPr>
    </w:p>
    <w:p w:rsidR="00A3079F" w:rsidRPr="00AB42FC" w:rsidRDefault="00A3079F" w:rsidP="00824E70">
      <w:pPr>
        <w:widowControl/>
        <w:rPr>
          <w:b/>
          <w:szCs w:val="24"/>
        </w:rPr>
      </w:pPr>
      <w:r w:rsidRPr="00AB42FC">
        <w:rPr>
          <w:b/>
          <w:szCs w:val="24"/>
        </w:rPr>
        <w:t xml:space="preserve">Mission </w:t>
      </w:r>
      <w:r w:rsidR="00AB42FC" w:rsidRPr="00AB42FC">
        <w:rPr>
          <w:b/>
          <w:szCs w:val="24"/>
        </w:rPr>
        <w:t>S</w:t>
      </w:r>
      <w:r w:rsidRPr="00AB42FC">
        <w:rPr>
          <w:b/>
          <w:szCs w:val="24"/>
        </w:rPr>
        <w:t>tatement</w:t>
      </w:r>
    </w:p>
    <w:p w:rsidR="00A3079F" w:rsidRPr="00971004" w:rsidRDefault="00A3079F" w:rsidP="00A3079F">
      <w:pPr>
        <w:rPr>
          <w:szCs w:val="24"/>
        </w:rPr>
      </w:pPr>
    </w:p>
    <w:p w:rsidR="002822B2" w:rsidRDefault="002822B2" w:rsidP="002822B2">
      <w:pPr>
        <w:ind w:right="-720"/>
      </w:pPr>
      <w:r>
        <w:t>“The Spirit of Knowledge Charter School’s 7</w:t>
      </w:r>
      <w:r>
        <w:rPr>
          <w:vertAlign w:val="superscript"/>
        </w:rPr>
        <w:t>th</w:t>
      </w:r>
      <w:r>
        <w:t xml:space="preserve"> through 12</w:t>
      </w:r>
      <w:r>
        <w:rPr>
          <w:vertAlign w:val="superscript"/>
        </w:rPr>
        <w:t>th</w:t>
      </w:r>
      <w:r>
        <w:t xml:space="preserve"> grade Worcester students will create value in their lives and the lives of others through high-standards academic learning, especially in math, science and technology, gaining admission to college, and developing a positive character.”  </w:t>
      </w:r>
    </w:p>
    <w:p w:rsidR="00A3079F" w:rsidRDefault="00A3079F" w:rsidP="00D566D1">
      <w:pPr>
        <w:pStyle w:val="Default"/>
        <w:rPr>
          <w:b/>
          <w:bCs/>
        </w:rPr>
      </w:pPr>
    </w:p>
    <w:p w:rsidR="00824E70" w:rsidRDefault="00824E70">
      <w:r>
        <w:br w:type="page"/>
      </w:r>
    </w:p>
    <w:tbl>
      <w:tblPr>
        <w:tblW w:w="9331" w:type="dxa"/>
        <w:jc w:val="center"/>
        <w:tblInd w:w="-2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831"/>
        <w:gridCol w:w="1791"/>
        <w:gridCol w:w="2189"/>
        <w:gridCol w:w="2520"/>
      </w:tblGrid>
      <w:tr w:rsidR="002822B2" w:rsidTr="002822B2">
        <w:trPr>
          <w:jc w:val="center"/>
        </w:trPr>
        <w:tc>
          <w:tcPr>
            <w:tcW w:w="2831"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lastRenderedPageBreak/>
              <w:t>Type of Charter</w:t>
            </w:r>
          </w:p>
        </w:tc>
        <w:tc>
          <w:tcPr>
            <w:tcW w:w="1791" w:type="dxa"/>
            <w:tcMar>
              <w:top w:w="0" w:type="dxa"/>
              <w:left w:w="108" w:type="dxa"/>
              <w:bottom w:w="0" w:type="dxa"/>
              <w:right w:w="108" w:type="dxa"/>
            </w:tcMar>
            <w:vAlign w:val="center"/>
          </w:tcPr>
          <w:p w:rsidR="002822B2" w:rsidRPr="005F6217" w:rsidRDefault="002822B2" w:rsidP="00B61B48">
            <w:pPr>
              <w:spacing w:before="60" w:after="60"/>
            </w:pPr>
            <w:r>
              <w:t>Commonwealth</w:t>
            </w:r>
          </w:p>
        </w:tc>
        <w:tc>
          <w:tcPr>
            <w:tcW w:w="2189"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Location</w:t>
            </w:r>
          </w:p>
        </w:tc>
        <w:tc>
          <w:tcPr>
            <w:tcW w:w="2520" w:type="dxa"/>
            <w:tcMar>
              <w:top w:w="0" w:type="dxa"/>
              <w:left w:w="108" w:type="dxa"/>
              <w:bottom w:w="0" w:type="dxa"/>
              <w:right w:w="108" w:type="dxa"/>
            </w:tcMar>
            <w:vAlign w:val="center"/>
          </w:tcPr>
          <w:p w:rsidR="002822B2" w:rsidRDefault="002822B2" w:rsidP="00B61B48">
            <w:pPr>
              <w:spacing w:before="60" w:after="60"/>
            </w:pPr>
            <w:r>
              <w:t>Worcester</w:t>
            </w:r>
          </w:p>
        </w:tc>
      </w:tr>
      <w:tr w:rsidR="002822B2" w:rsidTr="002822B2">
        <w:trPr>
          <w:jc w:val="center"/>
        </w:trPr>
        <w:tc>
          <w:tcPr>
            <w:tcW w:w="2831"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Regional/Non-Regional</w:t>
            </w:r>
          </w:p>
        </w:tc>
        <w:tc>
          <w:tcPr>
            <w:tcW w:w="1791" w:type="dxa"/>
            <w:tcMar>
              <w:top w:w="0" w:type="dxa"/>
              <w:left w:w="108" w:type="dxa"/>
              <w:bottom w:w="0" w:type="dxa"/>
              <w:right w:w="108" w:type="dxa"/>
            </w:tcMar>
            <w:vAlign w:val="center"/>
          </w:tcPr>
          <w:p w:rsidR="002822B2" w:rsidRPr="005F6217" w:rsidRDefault="002822B2" w:rsidP="00B61B48">
            <w:pPr>
              <w:spacing w:before="60" w:after="60"/>
            </w:pPr>
            <w:r>
              <w:t>Non-Regional</w:t>
            </w:r>
          </w:p>
        </w:tc>
        <w:tc>
          <w:tcPr>
            <w:tcW w:w="2189"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Districts in Region</w:t>
            </w:r>
          </w:p>
        </w:tc>
        <w:tc>
          <w:tcPr>
            <w:tcW w:w="2520" w:type="dxa"/>
            <w:tcMar>
              <w:top w:w="0" w:type="dxa"/>
              <w:left w:w="108" w:type="dxa"/>
              <w:bottom w:w="0" w:type="dxa"/>
              <w:right w:w="108" w:type="dxa"/>
            </w:tcMar>
            <w:vAlign w:val="center"/>
          </w:tcPr>
          <w:p w:rsidR="002822B2" w:rsidRPr="00F2112A" w:rsidRDefault="002822B2" w:rsidP="00B61B48">
            <w:pPr>
              <w:spacing w:before="60" w:after="60"/>
            </w:pPr>
            <w:r w:rsidRPr="00F2112A">
              <w:t>NA</w:t>
            </w:r>
          </w:p>
        </w:tc>
      </w:tr>
      <w:tr w:rsidR="002822B2" w:rsidTr="002822B2">
        <w:trPr>
          <w:trHeight w:val="282"/>
          <w:jc w:val="center"/>
        </w:trPr>
        <w:tc>
          <w:tcPr>
            <w:tcW w:w="2831"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Year Opened</w:t>
            </w:r>
          </w:p>
        </w:tc>
        <w:tc>
          <w:tcPr>
            <w:tcW w:w="1791" w:type="dxa"/>
            <w:tcMar>
              <w:top w:w="0" w:type="dxa"/>
              <w:left w:w="108" w:type="dxa"/>
              <w:bottom w:w="0" w:type="dxa"/>
              <w:right w:w="108" w:type="dxa"/>
            </w:tcMar>
            <w:vAlign w:val="center"/>
          </w:tcPr>
          <w:p w:rsidR="002822B2" w:rsidRDefault="002822B2" w:rsidP="00B61B48">
            <w:pPr>
              <w:spacing w:before="60" w:after="60"/>
            </w:pPr>
            <w:r>
              <w:t>2010</w:t>
            </w:r>
          </w:p>
        </w:tc>
        <w:tc>
          <w:tcPr>
            <w:tcW w:w="2189"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Current Enrollment</w:t>
            </w:r>
          </w:p>
        </w:tc>
        <w:tc>
          <w:tcPr>
            <w:tcW w:w="2520" w:type="dxa"/>
            <w:tcMar>
              <w:top w:w="0" w:type="dxa"/>
              <w:left w:w="108" w:type="dxa"/>
              <w:bottom w:w="0" w:type="dxa"/>
              <w:right w:w="108" w:type="dxa"/>
            </w:tcMar>
            <w:vAlign w:val="center"/>
          </w:tcPr>
          <w:p w:rsidR="002822B2" w:rsidRDefault="002822B2" w:rsidP="00B61B48">
            <w:pPr>
              <w:spacing w:before="60" w:after="60"/>
            </w:pPr>
            <w:r>
              <w:t>176</w:t>
            </w:r>
          </w:p>
        </w:tc>
      </w:tr>
      <w:tr w:rsidR="002822B2" w:rsidTr="002822B2">
        <w:trPr>
          <w:jc w:val="center"/>
        </w:trPr>
        <w:tc>
          <w:tcPr>
            <w:tcW w:w="2831"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Maximum Enrollment</w:t>
            </w:r>
          </w:p>
        </w:tc>
        <w:tc>
          <w:tcPr>
            <w:tcW w:w="1791" w:type="dxa"/>
            <w:tcMar>
              <w:top w:w="0" w:type="dxa"/>
              <w:left w:w="108" w:type="dxa"/>
              <w:bottom w:w="0" w:type="dxa"/>
              <w:right w:w="108" w:type="dxa"/>
            </w:tcMar>
            <w:vAlign w:val="center"/>
          </w:tcPr>
          <w:p w:rsidR="002822B2" w:rsidRDefault="002822B2" w:rsidP="00B61B48">
            <w:pPr>
              <w:spacing w:before="60" w:after="60"/>
            </w:pPr>
            <w:r>
              <w:t>275</w:t>
            </w:r>
          </w:p>
        </w:tc>
        <w:tc>
          <w:tcPr>
            <w:tcW w:w="2189"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Students on Waitlist</w:t>
            </w:r>
          </w:p>
        </w:tc>
        <w:tc>
          <w:tcPr>
            <w:tcW w:w="2520" w:type="dxa"/>
            <w:tcMar>
              <w:top w:w="0" w:type="dxa"/>
              <w:left w:w="108" w:type="dxa"/>
              <w:bottom w:w="0" w:type="dxa"/>
              <w:right w:w="108" w:type="dxa"/>
            </w:tcMar>
            <w:vAlign w:val="center"/>
          </w:tcPr>
          <w:p w:rsidR="002822B2" w:rsidRDefault="002822B2" w:rsidP="00B61B48">
            <w:pPr>
              <w:spacing w:before="60" w:after="60"/>
            </w:pPr>
            <w:r>
              <w:t>38</w:t>
            </w:r>
          </w:p>
        </w:tc>
      </w:tr>
      <w:tr w:rsidR="002822B2" w:rsidTr="002822B2">
        <w:trPr>
          <w:trHeight w:val="80"/>
          <w:jc w:val="center"/>
        </w:trPr>
        <w:tc>
          <w:tcPr>
            <w:tcW w:w="2831"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 xml:space="preserve">Chartered Grade Span </w:t>
            </w:r>
          </w:p>
        </w:tc>
        <w:tc>
          <w:tcPr>
            <w:tcW w:w="1791" w:type="dxa"/>
            <w:tcMar>
              <w:top w:w="0" w:type="dxa"/>
              <w:left w:w="108" w:type="dxa"/>
              <w:bottom w:w="0" w:type="dxa"/>
              <w:right w:w="108" w:type="dxa"/>
            </w:tcMar>
            <w:vAlign w:val="center"/>
          </w:tcPr>
          <w:p w:rsidR="002822B2" w:rsidRDefault="002822B2" w:rsidP="00B61B48">
            <w:pPr>
              <w:spacing w:before="60" w:after="60"/>
            </w:pPr>
            <w:r>
              <w:t>7-12</w:t>
            </w:r>
          </w:p>
        </w:tc>
        <w:tc>
          <w:tcPr>
            <w:tcW w:w="2189" w:type="dxa"/>
            <w:tcMar>
              <w:top w:w="0" w:type="dxa"/>
              <w:left w:w="108" w:type="dxa"/>
              <w:bottom w:w="0" w:type="dxa"/>
              <w:right w:w="108" w:type="dxa"/>
            </w:tcMar>
            <w:vAlign w:val="center"/>
          </w:tcPr>
          <w:p w:rsidR="002822B2" w:rsidRPr="00454628" w:rsidRDefault="002822B2" w:rsidP="00B61B48">
            <w:pPr>
              <w:spacing w:before="60" w:after="60"/>
              <w:rPr>
                <w:b/>
                <w:bCs/>
                <w:sz w:val="22"/>
                <w:szCs w:val="22"/>
              </w:rPr>
            </w:pPr>
            <w:r w:rsidRPr="00454628">
              <w:rPr>
                <w:b/>
                <w:bCs/>
                <w:sz w:val="22"/>
                <w:szCs w:val="22"/>
              </w:rPr>
              <w:t>Current Grade Span</w:t>
            </w:r>
          </w:p>
        </w:tc>
        <w:tc>
          <w:tcPr>
            <w:tcW w:w="2520" w:type="dxa"/>
            <w:tcMar>
              <w:top w:w="0" w:type="dxa"/>
              <w:left w:w="108" w:type="dxa"/>
              <w:bottom w:w="0" w:type="dxa"/>
              <w:right w:w="108" w:type="dxa"/>
            </w:tcMar>
            <w:vAlign w:val="center"/>
          </w:tcPr>
          <w:p w:rsidR="002822B2" w:rsidRDefault="002822B2" w:rsidP="00B61B48">
            <w:pPr>
              <w:spacing w:before="60" w:after="60"/>
            </w:pPr>
            <w:r>
              <w:t>7-11</w:t>
            </w:r>
          </w:p>
        </w:tc>
      </w:tr>
    </w:tbl>
    <w:p w:rsidR="002822B2" w:rsidRDefault="002822B2" w:rsidP="00D566D1">
      <w:pPr>
        <w:pStyle w:val="Default"/>
        <w:rPr>
          <w:b/>
          <w:bCs/>
        </w:rPr>
      </w:pPr>
    </w:p>
    <w:p w:rsidR="00D566D1" w:rsidRDefault="00D566D1" w:rsidP="00D566D1">
      <w:pPr>
        <w:pStyle w:val="Default"/>
      </w:pPr>
      <w:r w:rsidRPr="00971004">
        <w:t xml:space="preserve">Substantial questions exist regarding the ability of </w:t>
      </w:r>
      <w:r w:rsidR="008449D1">
        <w:t>SOKCS</w:t>
      </w:r>
      <w:r w:rsidRPr="00971004">
        <w:t xml:space="preserve"> to manage the school effectively. These concerns are based on the issues identified below and </w:t>
      </w:r>
      <w:r w:rsidR="008449D1">
        <w:t xml:space="preserve">further explained in the </w:t>
      </w:r>
      <w:r w:rsidR="00431A02">
        <w:t xml:space="preserve">December 2012 </w:t>
      </w:r>
      <w:r w:rsidR="008449D1">
        <w:t>Year Three Site Visit Report</w:t>
      </w:r>
      <w:r w:rsidR="00AB42FC">
        <w:t xml:space="preserve"> attached to this memorandum</w:t>
      </w:r>
      <w:r w:rsidR="008449D1">
        <w:t xml:space="preserve">. </w:t>
      </w:r>
      <w:r w:rsidRPr="00971004">
        <w:t xml:space="preserve">My concerns </w:t>
      </w:r>
      <w:r w:rsidR="00777FC1">
        <w:t>are as follows.</w:t>
      </w:r>
      <w:r w:rsidRPr="00971004">
        <w:t xml:space="preserve"> </w:t>
      </w:r>
    </w:p>
    <w:p w:rsidR="008449D1" w:rsidRDefault="008449D1" w:rsidP="00D566D1">
      <w:pPr>
        <w:pStyle w:val="Default"/>
      </w:pPr>
    </w:p>
    <w:p w:rsidR="008449D1" w:rsidRDefault="00B61B48" w:rsidP="008449D1">
      <w:pPr>
        <w:pStyle w:val="Default"/>
        <w:numPr>
          <w:ilvl w:val="0"/>
          <w:numId w:val="19"/>
        </w:numPr>
      </w:pPr>
      <w:r>
        <w:t xml:space="preserve">A lack of adherence the school’s mission, vision, and educational program as articulated in the charter application. </w:t>
      </w:r>
    </w:p>
    <w:p w:rsidR="00B61B48" w:rsidRDefault="00B61B48" w:rsidP="008449D1">
      <w:pPr>
        <w:pStyle w:val="Default"/>
        <w:numPr>
          <w:ilvl w:val="0"/>
          <w:numId w:val="19"/>
        </w:numPr>
      </w:pPr>
      <w:r>
        <w:t>The high turnover of individuals serving as executive director. The school’s founding executive director resigned at the end of the school’s first year, two individuals served and then resigned during the school’s second year, and the present executive director was hired in July 2012. She formerly served as a math teacher at the school.</w:t>
      </w:r>
    </w:p>
    <w:p w:rsidR="00B61B48" w:rsidRDefault="00B61B48" w:rsidP="008449D1">
      <w:pPr>
        <w:pStyle w:val="Default"/>
        <w:numPr>
          <w:ilvl w:val="0"/>
          <w:numId w:val="19"/>
        </w:numPr>
      </w:pPr>
      <w:r>
        <w:t xml:space="preserve">The school’s educational program is </w:t>
      </w:r>
      <w:r w:rsidR="006505AC">
        <w:t>not well articulated or implemented at this time.</w:t>
      </w:r>
    </w:p>
    <w:p w:rsidR="00777FC1" w:rsidRDefault="006505AC" w:rsidP="00777FC1">
      <w:pPr>
        <w:pStyle w:val="Default"/>
        <w:numPr>
          <w:ilvl w:val="0"/>
          <w:numId w:val="19"/>
        </w:numPr>
      </w:pPr>
      <w:r>
        <w:t xml:space="preserve">Academic results have not been promising. Particularly concerning are </w:t>
      </w:r>
      <w:r w:rsidR="001500D7">
        <w:t xml:space="preserve">the low </w:t>
      </w:r>
      <w:r>
        <w:t>math and science results</w:t>
      </w:r>
      <w:r w:rsidR="001500D7">
        <w:t>, given that the school was chartered as a science, technology, engineering, and math</w:t>
      </w:r>
      <w:r w:rsidR="00777FC1">
        <w:t>ematics</w:t>
      </w:r>
      <w:r w:rsidR="001500D7">
        <w:t xml:space="preserve"> (STEM) school.</w:t>
      </w:r>
      <w:r w:rsidR="00AE05CD">
        <w:t xml:space="preserve"> Please see the academic performance charts below.</w:t>
      </w:r>
    </w:p>
    <w:p w:rsidR="00777FC1" w:rsidRDefault="00777FC1" w:rsidP="00777FC1">
      <w:pPr>
        <w:pStyle w:val="Default"/>
        <w:numPr>
          <w:ilvl w:val="0"/>
          <w:numId w:val="19"/>
        </w:numPr>
      </w:pPr>
      <w:r>
        <w:t xml:space="preserve">The board of trustees provides minimal oversight </w:t>
      </w:r>
      <w:r w:rsidR="00FB2CA9">
        <w:t xml:space="preserve">of </w:t>
      </w:r>
      <w:r>
        <w:t>the school’s academic program, fiscal processes, or facility.</w:t>
      </w:r>
    </w:p>
    <w:p w:rsidR="00777FC1" w:rsidRDefault="00777FC1" w:rsidP="00777FC1">
      <w:pPr>
        <w:pStyle w:val="Default"/>
        <w:numPr>
          <w:ilvl w:val="0"/>
          <w:numId w:val="19"/>
        </w:numPr>
      </w:pPr>
      <w:r>
        <w:t xml:space="preserve">Of the 16 members of the </w:t>
      </w:r>
      <w:r w:rsidR="00FB2CA9">
        <w:t xml:space="preserve">founding </w:t>
      </w:r>
      <w:r>
        <w:t>board, three remain members today. With a current membership of five, the board is operating below its minimum membership as outlined in its bylaws.</w:t>
      </w:r>
    </w:p>
    <w:p w:rsidR="00777FC1" w:rsidRDefault="00777FC1" w:rsidP="00777FC1">
      <w:pPr>
        <w:pStyle w:val="Default"/>
        <w:numPr>
          <w:ilvl w:val="0"/>
          <w:numId w:val="19"/>
        </w:numPr>
      </w:pPr>
      <w:r>
        <w:t>The board has not formally evaluated any of the individuals employed as executive director.</w:t>
      </w:r>
    </w:p>
    <w:p w:rsidR="00777FC1" w:rsidRDefault="00777FC1" w:rsidP="00777FC1">
      <w:pPr>
        <w:pStyle w:val="Default"/>
        <w:numPr>
          <w:ilvl w:val="0"/>
          <w:numId w:val="19"/>
        </w:numPr>
      </w:pPr>
      <w:r>
        <w:t xml:space="preserve">The school recorded a deficit in fiscal year 2012 and did not prepare an FY13 budget by the deadline. The financial audits </w:t>
      </w:r>
      <w:r w:rsidR="00FB2CA9">
        <w:t xml:space="preserve">for the past two years </w:t>
      </w:r>
      <w:r>
        <w:t xml:space="preserve">have noted significant deficiencies. </w:t>
      </w:r>
    </w:p>
    <w:p w:rsidR="00777FC1" w:rsidRDefault="00777FC1" w:rsidP="00777FC1">
      <w:pPr>
        <w:pStyle w:val="Default"/>
        <w:numPr>
          <w:ilvl w:val="0"/>
          <w:numId w:val="19"/>
        </w:numPr>
      </w:pPr>
      <w:r>
        <w:t>The school has not yet submitted its 2011-12 annual report, statutorily due by August 1</w:t>
      </w:r>
      <w:r w:rsidR="00FB2CA9">
        <w:t>, over nine months ago</w:t>
      </w:r>
      <w:r>
        <w:t xml:space="preserve">. </w:t>
      </w:r>
    </w:p>
    <w:p w:rsidR="00777FC1" w:rsidRDefault="00777FC1" w:rsidP="00777FC1">
      <w:pPr>
        <w:pStyle w:val="Default"/>
        <w:numPr>
          <w:ilvl w:val="0"/>
          <w:numId w:val="19"/>
        </w:numPr>
      </w:pPr>
      <w:r>
        <w:t>The school has not submitted a current recruitment and retention plan.</w:t>
      </w:r>
    </w:p>
    <w:p w:rsidR="00A026E8" w:rsidRDefault="00777FC1" w:rsidP="00AE05CD">
      <w:pPr>
        <w:pStyle w:val="Default"/>
        <w:numPr>
          <w:ilvl w:val="0"/>
          <w:numId w:val="19"/>
        </w:numPr>
      </w:pPr>
      <w:r>
        <w:t xml:space="preserve">With an enrollment of 173, the school is not meeting </w:t>
      </w:r>
      <w:r w:rsidR="008C0697">
        <w:t>the</w:t>
      </w:r>
      <w:r>
        <w:t xml:space="preserve"> enrollment target </w:t>
      </w:r>
      <w:r w:rsidR="008C0697">
        <w:t xml:space="preserve">of 240 students </w:t>
      </w:r>
      <w:r w:rsidR="00502116">
        <w:t xml:space="preserve">as </w:t>
      </w:r>
      <w:r w:rsidR="008C0697">
        <w:t>specified in its charter for its third year of operation</w:t>
      </w:r>
      <w:r>
        <w:t>.</w:t>
      </w:r>
    </w:p>
    <w:p w:rsidR="00502116" w:rsidRDefault="00502116">
      <w:pPr>
        <w:widowControl/>
        <w:rPr>
          <w:b/>
          <w:szCs w:val="24"/>
          <w:u w:val="single"/>
        </w:rPr>
      </w:pPr>
      <w:r>
        <w:rPr>
          <w:b/>
          <w:szCs w:val="24"/>
          <w:u w:val="single"/>
        </w:rPr>
        <w:br w:type="page"/>
      </w:r>
    </w:p>
    <w:p w:rsidR="00A026E8" w:rsidRPr="00502116" w:rsidRDefault="008D1B35" w:rsidP="00A026E8">
      <w:pPr>
        <w:pStyle w:val="FootnoteText"/>
        <w:rPr>
          <w:b/>
          <w:sz w:val="24"/>
          <w:szCs w:val="24"/>
          <w:u w:val="single"/>
        </w:rPr>
      </w:pPr>
      <w:r w:rsidRPr="008D1B35">
        <w:rPr>
          <w:b/>
          <w:sz w:val="24"/>
          <w:szCs w:val="24"/>
          <w:u w:val="single"/>
        </w:rPr>
        <w:lastRenderedPageBreak/>
        <w:t>Academic Performance</w:t>
      </w:r>
    </w:p>
    <w:p w:rsidR="00A026E8" w:rsidRPr="00971004" w:rsidRDefault="00A026E8" w:rsidP="00A026E8">
      <w:pPr>
        <w:pStyle w:val="FootnoteText"/>
        <w:rPr>
          <w:b/>
          <w:sz w:val="24"/>
          <w:szCs w:val="24"/>
        </w:rPr>
      </w:pPr>
    </w:p>
    <w:tbl>
      <w:tblPr>
        <w:tblW w:w="7378"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tblGrid>
      <w:tr w:rsidR="00037081" w:rsidRPr="00971004" w:rsidTr="00037081">
        <w:trPr>
          <w:jc w:val="center"/>
        </w:trPr>
        <w:tc>
          <w:tcPr>
            <w:tcW w:w="7378" w:type="dxa"/>
          </w:tcPr>
          <w:p w:rsidR="00037081" w:rsidRPr="00037081" w:rsidRDefault="00037081" w:rsidP="00037081">
            <w:pPr>
              <w:rPr>
                <w:b/>
                <w:noProof/>
                <w:snapToGrid/>
                <w:szCs w:val="24"/>
              </w:rPr>
            </w:pPr>
            <w:r>
              <w:rPr>
                <w:b/>
                <w:noProof/>
                <w:snapToGrid/>
                <w:szCs w:val="24"/>
              </w:rPr>
              <w:t>English language arts</w:t>
            </w:r>
          </w:p>
        </w:tc>
      </w:tr>
      <w:tr w:rsidR="00037081" w:rsidRPr="00971004" w:rsidTr="00037081">
        <w:trPr>
          <w:jc w:val="center"/>
        </w:trPr>
        <w:tc>
          <w:tcPr>
            <w:tcW w:w="7378" w:type="dxa"/>
          </w:tcPr>
          <w:p w:rsidR="00037081" w:rsidRPr="00971004" w:rsidRDefault="00E32EFF" w:rsidP="00037081">
            <w:pPr>
              <w:rPr>
                <w:b/>
                <w:szCs w:val="24"/>
              </w:rPr>
            </w:pPr>
            <w:r>
              <w:rPr>
                <w:b/>
                <w:noProof/>
                <w:snapToGrid/>
                <w:szCs w:val="24"/>
              </w:rPr>
              <w:drawing>
                <wp:inline distT="0" distB="0" distL="0" distR="0">
                  <wp:extent cx="4095742" cy="2813882"/>
                  <wp:effectExtent l="19050" t="0" r="19058" b="5518"/>
                  <wp:docPr id="1" name="Picture 1" descr="Year ELA History  ELA Gap-Narrowing Targets&#10;2011 83.5 &#10;2012 85.5 84.9&#10;2013  86.3&#10;2014  87.6&#10;2015  89.0&#10;2016  90.4&#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37081" w:rsidRPr="00971004" w:rsidTr="00037081">
        <w:trPr>
          <w:jc w:val="center"/>
        </w:trPr>
        <w:tc>
          <w:tcPr>
            <w:tcW w:w="7378" w:type="dxa"/>
          </w:tcPr>
          <w:p w:rsidR="00037081" w:rsidRPr="00037081" w:rsidRDefault="00037081" w:rsidP="00037081">
            <w:pPr>
              <w:rPr>
                <w:b/>
                <w:noProof/>
                <w:snapToGrid/>
                <w:szCs w:val="24"/>
              </w:rPr>
            </w:pPr>
            <w:r>
              <w:rPr>
                <w:b/>
                <w:noProof/>
                <w:snapToGrid/>
                <w:szCs w:val="24"/>
              </w:rPr>
              <w:t>Mathematics</w:t>
            </w:r>
          </w:p>
        </w:tc>
      </w:tr>
      <w:tr w:rsidR="00037081" w:rsidRPr="00971004" w:rsidTr="00037081">
        <w:trPr>
          <w:jc w:val="center"/>
        </w:trPr>
        <w:tc>
          <w:tcPr>
            <w:tcW w:w="7378" w:type="dxa"/>
          </w:tcPr>
          <w:p w:rsidR="00037081" w:rsidRPr="00037081" w:rsidRDefault="00E32EFF" w:rsidP="00037081">
            <w:pPr>
              <w:rPr>
                <w:b/>
                <w:noProof/>
                <w:snapToGrid/>
                <w:szCs w:val="24"/>
              </w:rPr>
            </w:pPr>
            <w:r>
              <w:rPr>
                <w:b/>
                <w:noProof/>
                <w:snapToGrid/>
                <w:szCs w:val="24"/>
              </w:rPr>
              <w:drawing>
                <wp:inline distT="0" distB="0" distL="0" distR="0">
                  <wp:extent cx="4099060" cy="2813882"/>
                  <wp:effectExtent l="19050" t="0" r="15740" b="5518"/>
                  <wp:docPr id="2" name="Chart 3" descr="Year Math History Math Gap-Narrowing Targets&#10;2011 58.2 &#10;2012 61.9 61.7&#10;2013  65.2&#10;2014  68.7&#10;2015  72.1&#10;2016  75.6&#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502116" w:rsidRDefault="00502116">
      <w:r>
        <w:br w:type="page"/>
      </w:r>
    </w:p>
    <w:tbl>
      <w:tblPr>
        <w:tblW w:w="7378"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tblGrid>
      <w:tr w:rsidR="00037081" w:rsidRPr="00971004" w:rsidTr="00037081">
        <w:trPr>
          <w:jc w:val="center"/>
        </w:trPr>
        <w:tc>
          <w:tcPr>
            <w:tcW w:w="7378" w:type="dxa"/>
          </w:tcPr>
          <w:p w:rsidR="00037081" w:rsidRPr="00037081" w:rsidRDefault="00037081" w:rsidP="00037081">
            <w:pPr>
              <w:rPr>
                <w:b/>
                <w:noProof/>
                <w:snapToGrid/>
                <w:szCs w:val="24"/>
              </w:rPr>
            </w:pPr>
            <w:r>
              <w:rPr>
                <w:b/>
                <w:noProof/>
                <w:snapToGrid/>
                <w:szCs w:val="24"/>
              </w:rPr>
              <w:lastRenderedPageBreak/>
              <w:t>Science</w:t>
            </w:r>
          </w:p>
        </w:tc>
      </w:tr>
      <w:tr w:rsidR="00037081" w:rsidRPr="00971004" w:rsidTr="00037081">
        <w:trPr>
          <w:jc w:val="center"/>
        </w:trPr>
        <w:tc>
          <w:tcPr>
            <w:tcW w:w="7378" w:type="dxa"/>
          </w:tcPr>
          <w:p w:rsidR="00037081" w:rsidRPr="00037081" w:rsidRDefault="00E32EFF" w:rsidP="00037081">
            <w:pPr>
              <w:rPr>
                <w:b/>
                <w:noProof/>
                <w:snapToGrid/>
                <w:szCs w:val="24"/>
              </w:rPr>
            </w:pPr>
            <w:r>
              <w:rPr>
                <w:b/>
                <w:noProof/>
                <w:snapToGrid/>
                <w:szCs w:val="24"/>
              </w:rPr>
              <w:drawing>
                <wp:inline distT="0" distB="0" distL="0" distR="0">
                  <wp:extent cx="4099060" cy="2813882"/>
                  <wp:effectExtent l="19050" t="0" r="15740" b="5518"/>
                  <wp:docPr id="3" name="Chart 4" descr="Year Science History Science Gap-Narrowing Targets&#10;2011 57.7 &#10;2012 56.8 61.2&#10;2013  64.8&#10;2014  68.3&#10;2015  71.8&#10;2016  75.3&#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026E8" w:rsidRPr="00971004" w:rsidRDefault="00A026E8" w:rsidP="00A026E8">
      <w:pPr>
        <w:pStyle w:val="FootnoteText"/>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86"/>
        <w:gridCol w:w="786"/>
      </w:tblGrid>
      <w:tr w:rsidR="00A026E8" w:rsidRPr="00971004" w:rsidTr="0099642D">
        <w:trPr>
          <w:jc w:val="center"/>
        </w:trPr>
        <w:tc>
          <w:tcPr>
            <w:tcW w:w="0" w:type="auto"/>
            <w:gridSpan w:val="3"/>
            <w:shd w:val="clear" w:color="auto" w:fill="BFBFBF"/>
            <w:vAlign w:val="center"/>
          </w:tcPr>
          <w:p w:rsidR="00A026E8" w:rsidRPr="00971004" w:rsidRDefault="0099642D" w:rsidP="00037081">
            <w:pPr>
              <w:rPr>
                <w:b/>
                <w:bCs/>
                <w:i/>
                <w:szCs w:val="24"/>
              </w:rPr>
            </w:pPr>
            <w:r>
              <w:rPr>
                <w:b/>
                <w:bCs/>
                <w:i/>
                <w:szCs w:val="24"/>
              </w:rPr>
              <w:t xml:space="preserve">SOKCS </w:t>
            </w:r>
            <w:r w:rsidR="00A026E8" w:rsidRPr="00971004">
              <w:rPr>
                <w:b/>
                <w:bCs/>
                <w:i/>
                <w:szCs w:val="24"/>
              </w:rPr>
              <w:t>Median Student Growth Percentile</w:t>
            </w:r>
          </w:p>
        </w:tc>
      </w:tr>
      <w:tr w:rsidR="0099642D" w:rsidRPr="0099642D" w:rsidTr="0099642D">
        <w:trPr>
          <w:jc w:val="center"/>
        </w:trPr>
        <w:tc>
          <w:tcPr>
            <w:tcW w:w="0" w:type="auto"/>
            <w:shd w:val="clear" w:color="auto" w:fill="D9D9D9"/>
            <w:vAlign w:val="center"/>
          </w:tcPr>
          <w:p w:rsidR="0099642D" w:rsidRPr="00971004" w:rsidRDefault="0099642D" w:rsidP="00037081">
            <w:pPr>
              <w:rPr>
                <w:b/>
                <w:bCs/>
                <w:szCs w:val="24"/>
              </w:rPr>
            </w:pPr>
            <w:r w:rsidRPr="00971004">
              <w:rPr>
                <w:b/>
                <w:bCs/>
                <w:szCs w:val="24"/>
              </w:rPr>
              <w:t>Year</w:t>
            </w:r>
          </w:p>
        </w:tc>
        <w:tc>
          <w:tcPr>
            <w:tcW w:w="341" w:type="dxa"/>
            <w:shd w:val="clear" w:color="auto" w:fill="D9D9D9"/>
            <w:vAlign w:val="center"/>
          </w:tcPr>
          <w:p w:rsidR="0099642D" w:rsidRPr="0099642D" w:rsidRDefault="0099642D" w:rsidP="00037081">
            <w:pPr>
              <w:jc w:val="center"/>
              <w:rPr>
                <w:b/>
                <w:bCs/>
                <w:szCs w:val="24"/>
              </w:rPr>
            </w:pPr>
            <w:r w:rsidRPr="0099642D">
              <w:rPr>
                <w:b/>
                <w:bCs/>
                <w:szCs w:val="24"/>
              </w:rPr>
              <w:t>2011</w:t>
            </w:r>
          </w:p>
        </w:tc>
        <w:tc>
          <w:tcPr>
            <w:tcW w:w="341" w:type="dxa"/>
            <w:shd w:val="clear" w:color="auto" w:fill="D9D9D9"/>
            <w:vAlign w:val="center"/>
          </w:tcPr>
          <w:p w:rsidR="0099642D" w:rsidRPr="0099642D" w:rsidRDefault="0099642D" w:rsidP="00037081">
            <w:pPr>
              <w:jc w:val="center"/>
              <w:rPr>
                <w:b/>
                <w:bCs/>
                <w:szCs w:val="24"/>
              </w:rPr>
            </w:pPr>
            <w:r w:rsidRPr="0099642D">
              <w:rPr>
                <w:b/>
                <w:bCs/>
                <w:szCs w:val="24"/>
              </w:rPr>
              <w:t>2012</w:t>
            </w:r>
          </w:p>
        </w:tc>
      </w:tr>
      <w:tr w:rsidR="0099642D" w:rsidRPr="00971004" w:rsidTr="0099642D">
        <w:trPr>
          <w:jc w:val="center"/>
        </w:trPr>
        <w:tc>
          <w:tcPr>
            <w:tcW w:w="0" w:type="auto"/>
            <w:shd w:val="clear" w:color="auto" w:fill="D9D9D9"/>
            <w:vAlign w:val="center"/>
          </w:tcPr>
          <w:p w:rsidR="0099642D" w:rsidRPr="00971004" w:rsidRDefault="0099642D" w:rsidP="00037081">
            <w:pPr>
              <w:rPr>
                <w:b/>
                <w:bCs/>
                <w:szCs w:val="24"/>
              </w:rPr>
            </w:pPr>
            <w:r w:rsidRPr="00971004">
              <w:rPr>
                <w:b/>
                <w:bCs/>
                <w:szCs w:val="24"/>
              </w:rPr>
              <w:t>English Language Arts</w:t>
            </w:r>
          </w:p>
        </w:tc>
        <w:tc>
          <w:tcPr>
            <w:tcW w:w="342" w:type="dxa"/>
          </w:tcPr>
          <w:p w:rsidR="0099642D" w:rsidRPr="0099642D" w:rsidRDefault="0099642D" w:rsidP="00D731A8">
            <w:pPr>
              <w:jc w:val="center"/>
              <w:rPr>
                <w:bCs/>
                <w:szCs w:val="24"/>
              </w:rPr>
            </w:pPr>
            <w:r w:rsidRPr="0099642D">
              <w:rPr>
                <w:bCs/>
                <w:szCs w:val="24"/>
              </w:rPr>
              <w:t>34.5</w:t>
            </w:r>
          </w:p>
        </w:tc>
        <w:tc>
          <w:tcPr>
            <w:tcW w:w="342" w:type="dxa"/>
          </w:tcPr>
          <w:p w:rsidR="0099642D" w:rsidRPr="0099642D" w:rsidRDefault="0099642D" w:rsidP="00D731A8">
            <w:pPr>
              <w:jc w:val="center"/>
              <w:rPr>
                <w:bCs/>
                <w:szCs w:val="24"/>
              </w:rPr>
            </w:pPr>
            <w:r w:rsidRPr="0099642D">
              <w:rPr>
                <w:bCs/>
                <w:szCs w:val="24"/>
              </w:rPr>
              <w:t>47.0</w:t>
            </w:r>
          </w:p>
        </w:tc>
      </w:tr>
      <w:tr w:rsidR="0099642D" w:rsidRPr="00971004" w:rsidTr="0099642D">
        <w:trPr>
          <w:jc w:val="center"/>
        </w:trPr>
        <w:tc>
          <w:tcPr>
            <w:tcW w:w="0" w:type="auto"/>
            <w:shd w:val="clear" w:color="auto" w:fill="D9D9D9"/>
            <w:vAlign w:val="center"/>
          </w:tcPr>
          <w:p w:rsidR="0099642D" w:rsidRPr="00971004" w:rsidRDefault="0099642D" w:rsidP="00037081">
            <w:pPr>
              <w:rPr>
                <w:b/>
                <w:bCs/>
                <w:szCs w:val="24"/>
              </w:rPr>
            </w:pPr>
            <w:r w:rsidRPr="00971004">
              <w:rPr>
                <w:b/>
                <w:bCs/>
                <w:szCs w:val="24"/>
              </w:rPr>
              <w:t>Mathematics</w:t>
            </w:r>
          </w:p>
        </w:tc>
        <w:tc>
          <w:tcPr>
            <w:tcW w:w="342" w:type="dxa"/>
          </w:tcPr>
          <w:p w:rsidR="0099642D" w:rsidRPr="0099642D" w:rsidRDefault="0099642D" w:rsidP="00D731A8">
            <w:pPr>
              <w:jc w:val="center"/>
              <w:rPr>
                <w:bCs/>
                <w:szCs w:val="24"/>
              </w:rPr>
            </w:pPr>
            <w:r w:rsidRPr="0099642D">
              <w:rPr>
                <w:bCs/>
                <w:szCs w:val="24"/>
              </w:rPr>
              <w:t>21.0</w:t>
            </w:r>
          </w:p>
        </w:tc>
        <w:tc>
          <w:tcPr>
            <w:tcW w:w="342" w:type="dxa"/>
          </w:tcPr>
          <w:p w:rsidR="0099642D" w:rsidRPr="0099642D" w:rsidRDefault="0099642D" w:rsidP="00D731A8">
            <w:pPr>
              <w:jc w:val="center"/>
              <w:rPr>
                <w:bCs/>
                <w:szCs w:val="24"/>
              </w:rPr>
            </w:pPr>
            <w:r w:rsidRPr="0099642D">
              <w:rPr>
                <w:bCs/>
                <w:szCs w:val="24"/>
              </w:rPr>
              <w:t>37.0</w:t>
            </w:r>
          </w:p>
        </w:tc>
      </w:tr>
    </w:tbl>
    <w:p w:rsidR="008449D1" w:rsidRDefault="008449D1" w:rsidP="00D566D1">
      <w:pPr>
        <w:pStyle w:val="Default"/>
        <w:rPr>
          <w:b/>
          <w:bCs/>
        </w:rPr>
      </w:pPr>
    </w:p>
    <w:p w:rsidR="00D566D1" w:rsidRPr="00502116" w:rsidRDefault="008D1B35" w:rsidP="00D566D1">
      <w:pPr>
        <w:pStyle w:val="Default"/>
        <w:rPr>
          <w:u w:val="single"/>
        </w:rPr>
      </w:pPr>
      <w:r w:rsidRPr="008D1B35">
        <w:rPr>
          <w:b/>
          <w:bCs/>
          <w:u w:val="single"/>
        </w:rPr>
        <w:t xml:space="preserve">Conditions and Probation </w:t>
      </w:r>
    </w:p>
    <w:p w:rsidR="001B1D6E" w:rsidRDefault="001B1D6E" w:rsidP="00D566D1">
      <w:pPr>
        <w:pStyle w:val="BodyText2"/>
        <w:ind w:right="-360"/>
        <w:rPr>
          <w:szCs w:val="24"/>
        </w:rPr>
      </w:pPr>
    </w:p>
    <w:p w:rsidR="00502116" w:rsidRDefault="00D566D1" w:rsidP="00D566D1">
      <w:pPr>
        <w:pStyle w:val="BodyText2"/>
        <w:ind w:right="-360"/>
        <w:rPr>
          <w:szCs w:val="24"/>
        </w:rPr>
      </w:pPr>
      <w:r w:rsidRPr="00971004">
        <w:rPr>
          <w:szCs w:val="24"/>
        </w:rPr>
        <w:t xml:space="preserve">I </w:t>
      </w:r>
      <w:r w:rsidR="00502116">
        <w:rPr>
          <w:szCs w:val="24"/>
        </w:rPr>
        <w:t>strongly recommend that the Board place</w:t>
      </w:r>
      <w:r w:rsidRPr="00971004">
        <w:rPr>
          <w:szCs w:val="24"/>
        </w:rPr>
        <w:t xml:space="preserve"> </w:t>
      </w:r>
      <w:r w:rsidR="00502116">
        <w:rPr>
          <w:szCs w:val="24"/>
        </w:rPr>
        <w:t>SOKCS</w:t>
      </w:r>
      <w:r w:rsidRPr="00971004">
        <w:rPr>
          <w:szCs w:val="24"/>
        </w:rPr>
        <w:t xml:space="preserve"> on probation, pursuant to 603 CMR 1.13(4)</w:t>
      </w:r>
      <w:r w:rsidR="00502116">
        <w:rPr>
          <w:szCs w:val="24"/>
        </w:rPr>
        <w:t>, for the remainder of the school’s charter term</w:t>
      </w:r>
      <w:r w:rsidRPr="00971004">
        <w:rPr>
          <w:szCs w:val="24"/>
        </w:rPr>
        <w:t xml:space="preserve">. The </w:t>
      </w:r>
      <w:r w:rsidR="00E32EFF">
        <w:rPr>
          <w:szCs w:val="24"/>
        </w:rPr>
        <w:t>school’s charter will expire on June 30, 2015 unless renewed.</w:t>
      </w:r>
    </w:p>
    <w:p w:rsidR="00502116" w:rsidRDefault="00502116" w:rsidP="00D566D1">
      <w:pPr>
        <w:pStyle w:val="BodyText2"/>
        <w:ind w:right="-360"/>
        <w:rPr>
          <w:szCs w:val="24"/>
        </w:rPr>
      </w:pPr>
    </w:p>
    <w:p w:rsidR="00D566D1" w:rsidRPr="00971004" w:rsidRDefault="00502116" w:rsidP="00D566D1">
      <w:pPr>
        <w:pStyle w:val="BodyText2"/>
        <w:ind w:right="-360"/>
        <w:rPr>
          <w:szCs w:val="24"/>
        </w:rPr>
      </w:pPr>
      <w:r>
        <w:rPr>
          <w:szCs w:val="24"/>
        </w:rPr>
        <w:t xml:space="preserve">I also recommend that the Board place </w:t>
      </w:r>
      <w:r w:rsidR="001B1D6E">
        <w:rPr>
          <w:szCs w:val="24"/>
        </w:rPr>
        <w:t>the following conditions</w:t>
      </w:r>
      <w:r w:rsidR="00E32EFF">
        <w:rPr>
          <w:szCs w:val="24"/>
        </w:rPr>
        <w:t xml:space="preserve"> </w:t>
      </w:r>
      <w:r>
        <w:rPr>
          <w:szCs w:val="24"/>
        </w:rPr>
        <w:t>on the school’s charter</w:t>
      </w:r>
      <w:r w:rsidR="001B1D6E">
        <w:rPr>
          <w:szCs w:val="24"/>
        </w:rPr>
        <w:t>:</w:t>
      </w:r>
    </w:p>
    <w:p w:rsidR="00D566D1" w:rsidRPr="001B1D6E" w:rsidRDefault="00D566D1" w:rsidP="00D566D1">
      <w:pPr>
        <w:pStyle w:val="BodyText2"/>
        <w:ind w:right="-360"/>
        <w:rPr>
          <w:szCs w:val="24"/>
        </w:rPr>
      </w:pPr>
    </w:p>
    <w:p w:rsidR="001B1D6E" w:rsidRDefault="001B1D6E" w:rsidP="001B1D6E">
      <w:pPr>
        <w:pStyle w:val="BodyText"/>
        <w:numPr>
          <w:ilvl w:val="0"/>
          <w:numId w:val="21"/>
        </w:numPr>
      </w:pPr>
      <w:r w:rsidRPr="001B1D6E">
        <w:t xml:space="preserve">Beginning in May 2013 and until further notice, </w:t>
      </w:r>
      <w:r w:rsidR="00F62FFC">
        <w:t>the school</w:t>
      </w:r>
      <w:r w:rsidR="00F62FFC" w:rsidRPr="001B1D6E">
        <w:t xml:space="preserve"> </w:t>
      </w:r>
      <w:r w:rsidRPr="001B1D6E">
        <w:t xml:space="preserve">must submit to the Department of Elementary and Secondary Education (Department), at </w:t>
      </w:r>
      <w:hyperlink r:id="rId16" w:history="1">
        <w:r w:rsidRPr="001B1D6E">
          <w:rPr>
            <w:rStyle w:val="Hyperlink"/>
            <w:szCs w:val="24"/>
          </w:rPr>
          <w:t>charterschools@doe.mass.edu</w:t>
        </w:r>
      </w:hyperlink>
      <w:r w:rsidRPr="001B1D6E">
        <w:t xml:space="preserve"> or 75 Pleasant St., Malden, MA, 02148, board meeting agendas, materials, and minutes prior to each board meeting at the same time</w:t>
      </w:r>
      <w:r w:rsidR="001872B6">
        <w:t xml:space="preserve"> that</w:t>
      </w:r>
      <w:r w:rsidRPr="001B1D6E">
        <w:t xml:space="preserve"> these items are sent to </w:t>
      </w:r>
      <w:r w:rsidR="00F62FFC">
        <w:t>the school’s</w:t>
      </w:r>
      <w:r w:rsidR="00F62FFC" w:rsidRPr="001B1D6E">
        <w:t xml:space="preserve"> </w:t>
      </w:r>
      <w:r w:rsidRPr="001B1D6E">
        <w:t xml:space="preserve">board members. The Department reserves the right to require the submission of additional information, such as quarterly or monthly financial statements, if board materials do not already include this information, and the </w:t>
      </w:r>
      <w:r w:rsidR="001872B6">
        <w:t>s</w:t>
      </w:r>
      <w:r w:rsidRPr="001B1D6E">
        <w:t>chool must provide such additional information within two business days.</w:t>
      </w:r>
    </w:p>
    <w:p w:rsidR="001A0AC7" w:rsidRPr="001B1D6E" w:rsidRDefault="001A0AC7" w:rsidP="001B1D6E">
      <w:pPr>
        <w:pStyle w:val="BodyText"/>
        <w:numPr>
          <w:ilvl w:val="0"/>
          <w:numId w:val="21"/>
        </w:numPr>
      </w:pPr>
      <w:r>
        <w:t xml:space="preserve">By July 1, 2013, the </w:t>
      </w:r>
      <w:r w:rsidR="001872B6">
        <w:t>s</w:t>
      </w:r>
      <w:r>
        <w:t xml:space="preserve">chool must submit a facilities plan. This plan must align with the growth plan </w:t>
      </w:r>
      <w:r w:rsidR="001872B6">
        <w:t xml:space="preserve">specified in the school’s charter </w:t>
      </w:r>
      <w:r>
        <w:t xml:space="preserve">and must include timelines for leasing, construction, and improvements </w:t>
      </w:r>
      <w:r w:rsidR="001872B6">
        <w:t xml:space="preserve">to </w:t>
      </w:r>
      <w:r>
        <w:t xml:space="preserve">ensure that </w:t>
      </w:r>
      <w:r w:rsidR="007B4358">
        <w:t xml:space="preserve">the school’s facility is </w:t>
      </w:r>
      <w:r>
        <w:t xml:space="preserve">programmatically accessible for the remainder of the charter term. </w:t>
      </w:r>
    </w:p>
    <w:p w:rsidR="001B1D6E" w:rsidRPr="001B1D6E" w:rsidRDefault="001B1D6E" w:rsidP="001B1D6E">
      <w:pPr>
        <w:pStyle w:val="BodyText"/>
        <w:numPr>
          <w:ilvl w:val="0"/>
          <w:numId w:val="21"/>
        </w:numPr>
      </w:pPr>
      <w:r w:rsidRPr="001B1D6E">
        <w:t xml:space="preserve">By August 1, 2013, the school must submit </w:t>
      </w:r>
      <w:r w:rsidR="00F62FFC">
        <w:t>an</w:t>
      </w:r>
      <w:r w:rsidR="00F62FFC" w:rsidRPr="001B1D6E">
        <w:t xml:space="preserve"> </w:t>
      </w:r>
      <w:r w:rsidRPr="001B1D6E">
        <w:t xml:space="preserve">annual report </w:t>
      </w:r>
      <w:r w:rsidR="00F62FFC">
        <w:t xml:space="preserve">for FY13 </w:t>
      </w:r>
      <w:r w:rsidRPr="001B1D6E">
        <w:t xml:space="preserve">in accordance with the requirements outlined in the Annual Report Guidelines, including an </w:t>
      </w:r>
      <w:r>
        <w:t>updated</w:t>
      </w:r>
      <w:r w:rsidRPr="001B1D6E">
        <w:t xml:space="preserve"> </w:t>
      </w:r>
      <w:r w:rsidRPr="001B1D6E">
        <w:lastRenderedPageBreak/>
        <w:t>recruitment and retention plan.</w:t>
      </w:r>
    </w:p>
    <w:p w:rsidR="001B1D6E" w:rsidRPr="001B1D6E" w:rsidRDefault="001B1D6E" w:rsidP="001B1D6E">
      <w:pPr>
        <w:pStyle w:val="BodyText"/>
        <w:numPr>
          <w:ilvl w:val="0"/>
          <w:numId w:val="21"/>
        </w:numPr>
      </w:pPr>
      <w:r w:rsidRPr="001B1D6E">
        <w:t xml:space="preserve">By October 1, 2013, the </w:t>
      </w:r>
      <w:r w:rsidR="00F62FFC">
        <w:t>school’s board of trustees</w:t>
      </w:r>
      <w:r w:rsidRPr="001B1D6E">
        <w:t xml:space="preserve"> will engage in training conducted by an external consultant, accept</w:t>
      </w:r>
      <w:r w:rsidR="00F62FFC">
        <w:t>able to</w:t>
      </w:r>
      <w:r w:rsidRPr="001B1D6E">
        <w:t xml:space="preserve"> and approved in advance by the Department, on the roles and responsibilities of a board of trustees</w:t>
      </w:r>
      <w:r w:rsidR="00F62FFC">
        <w:t xml:space="preserve"> for a charter school</w:t>
      </w:r>
      <w:r w:rsidRPr="001B1D6E">
        <w:t>.</w:t>
      </w:r>
    </w:p>
    <w:p w:rsidR="001B1D6E" w:rsidRPr="00AE05CD" w:rsidRDefault="001B1D6E" w:rsidP="001B1D6E">
      <w:pPr>
        <w:pStyle w:val="BodyText"/>
        <w:numPr>
          <w:ilvl w:val="0"/>
          <w:numId w:val="21"/>
        </w:numPr>
      </w:pPr>
      <w:r w:rsidRPr="00AE05CD">
        <w:t xml:space="preserve">By November 1, 2013, the school must submit </w:t>
      </w:r>
      <w:r w:rsidR="00905A42" w:rsidRPr="00AE05CD">
        <w:t xml:space="preserve">its annual financial audit for FY13 </w:t>
      </w:r>
      <w:r w:rsidRPr="00AE05CD">
        <w:t>in accordance with the requirements outlined in the Massachusetts Charter School Audit Guide (</w:t>
      </w:r>
      <w:hyperlink r:id="rId17" w:tgtFrame="_blank" w:history="1">
        <w:r w:rsidRPr="00AE05CD">
          <w:rPr>
            <w:rStyle w:val="Hyperlink"/>
            <w:szCs w:val="24"/>
          </w:rPr>
          <w:t>http://finance1.doe.mass.edu/charter/charter_audit.html</w:t>
        </w:r>
      </w:hyperlink>
      <w:r w:rsidRPr="00AE05CD">
        <w:t>)</w:t>
      </w:r>
      <w:r w:rsidR="00905A42" w:rsidRPr="00AE05CD">
        <w:t>. Such audit must indicate that the school has resolved all concerns indicated in the findings of prior audits and management letters</w:t>
      </w:r>
      <w:r w:rsidRPr="00AE05CD">
        <w:t>.</w:t>
      </w:r>
    </w:p>
    <w:p w:rsidR="001B1D6E" w:rsidRPr="00AE05CD" w:rsidRDefault="001B1D6E" w:rsidP="001B1D6E">
      <w:pPr>
        <w:pStyle w:val="BodyText"/>
        <w:numPr>
          <w:ilvl w:val="0"/>
          <w:numId w:val="21"/>
        </w:numPr>
      </w:pPr>
      <w:r w:rsidRPr="00AE05CD">
        <w:t xml:space="preserve">By December 31, 2013, the </w:t>
      </w:r>
      <w:r w:rsidR="00F20E7B" w:rsidRPr="00AE05CD">
        <w:t xml:space="preserve">school’s </w:t>
      </w:r>
      <w:r w:rsidRPr="00AE05CD">
        <w:t xml:space="preserve">board of trustees </w:t>
      </w:r>
      <w:r w:rsidR="00F20E7B" w:rsidRPr="00AE05CD">
        <w:rPr>
          <w:sz w:val="23"/>
          <w:szCs w:val="23"/>
        </w:rPr>
        <w:t>must have completed</w:t>
      </w:r>
      <w:r w:rsidR="004E15F6" w:rsidRPr="00AE05CD">
        <w:rPr>
          <w:sz w:val="23"/>
          <w:szCs w:val="23"/>
        </w:rPr>
        <w:t xml:space="preserve"> a comprehensive self-evaluation of its own capacity and </w:t>
      </w:r>
      <w:r w:rsidRPr="00AE05CD">
        <w:t xml:space="preserve">must have recruited additional board members </w:t>
      </w:r>
      <w:r w:rsidR="00F20E7B" w:rsidRPr="00AE05CD">
        <w:t xml:space="preserve">with needed expertise. Such new members must have been approved by the Department and be sufficient to meet the minimum number of members (seven) </w:t>
      </w:r>
      <w:r w:rsidRPr="00AE05CD">
        <w:t xml:space="preserve">specified in the </w:t>
      </w:r>
      <w:r w:rsidR="00F20E7B" w:rsidRPr="00AE05CD">
        <w:t>school’s</w:t>
      </w:r>
      <w:r w:rsidRPr="00AE05CD">
        <w:t xml:space="preserve"> bylaws.</w:t>
      </w:r>
    </w:p>
    <w:p w:rsidR="001B1D6E" w:rsidRPr="001B1D6E" w:rsidRDefault="001B1D6E" w:rsidP="001B1D6E">
      <w:pPr>
        <w:pStyle w:val="BodyText"/>
        <w:numPr>
          <w:ilvl w:val="0"/>
          <w:numId w:val="21"/>
        </w:numPr>
      </w:pPr>
      <w:r w:rsidRPr="001B1D6E">
        <w:t xml:space="preserve">By December 31, 2013, </w:t>
      </w:r>
      <w:r w:rsidR="005F0E6B">
        <w:t>the school’s</w:t>
      </w:r>
      <w:r w:rsidRPr="001B1D6E">
        <w:t xml:space="preserve"> board of trustees must </w:t>
      </w:r>
      <w:r>
        <w:t>develop and implement a formal</w:t>
      </w:r>
      <w:r w:rsidRPr="001B1D6E">
        <w:t xml:space="preserve"> system of evaluation for the executive director.</w:t>
      </w:r>
    </w:p>
    <w:p w:rsidR="001B1D6E" w:rsidRPr="001B1D6E" w:rsidRDefault="001B1D6E" w:rsidP="001B1D6E">
      <w:pPr>
        <w:pStyle w:val="BodyText"/>
        <w:numPr>
          <w:ilvl w:val="0"/>
          <w:numId w:val="21"/>
        </w:numPr>
      </w:pPr>
      <w:r w:rsidRPr="001B1D6E">
        <w:t xml:space="preserve">By December 31, 2013, </w:t>
      </w:r>
      <w:r w:rsidR="005F0E6B">
        <w:t>the school</w:t>
      </w:r>
      <w:r w:rsidR="005F0E6B" w:rsidRPr="001B1D6E">
        <w:t xml:space="preserve"> </w:t>
      </w:r>
      <w:r w:rsidR="00DB3571">
        <w:t>must</w:t>
      </w:r>
      <w:r w:rsidR="00DB3571" w:rsidRPr="001B1D6E">
        <w:t xml:space="preserve"> </w:t>
      </w:r>
      <w:r w:rsidRPr="001B1D6E">
        <w:t xml:space="preserve">provide </w:t>
      </w:r>
      <w:r w:rsidR="00DB3571">
        <w:t xml:space="preserve">documented </w:t>
      </w:r>
      <w:r w:rsidRPr="001B1D6E">
        <w:t xml:space="preserve">evidence, </w:t>
      </w:r>
      <w:r w:rsidR="00DB3571">
        <w:t>corroborated through site visits</w:t>
      </w:r>
      <w:r w:rsidRPr="001B1D6E">
        <w:t>, of consistent implementation of the key elements of its educational program in alignment with its charter</w:t>
      </w:r>
      <w:r w:rsidR="00DB3571">
        <w:t>.</w:t>
      </w:r>
      <w:r w:rsidRPr="001B1D6E">
        <w:t xml:space="preserve"> </w:t>
      </w:r>
      <w:r w:rsidR="00DB3571">
        <w:t xml:space="preserve">Alternatively, the school’s board of trustees must request and receive approval for </w:t>
      </w:r>
      <w:r w:rsidRPr="001B1D6E">
        <w:t xml:space="preserve">an amendment to its charter </w:t>
      </w:r>
      <w:r w:rsidR="00DB3571">
        <w:t>that</w:t>
      </w:r>
      <w:r w:rsidR="00DB3571" w:rsidRPr="001B1D6E">
        <w:t xml:space="preserve"> </w:t>
      </w:r>
      <w:r w:rsidRPr="001B1D6E">
        <w:t>accurately reflect</w:t>
      </w:r>
      <w:r w:rsidR="00DB3571">
        <w:t>s</w:t>
      </w:r>
      <w:r w:rsidRPr="001B1D6E">
        <w:t xml:space="preserve"> the school’s educational program. </w:t>
      </w:r>
    </w:p>
    <w:p w:rsidR="001B1D6E" w:rsidRPr="001B1D6E" w:rsidRDefault="001B1D6E" w:rsidP="001B1D6E">
      <w:pPr>
        <w:pStyle w:val="BodyText"/>
        <w:numPr>
          <w:ilvl w:val="0"/>
          <w:numId w:val="21"/>
        </w:numPr>
      </w:pPr>
      <w:r w:rsidRPr="001B1D6E">
        <w:t xml:space="preserve">By December 31, 2014, </w:t>
      </w:r>
      <w:r w:rsidR="00DA6992">
        <w:t>the school</w:t>
      </w:r>
      <w:r w:rsidR="00DA6992" w:rsidRPr="001B1D6E">
        <w:t xml:space="preserve"> </w:t>
      </w:r>
      <w:r w:rsidRPr="001B1D6E">
        <w:t xml:space="preserve">must demonstrate that it is an academic success </w:t>
      </w:r>
      <w:r w:rsidR="00431A02">
        <w:t xml:space="preserve">by providing </w:t>
      </w:r>
      <w:r w:rsidR="00DA6992">
        <w:t xml:space="preserve">affirmative </w:t>
      </w:r>
      <w:r w:rsidRPr="001B1D6E">
        <w:t xml:space="preserve">evidence </w:t>
      </w:r>
      <w:r w:rsidR="00DA6992">
        <w:t xml:space="preserve">of </w:t>
      </w:r>
      <w:r w:rsidRPr="001B1D6E">
        <w:t xml:space="preserve">significant improvement in </w:t>
      </w:r>
      <w:r w:rsidR="00DA6992">
        <w:t xml:space="preserve">academic performance in </w:t>
      </w:r>
      <w:r w:rsidRPr="001B1D6E">
        <w:t>English language arts, mathematics, and science.</w:t>
      </w:r>
    </w:p>
    <w:p w:rsidR="00D566D1" w:rsidRPr="00971004" w:rsidRDefault="00D566D1" w:rsidP="00D566D1">
      <w:pPr>
        <w:pStyle w:val="BodyText2"/>
        <w:ind w:right="-360"/>
        <w:rPr>
          <w:szCs w:val="24"/>
        </w:rPr>
      </w:pPr>
    </w:p>
    <w:p w:rsidR="00D566D1" w:rsidRPr="00971004" w:rsidRDefault="00D566D1" w:rsidP="00D566D1">
      <w:pPr>
        <w:pStyle w:val="BodyText2"/>
        <w:ind w:right="-360"/>
        <w:rPr>
          <w:szCs w:val="24"/>
        </w:rPr>
      </w:pPr>
      <w:r w:rsidRPr="00971004">
        <w:rPr>
          <w:szCs w:val="24"/>
        </w:rPr>
        <w:t xml:space="preserve">Based on the success—or lack thereof—of </w:t>
      </w:r>
      <w:r w:rsidR="00A026E8">
        <w:rPr>
          <w:szCs w:val="24"/>
        </w:rPr>
        <w:t>SOKCS</w:t>
      </w:r>
      <w:r w:rsidRPr="00971004">
        <w:rPr>
          <w:szCs w:val="24"/>
        </w:rPr>
        <w:t xml:space="preserve"> in meeting the conditions imposed in connection with its probation and in alleviating the causes of its probation, I will recommend further action as appropriate. The Department will continue to monitor developments at the school</w:t>
      </w:r>
      <w:r w:rsidR="00CC36FF">
        <w:rPr>
          <w:szCs w:val="24"/>
        </w:rPr>
        <w:t xml:space="preserve"> and</w:t>
      </w:r>
      <w:r w:rsidRPr="00971004">
        <w:rPr>
          <w:szCs w:val="24"/>
        </w:rPr>
        <w:t xml:space="preserve"> </w:t>
      </w:r>
      <w:r w:rsidR="00CC36FF">
        <w:rPr>
          <w:szCs w:val="24"/>
        </w:rPr>
        <w:t xml:space="preserve">conduct </w:t>
      </w:r>
      <w:r w:rsidRPr="00971004">
        <w:rPr>
          <w:szCs w:val="24"/>
        </w:rPr>
        <w:t xml:space="preserve">site visits. In addition to meeting the terms of its probation, </w:t>
      </w:r>
      <w:r w:rsidR="00A026E8">
        <w:rPr>
          <w:szCs w:val="24"/>
        </w:rPr>
        <w:t>SOKCS</w:t>
      </w:r>
      <w:r w:rsidRPr="00971004">
        <w:rPr>
          <w:szCs w:val="24"/>
        </w:rPr>
        <w:t xml:space="preserve">, like all charter schools, must also comply with the terms </w:t>
      </w:r>
      <w:r w:rsidR="00A026E8">
        <w:rPr>
          <w:szCs w:val="24"/>
        </w:rPr>
        <w:t>of its charter. I will provide</w:t>
      </w:r>
      <w:r w:rsidRPr="00971004">
        <w:rPr>
          <w:szCs w:val="24"/>
        </w:rPr>
        <w:t xml:space="preserve"> </w:t>
      </w:r>
      <w:r w:rsidR="00CC36FF">
        <w:rPr>
          <w:szCs w:val="24"/>
        </w:rPr>
        <w:t xml:space="preserve">the Board </w:t>
      </w:r>
      <w:r w:rsidRPr="00971004">
        <w:rPr>
          <w:szCs w:val="24"/>
        </w:rPr>
        <w:t>report</w:t>
      </w:r>
      <w:r w:rsidR="00A026E8">
        <w:rPr>
          <w:szCs w:val="24"/>
        </w:rPr>
        <w:t xml:space="preserve">s on the school’s progress in </w:t>
      </w:r>
      <w:r w:rsidR="00CC36FF">
        <w:rPr>
          <w:szCs w:val="24"/>
        </w:rPr>
        <w:t>meeting</w:t>
      </w:r>
      <w:r w:rsidR="00A026E8">
        <w:rPr>
          <w:szCs w:val="24"/>
        </w:rPr>
        <w:t xml:space="preserve"> the conditions</w:t>
      </w:r>
      <w:r w:rsidRPr="00971004">
        <w:rPr>
          <w:szCs w:val="24"/>
        </w:rPr>
        <w:t xml:space="preserve"> </w:t>
      </w:r>
      <w:r w:rsidR="00CC36FF">
        <w:rPr>
          <w:szCs w:val="24"/>
        </w:rPr>
        <w:t>imposed on its charter</w:t>
      </w:r>
      <w:r w:rsidRPr="00971004">
        <w:rPr>
          <w:szCs w:val="24"/>
        </w:rPr>
        <w:t>.</w:t>
      </w:r>
    </w:p>
    <w:p w:rsidR="00D731A8" w:rsidRPr="00971004" w:rsidRDefault="00D731A8" w:rsidP="00FA10BA">
      <w:pPr>
        <w:rPr>
          <w:szCs w:val="24"/>
        </w:rPr>
      </w:pPr>
    </w:p>
    <w:p w:rsidR="008D4770" w:rsidRPr="00971004" w:rsidRDefault="008D4770" w:rsidP="008D4770">
      <w:pPr>
        <w:jc w:val="center"/>
        <w:rPr>
          <w:szCs w:val="24"/>
        </w:rPr>
      </w:pPr>
      <w:r w:rsidRPr="00971004">
        <w:rPr>
          <w:szCs w:val="24"/>
        </w:rPr>
        <w:t>**********************</w:t>
      </w:r>
    </w:p>
    <w:p w:rsidR="008D4770" w:rsidRPr="00971004" w:rsidRDefault="008D4770" w:rsidP="008D4770">
      <w:pPr>
        <w:rPr>
          <w:b/>
          <w:szCs w:val="24"/>
        </w:rPr>
      </w:pPr>
    </w:p>
    <w:p w:rsidR="005502B6" w:rsidRPr="00971004" w:rsidRDefault="005502B6" w:rsidP="005502B6">
      <w:pPr>
        <w:rPr>
          <w:color w:val="000000"/>
          <w:szCs w:val="24"/>
        </w:rPr>
      </w:pPr>
      <w:r w:rsidRPr="00971004">
        <w:rPr>
          <w:color w:val="000000"/>
          <w:szCs w:val="24"/>
        </w:rPr>
        <w:t>If you have any questions regarding this recommendation or require additional information, please contact Cliff Chuang, Associate Commissioner (781-338-3222); Jeff Wulfson, Deputy Commissioner (781-338-6500); or me.</w:t>
      </w:r>
    </w:p>
    <w:p w:rsidR="005C1DAA" w:rsidRDefault="005C1DAA" w:rsidP="003A5491">
      <w:pPr>
        <w:jc w:val="center"/>
        <w:rPr>
          <w:szCs w:val="24"/>
        </w:rPr>
      </w:pPr>
    </w:p>
    <w:p w:rsidR="005C1DAA" w:rsidRDefault="005C1DAA" w:rsidP="003A5491">
      <w:pPr>
        <w:jc w:val="center"/>
        <w:rPr>
          <w:szCs w:val="24"/>
        </w:rPr>
      </w:pPr>
    </w:p>
    <w:p w:rsidR="005C1DAA" w:rsidRDefault="005C1DAA" w:rsidP="003A5491">
      <w:pPr>
        <w:jc w:val="center"/>
        <w:rPr>
          <w:szCs w:val="24"/>
        </w:rPr>
      </w:pPr>
    </w:p>
    <w:p w:rsidR="00CE1DDF" w:rsidRDefault="00650297" w:rsidP="00AF61EC">
      <w:pPr>
        <w:rPr>
          <w:szCs w:val="24"/>
        </w:rPr>
      </w:pPr>
      <w:r w:rsidRPr="00971004">
        <w:rPr>
          <w:szCs w:val="24"/>
        </w:rPr>
        <w:t>Attachment</w:t>
      </w:r>
      <w:r w:rsidR="009E06E8" w:rsidRPr="00971004">
        <w:rPr>
          <w:szCs w:val="24"/>
        </w:rPr>
        <w:t xml:space="preserve">: </w:t>
      </w:r>
      <w:r w:rsidR="00824E70">
        <w:rPr>
          <w:szCs w:val="24"/>
        </w:rPr>
        <w:tab/>
      </w:r>
      <w:r w:rsidR="00AF06CC" w:rsidRPr="00971004">
        <w:rPr>
          <w:szCs w:val="24"/>
        </w:rPr>
        <w:t>Motion</w:t>
      </w:r>
      <w:r w:rsidR="00CE1DDF" w:rsidRPr="00971004">
        <w:rPr>
          <w:szCs w:val="24"/>
        </w:rPr>
        <w:tab/>
        <w:t xml:space="preserve">         </w:t>
      </w:r>
    </w:p>
    <w:p w:rsidR="00824E70" w:rsidRPr="00971004" w:rsidRDefault="00824E70" w:rsidP="00AF61EC">
      <w:pPr>
        <w:rPr>
          <w:szCs w:val="24"/>
        </w:rPr>
      </w:pPr>
      <w:r>
        <w:rPr>
          <w:szCs w:val="24"/>
        </w:rPr>
        <w:tab/>
      </w:r>
      <w:r>
        <w:rPr>
          <w:szCs w:val="24"/>
        </w:rPr>
        <w:tab/>
      </w:r>
      <w:r>
        <w:t>2012 Year Three Site Visit Report</w:t>
      </w:r>
    </w:p>
    <w:sectPr w:rsidR="00824E70" w:rsidRPr="00971004" w:rsidSect="005C1DAA">
      <w:endnotePr>
        <w:numFmt w:val="decimal"/>
      </w:endnotePr>
      <w:type w:val="continuous"/>
      <w:pgSz w:w="12240" w:h="15840" w:code="1"/>
      <w:pgMar w:top="1440" w:right="1440" w:bottom="1440" w:left="1440" w:header="144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18" w:rsidRDefault="00985618">
      <w:r>
        <w:separator/>
      </w:r>
    </w:p>
  </w:endnote>
  <w:endnote w:type="continuationSeparator" w:id="0">
    <w:p w:rsidR="00985618" w:rsidRDefault="0098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81" w:rsidRDefault="005449F3" w:rsidP="00642033">
    <w:pPr>
      <w:pStyle w:val="Footer"/>
      <w:framePr w:wrap="around" w:vAnchor="text" w:hAnchor="margin" w:xAlign="center" w:y="1"/>
      <w:rPr>
        <w:rStyle w:val="PageNumber"/>
      </w:rPr>
    </w:pPr>
    <w:r>
      <w:rPr>
        <w:rStyle w:val="PageNumber"/>
      </w:rPr>
      <w:fldChar w:fldCharType="begin"/>
    </w:r>
    <w:r w:rsidR="00037081">
      <w:rPr>
        <w:rStyle w:val="PageNumber"/>
      </w:rPr>
      <w:instrText xml:space="preserve">PAGE  </w:instrText>
    </w:r>
    <w:r>
      <w:rPr>
        <w:rStyle w:val="PageNumber"/>
      </w:rPr>
      <w:fldChar w:fldCharType="end"/>
    </w:r>
  </w:p>
  <w:p w:rsidR="00037081" w:rsidRDefault="00037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81" w:rsidRDefault="00DB0B0C">
    <w:pPr>
      <w:pStyle w:val="Footer"/>
      <w:jc w:val="right"/>
    </w:pPr>
    <w:r>
      <w:fldChar w:fldCharType="begin"/>
    </w:r>
    <w:r>
      <w:instrText xml:space="preserve"> PAGE   \* MERGEFORMAT </w:instrText>
    </w:r>
    <w:r>
      <w:fldChar w:fldCharType="separate"/>
    </w:r>
    <w:r>
      <w:rPr>
        <w:noProof/>
      </w:rPr>
      <w:t>2</w:t>
    </w:r>
    <w:r>
      <w:rPr>
        <w:noProof/>
      </w:rPr>
      <w:fldChar w:fldCharType="end"/>
    </w:r>
  </w:p>
  <w:p w:rsidR="00037081" w:rsidRDefault="00037081" w:rsidP="00E22E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81" w:rsidRDefault="00DB0B0C">
    <w:pPr>
      <w:pStyle w:val="Footer"/>
      <w:jc w:val="right"/>
    </w:pPr>
    <w:r>
      <w:fldChar w:fldCharType="begin"/>
    </w:r>
    <w:r>
      <w:instrText xml:space="preserve"> PAGE   \* MERGEFORMAT </w:instrText>
    </w:r>
    <w:r>
      <w:fldChar w:fldCharType="separate"/>
    </w:r>
    <w:r>
      <w:rPr>
        <w:noProof/>
      </w:rPr>
      <w:t>1</w:t>
    </w:r>
    <w:r>
      <w:rPr>
        <w:noProof/>
      </w:rPr>
      <w:fldChar w:fldCharType="end"/>
    </w:r>
  </w:p>
  <w:p w:rsidR="00037081" w:rsidRDefault="0003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18" w:rsidRDefault="00985618">
      <w:r>
        <w:separator/>
      </w:r>
    </w:p>
  </w:footnote>
  <w:footnote w:type="continuationSeparator" w:id="0">
    <w:p w:rsidR="00985618" w:rsidRDefault="00985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E51539"/>
    <w:multiLevelType w:val="hybridMultilevel"/>
    <w:tmpl w:val="29ACFCBE"/>
    <w:lvl w:ilvl="0" w:tplc="0409000F">
      <w:start w:val="1"/>
      <w:numFmt w:val="decimal"/>
      <w:lvlText w:val="%1."/>
      <w:lvlJc w:val="left"/>
      <w:pPr>
        <w:tabs>
          <w:tab w:val="num" w:pos="900"/>
        </w:tabs>
        <w:ind w:left="900" w:hanging="360"/>
      </w:pPr>
    </w:lvl>
    <w:lvl w:ilvl="1" w:tplc="C03C6088">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934422"/>
    <w:multiLevelType w:val="hybridMultilevel"/>
    <w:tmpl w:val="CAA0D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A32553"/>
    <w:multiLevelType w:val="hybridMultilevel"/>
    <w:tmpl w:val="1A2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F76551"/>
    <w:multiLevelType w:val="hybridMultilevel"/>
    <w:tmpl w:val="291807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13F8F"/>
    <w:multiLevelType w:val="hybridMultilevel"/>
    <w:tmpl w:val="15F4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1E2D64"/>
    <w:multiLevelType w:val="hybridMultilevel"/>
    <w:tmpl w:val="1438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76EA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B8F5588"/>
    <w:multiLevelType w:val="hybridMultilevel"/>
    <w:tmpl w:val="5B4A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75ED8"/>
    <w:multiLevelType w:val="hybridMultilevel"/>
    <w:tmpl w:val="8066653E"/>
    <w:lvl w:ilvl="0" w:tplc="C03C6088">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
  </w:num>
  <w:num w:numId="9">
    <w:abstractNumId w:val="2"/>
  </w:num>
  <w:num w:numId="10">
    <w:abstractNumId w:val="13"/>
  </w:num>
  <w:num w:numId="11">
    <w:abstractNumId w:val="5"/>
  </w:num>
  <w:num w:numId="12">
    <w:abstractNumId w:val="0"/>
  </w:num>
  <w:num w:numId="13">
    <w:abstractNumId w:val="15"/>
  </w:num>
  <w:num w:numId="14">
    <w:abstractNumId w:val="17"/>
  </w:num>
  <w:num w:numId="15">
    <w:abstractNumId w:val="16"/>
  </w:num>
  <w:num w:numId="16">
    <w:abstractNumId w:val="7"/>
  </w:num>
  <w:num w:numId="17">
    <w:abstractNumId w:val="6"/>
  </w:num>
  <w:num w:numId="18">
    <w:abstractNumId w:val="14"/>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109B3"/>
    <w:rsid w:val="000117A5"/>
    <w:rsid w:val="000172D2"/>
    <w:rsid w:val="00022C2E"/>
    <w:rsid w:val="00025292"/>
    <w:rsid w:val="00026265"/>
    <w:rsid w:val="00034AA2"/>
    <w:rsid w:val="00036D9F"/>
    <w:rsid w:val="00037081"/>
    <w:rsid w:val="00044187"/>
    <w:rsid w:val="00046EC2"/>
    <w:rsid w:val="0005003F"/>
    <w:rsid w:val="00057CA4"/>
    <w:rsid w:val="00062CE5"/>
    <w:rsid w:val="00066865"/>
    <w:rsid w:val="00097C64"/>
    <w:rsid w:val="000B012D"/>
    <w:rsid w:val="000B5649"/>
    <w:rsid w:val="000C51D7"/>
    <w:rsid w:val="000D6FDB"/>
    <w:rsid w:val="000E56C0"/>
    <w:rsid w:val="000F2A4F"/>
    <w:rsid w:val="001047AC"/>
    <w:rsid w:val="00106E54"/>
    <w:rsid w:val="00112014"/>
    <w:rsid w:val="00137C7B"/>
    <w:rsid w:val="001500D7"/>
    <w:rsid w:val="00152085"/>
    <w:rsid w:val="001872B6"/>
    <w:rsid w:val="00190979"/>
    <w:rsid w:val="001A0AC7"/>
    <w:rsid w:val="001B0B1F"/>
    <w:rsid w:val="001B1D6E"/>
    <w:rsid w:val="001C2FAD"/>
    <w:rsid w:val="001C3E92"/>
    <w:rsid w:val="001D0357"/>
    <w:rsid w:val="001D1B9A"/>
    <w:rsid w:val="001D2248"/>
    <w:rsid w:val="001D4D6A"/>
    <w:rsid w:val="001D6DE9"/>
    <w:rsid w:val="001E2A5C"/>
    <w:rsid w:val="001F2165"/>
    <w:rsid w:val="001F38D3"/>
    <w:rsid w:val="00201172"/>
    <w:rsid w:val="00202D2C"/>
    <w:rsid w:val="00212B59"/>
    <w:rsid w:val="00223056"/>
    <w:rsid w:val="0022510C"/>
    <w:rsid w:val="00264F5B"/>
    <w:rsid w:val="0026691C"/>
    <w:rsid w:val="002822B2"/>
    <w:rsid w:val="00283057"/>
    <w:rsid w:val="00283089"/>
    <w:rsid w:val="002830E5"/>
    <w:rsid w:val="002902C1"/>
    <w:rsid w:val="002A1790"/>
    <w:rsid w:val="002A3E22"/>
    <w:rsid w:val="002B4B10"/>
    <w:rsid w:val="002C0CF9"/>
    <w:rsid w:val="002C3AAE"/>
    <w:rsid w:val="002D7155"/>
    <w:rsid w:val="002E143F"/>
    <w:rsid w:val="002F5424"/>
    <w:rsid w:val="002F60B8"/>
    <w:rsid w:val="003029E1"/>
    <w:rsid w:val="00311719"/>
    <w:rsid w:val="00320B0F"/>
    <w:rsid w:val="0035690A"/>
    <w:rsid w:val="0036085C"/>
    <w:rsid w:val="00381544"/>
    <w:rsid w:val="00384899"/>
    <w:rsid w:val="003867D2"/>
    <w:rsid w:val="003907BC"/>
    <w:rsid w:val="003953C8"/>
    <w:rsid w:val="003A34EF"/>
    <w:rsid w:val="003A5491"/>
    <w:rsid w:val="003B467D"/>
    <w:rsid w:val="003B4729"/>
    <w:rsid w:val="003B4EE8"/>
    <w:rsid w:val="003B6870"/>
    <w:rsid w:val="003C2508"/>
    <w:rsid w:val="003C5C2B"/>
    <w:rsid w:val="003D5715"/>
    <w:rsid w:val="003D7E50"/>
    <w:rsid w:val="003E4DA2"/>
    <w:rsid w:val="003F0099"/>
    <w:rsid w:val="003F6BB4"/>
    <w:rsid w:val="00407378"/>
    <w:rsid w:val="00411BE0"/>
    <w:rsid w:val="004151E5"/>
    <w:rsid w:val="004152D1"/>
    <w:rsid w:val="004166FF"/>
    <w:rsid w:val="00417379"/>
    <w:rsid w:val="00417B03"/>
    <w:rsid w:val="00426D4F"/>
    <w:rsid w:val="00431956"/>
    <w:rsid w:val="00431A02"/>
    <w:rsid w:val="004326CB"/>
    <w:rsid w:val="0043332E"/>
    <w:rsid w:val="00434D95"/>
    <w:rsid w:val="00441BE9"/>
    <w:rsid w:val="00444F42"/>
    <w:rsid w:val="00467B1F"/>
    <w:rsid w:val="0048704B"/>
    <w:rsid w:val="00492A1B"/>
    <w:rsid w:val="00495C52"/>
    <w:rsid w:val="004A19CB"/>
    <w:rsid w:val="004A266C"/>
    <w:rsid w:val="004A48B5"/>
    <w:rsid w:val="004A5FAF"/>
    <w:rsid w:val="004B3253"/>
    <w:rsid w:val="004B7DBC"/>
    <w:rsid w:val="004C304D"/>
    <w:rsid w:val="004D0F60"/>
    <w:rsid w:val="004D6EB7"/>
    <w:rsid w:val="004E15F6"/>
    <w:rsid w:val="004F0CAE"/>
    <w:rsid w:val="004F3AE9"/>
    <w:rsid w:val="004F5115"/>
    <w:rsid w:val="004F718D"/>
    <w:rsid w:val="00502116"/>
    <w:rsid w:val="00503DC1"/>
    <w:rsid w:val="00504ADA"/>
    <w:rsid w:val="00506AD0"/>
    <w:rsid w:val="00513448"/>
    <w:rsid w:val="00525A0B"/>
    <w:rsid w:val="005377FF"/>
    <w:rsid w:val="00540D28"/>
    <w:rsid w:val="005430E2"/>
    <w:rsid w:val="005449F3"/>
    <w:rsid w:val="00544EBB"/>
    <w:rsid w:val="0054732D"/>
    <w:rsid w:val="005502B6"/>
    <w:rsid w:val="00551F34"/>
    <w:rsid w:val="00562C6C"/>
    <w:rsid w:val="005642E0"/>
    <w:rsid w:val="00571666"/>
    <w:rsid w:val="00572925"/>
    <w:rsid w:val="00594F1D"/>
    <w:rsid w:val="005B4FC9"/>
    <w:rsid w:val="005C1D44"/>
    <w:rsid w:val="005C1DAA"/>
    <w:rsid w:val="005D2482"/>
    <w:rsid w:val="005E2317"/>
    <w:rsid w:val="005E3535"/>
    <w:rsid w:val="005F0E6B"/>
    <w:rsid w:val="005F376F"/>
    <w:rsid w:val="005F4B93"/>
    <w:rsid w:val="005F73F1"/>
    <w:rsid w:val="00600522"/>
    <w:rsid w:val="006009DB"/>
    <w:rsid w:val="00613493"/>
    <w:rsid w:val="006212B4"/>
    <w:rsid w:val="00625460"/>
    <w:rsid w:val="00632672"/>
    <w:rsid w:val="00635070"/>
    <w:rsid w:val="00642033"/>
    <w:rsid w:val="00642B5C"/>
    <w:rsid w:val="006475D3"/>
    <w:rsid w:val="00650297"/>
    <w:rsid w:val="006505AC"/>
    <w:rsid w:val="00662AD0"/>
    <w:rsid w:val="00663337"/>
    <w:rsid w:val="006726DC"/>
    <w:rsid w:val="00673EFD"/>
    <w:rsid w:val="006766AB"/>
    <w:rsid w:val="006A6AA9"/>
    <w:rsid w:val="006B0033"/>
    <w:rsid w:val="006C11C0"/>
    <w:rsid w:val="006C120F"/>
    <w:rsid w:val="006C3699"/>
    <w:rsid w:val="006C5C7A"/>
    <w:rsid w:val="006E0120"/>
    <w:rsid w:val="006E16C3"/>
    <w:rsid w:val="006E24D8"/>
    <w:rsid w:val="006F0AD3"/>
    <w:rsid w:val="006F17B7"/>
    <w:rsid w:val="006F7D25"/>
    <w:rsid w:val="00700360"/>
    <w:rsid w:val="00721372"/>
    <w:rsid w:val="00727A99"/>
    <w:rsid w:val="00730851"/>
    <w:rsid w:val="00747D93"/>
    <w:rsid w:val="00752FBD"/>
    <w:rsid w:val="00760EC2"/>
    <w:rsid w:val="0076129E"/>
    <w:rsid w:val="00761FD8"/>
    <w:rsid w:val="00762293"/>
    <w:rsid w:val="00764107"/>
    <w:rsid w:val="00767395"/>
    <w:rsid w:val="007732FB"/>
    <w:rsid w:val="00777FC1"/>
    <w:rsid w:val="00781047"/>
    <w:rsid w:val="00794A90"/>
    <w:rsid w:val="00795A8E"/>
    <w:rsid w:val="007A670E"/>
    <w:rsid w:val="007B4358"/>
    <w:rsid w:val="007C2E05"/>
    <w:rsid w:val="007C3797"/>
    <w:rsid w:val="007D111D"/>
    <w:rsid w:val="007F7813"/>
    <w:rsid w:val="00801461"/>
    <w:rsid w:val="00802E9C"/>
    <w:rsid w:val="00817131"/>
    <w:rsid w:val="008227E9"/>
    <w:rsid w:val="00824E70"/>
    <w:rsid w:val="0082597A"/>
    <w:rsid w:val="00827C72"/>
    <w:rsid w:val="0083168A"/>
    <w:rsid w:val="008449D1"/>
    <w:rsid w:val="00872C10"/>
    <w:rsid w:val="00872C54"/>
    <w:rsid w:val="008736EC"/>
    <w:rsid w:val="00890B41"/>
    <w:rsid w:val="00893DAC"/>
    <w:rsid w:val="00896125"/>
    <w:rsid w:val="008C0697"/>
    <w:rsid w:val="008C125E"/>
    <w:rsid w:val="008C2410"/>
    <w:rsid w:val="008C2910"/>
    <w:rsid w:val="008D1342"/>
    <w:rsid w:val="008D1B35"/>
    <w:rsid w:val="008D3FAB"/>
    <w:rsid w:val="008D4770"/>
    <w:rsid w:val="008E1A9D"/>
    <w:rsid w:val="008E737D"/>
    <w:rsid w:val="009031D2"/>
    <w:rsid w:val="00905A42"/>
    <w:rsid w:val="0091580C"/>
    <w:rsid w:val="00920502"/>
    <w:rsid w:val="00920F1D"/>
    <w:rsid w:val="009262A2"/>
    <w:rsid w:val="0095532F"/>
    <w:rsid w:val="0095579B"/>
    <w:rsid w:val="009566B4"/>
    <w:rsid w:val="009566BE"/>
    <w:rsid w:val="00962391"/>
    <w:rsid w:val="00965AA0"/>
    <w:rsid w:val="00965CB0"/>
    <w:rsid w:val="00971004"/>
    <w:rsid w:val="0097742A"/>
    <w:rsid w:val="00985618"/>
    <w:rsid w:val="009929DA"/>
    <w:rsid w:val="0099642D"/>
    <w:rsid w:val="009C0828"/>
    <w:rsid w:val="009D04BA"/>
    <w:rsid w:val="009E06E8"/>
    <w:rsid w:val="009E5D67"/>
    <w:rsid w:val="009E781A"/>
    <w:rsid w:val="00A026E8"/>
    <w:rsid w:val="00A03710"/>
    <w:rsid w:val="00A14FE3"/>
    <w:rsid w:val="00A16B84"/>
    <w:rsid w:val="00A20194"/>
    <w:rsid w:val="00A21415"/>
    <w:rsid w:val="00A3079F"/>
    <w:rsid w:val="00A34D2E"/>
    <w:rsid w:val="00A378B1"/>
    <w:rsid w:val="00A4098E"/>
    <w:rsid w:val="00A5326B"/>
    <w:rsid w:val="00A5378F"/>
    <w:rsid w:val="00A5627B"/>
    <w:rsid w:val="00A644CD"/>
    <w:rsid w:val="00A7681B"/>
    <w:rsid w:val="00A81308"/>
    <w:rsid w:val="00A820B3"/>
    <w:rsid w:val="00A8246C"/>
    <w:rsid w:val="00A82763"/>
    <w:rsid w:val="00A82F08"/>
    <w:rsid w:val="00A93DF7"/>
    <w:rsid w:val="00AA5B38"/>
    <w:rsid w:val="00AB2C98"/>
    <w:rsid w:val="00AB4092"/>
    <w:rsid w:val="00AB42FC"/>
    <w:rsid w:val="00AC1E06"/>
    <w:rsid w:val="00AD0F7C"/>
    <w:rsid w:val="00AE05CD"/>
    <w:rsid w:val="00AF06CC"/>
    <w:rsid w:val="00AF07E6"/>
    <w:rsid w:val="00AF61EC"/>
    <w:rsid w:val="00B060CA"/>
    <w:rsid w:val="00B15E7C"/>
    <w:rsid w:val="00B2162E"/>
    <w:rsid w:val="00B25366"/>
    <w:rsid w:val="00B25654"/>
    <w:rsid w:val="00B32166"/>
    <w:rsid w:val="00B34968"/>
    <w:rsid w:val="00B35E06"/>
    <w:rsid w:val="00B3675E"/>
    <w:rsid w:val="00B40922"/>
    <w:rsid w:val="00B519AF"/>
    <w:rsid w:val="00B61B48"/>
    <w:rsid w:val="00B66964"/>
    <w:rsid w:val="00B70385"/>
    <w:rsid w:val="00B840F0"/>
    <w:rsid w:val="00B97E76"/>
    <w:rsid w:val="00BA63CF"/>
    <w:rsid w:val="00BA658F"/>
    <w:rsid w:val="00BA7CFA"/>
    <w:rsid w:val="00BB3B42"/>
    <w:rsid w:val="00BF2FAF"/>
    <w:rsid w:val="00BF63D0"/>
    <w:rsid w:val="00C04DB8"/>
    <w:rsid w:val="00C153A0"/>
    <w:rsid w:val="00C30543"/>
    <w:rsid w:val="00C3364E"/>
    <w:rsid w:val="00C34115"/>
    <w:rsid w:val="00C5597C"/>
    <w:rsid w:val="00C6000B"/>
    <w:rsid w:val="00C92584"/>
    <w:rsid w:val="00C95C4D"/>
    <w:rsid w:val="00C974A6"/>
    <w:rsid w:val="00CA5916"/>
    <w:rsid w:val="00CB5410"/>
    <w:rsid w:val="00CC36FF"/>
    <w:rsid w:val="00CD201E"/>
    <w:rsid w:val="00CD2E30"/>
    <w:rsid w:val="00CD43E9"/>
    <w:rsid w:val="00CE1DDF"/>
    <w:rsid w:val="00CE1FCB"/>
    <w:rsid w:val="00CF1991"/>
    <w:rsid w:val="00CF6915"/>
    <w:rsid w:val="00D00856"/>
    <w:rsid w:val="00D12DF1"/>
    <w:rsid w:val="00D1782C"/>
    <w:rsid w:val="00D2191B"/>
    <w:rsid w:val="00D3422B"/>
    <w:rsid w:val="00D361F2"/>
    <w:rsid w:val="00D37735"/>
    <w:rsid w:val="00D37C63"/>
    <w:rsid w:val="00D566D1"/>
    <w:rsid w:val="00D6212D"/>
    <w:rsid w:val="00D67975"/>
    <w:rsid w:val="00D731A8"/>
    <w:rsid w:val="00D73B50"/>
    <w:rsid w:val="00D74417"/>
    <w:rsid w:val="00D755CF"/>
    <w:rsid w:val="00D80A87"/>
    <w:rsid w:val="00D81BB1"/>
    <w:rsid w:val="00D83BBA"/>
    <w:rsid w:val="00D9402D"/>
    <w:rsid w:val="00D96922"/>
    <w:rsid w:val="00D96F4B"/>
    <w:rsid w:val="00DA6992"/>
    <w:rsid w:val="00DB0B0C"/>
    <w:rsid w:val="00DB2E5D"/>
    <w:rsid w:val="00DB3571"/>
    <w:rsid w:val="00DB442F"/>
    <w:rsid w:val="00DC5608"/>
    <w:rsid w:val="00DE5515"/>
    <w:rsid w:val="00DF11F1"/>
    <w:rsid w:val="00DF381F"/>
    <w:rsid w:val="00DF4818"/>
    <w:rsid w:val="00E00776"/>
    <w:rsid w:val="00E11144"/>
    <w:rsid w:val="00E112B7"/>
    <w:rsid w:val="00E13D27"/>
    <w:rsid w:val="00E15F0F"/>
    <w:rsid w:val="00E22EDD"/>
    <w:rsid w:val="00E32EFF"/>
    <w:rsid w:val="00E4360F"/>
    <w:rsid w:val="00E45E4C"/>
    <w:rsid w:val="00E575B4"/>
    <w:rsid w:val="00E73D63"/>
    <w:rsid w:val="00E77FAD"/>
    <w:rsid w:val="00E91824"/>
    <w:rsid w:val="00E942C4"/>
    <w:rsid w:val="00EB236B"/>
    <w:rsid w:val="00ED09ED"/>
    <w:rsid w:val="00EE0C24"/>
    <w:rsid w:val="00EE5A1B"/>
    <w:rsid w:val="00EF50E1"/>
    <w:rsid w:val="00EF56FE"/>
    <w:rsid w:val="00F031AD"/>
    <w:rsid w:val="00F200F8"/>
    <w:rsid w:val="00F20E7B"/>
    <w:rsid w:val="00F25840"/>
    <w:rsid w:val="00F265D5"/>
    <w:rsid w:val="00F62FFC"/>
    <w:rsid w:val="00F70A19"/>
    <w:rsid w:val="00F755F3"/>
    <w:rsid w:val="00F76385"/>
    <w:rsid w:val="00F8227E"/>
    <w:rsid w:val="00F835A6"/>
    <w:rsid w:val="00F933CF"/>
    <w:rsid w:val="00F96E2D"/>
    <w:rsid w:val="00F96E9B"/>
    <w:rsid w:val="00FA10BA"/>
    <w:rsid w:val="00FA25AA"/>
    <w:rsid w:val="00FB13A6"/>
    <w:rsid w:val="00FB2CA9"/>
    <w:rsid w:val="00FB36A3"/>
    <w:rsid w:val="00FB3D6A"/>
    <w:rsid w:val="00FC095E"/>
    <w:rsid w:val="00FD6460"/>
    <w:rsid w:val="00FE314F"/>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379"/>
    <w:pPr>
      <w:widowControl w:val="0"/>
    </w:pPr>
    <w:rPr>
      <w:snapToGrid w:val="0"/>
      <w:sz w:val="24"/>
    </w:rPr>
  </w:style>
  <w:style w:type="paragraph" w:styleId="Heading1">
    <w:name w:val="heading 1"/>
    <w:basedOn w:val="Normal"/>
    <w:next w:val="Normal"/>
    <w:qFormat/>
    <w:rsid w:val="00417379"/>
    <w:pPr>
      <w:keepNext/>
      <w:tabs>
        <w:tab w:val="center" w:pos="4680"/>
      </w:tabs>
      <w:jc w:val="center"/>
      <w:outlineLvl w:val="0"/>
    </w:pPr>
    <w:rPr>
      <w:b/>
    </w:rPr>
  </w:style>
  <w:style w:type="paragraph" w:styleId="Heading2">
    <w:name w:val="heading 2"/>
    <w:basedOn w:val="Normal"/>
    <w:next w:val="Normal"/>
    <w:qFormat/>
    <w:rsid w:val="00417379"/>
    <w:pPr>
      <w:keepNext/>
      <w:ind w:left="720"/>
      <w:jc w:val="right"/>
      <w:outlineLvl w:val="1"/>
    </w:pPr>
    <w:rPr>
      <w:rFonts w:ascii="Arial" w:hAnsi="Arial"/>
      <w:i/>
      <w:sz w:val="18"/>
    </w:rPr>
  </w:style>
  <w:style w:type="paragraph" w:styleId="Heading3">
    <w:name w:val="heading 3"/>
    <w:basedOn w:val="Normal"/>
    <w:next w:val="Normal"/>
    <w:qFormat/>
    <w:rsid w:val="0041737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737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rsid w:val="002A1790"/>
    <w:pPr>
      <w:keepNext/>
      <w:widowControl/>
    </w:pPr>
    <w:rPr>
      <w:i/>
      <w:snapToGrid/>
      <w:szCs w:val="24"/>
    </w:rPr>
  </w:style>
  <w:style w:type="character" w:customStyle="1" w:styleId="FindingChar">
    <w:name w:val="Finding Char"/>
    <w:basedOn w:val="DefaultParagraphFont"/>
    <w:link w:val="Finding"/>
    <w:locked/>
    <w:rsid w:val="002A1790"/>
    <w:rPr>
      <w:i/>
      <w:sz w:val="24"/>
      <w:szCs w:val="24"/>
    </w:rPr>
  </w:style>
  <w:style w:type="paragraph" w:customStyle="1" w:styleId="Default">
    <w:name w:val="Default"/>
    <w:rsid w:val="00D566D1"/>
    <w:pPr>
      <w:autoSpaceDE w:val="0"/>
      <w:autoSpaceDN w:val="0"/>
      <w:adjustRightInd w:val="0"/>
    </w:pPr>
    <w:rPr>
      <w:color w:val="000000"/>
      <w:sz w:val="24"/>
      <w:szCs w:val="24"/>
    </w:rPr>
  </w:style>
  <w:style w:type="character" w:styleId="Hyperlink">
    <w:name w:val="Hyperlink"/>
    <w:basedOn w:val="DefaultParagraphFont"/>
    <w:uiPriority w:val="99"/>
    <w:unhideWhenUsed/>
    <w:rsid w:val="001B1D6E"/>
    <w:rPr>
      <w:color w:val="0000FF"/>
      <w:u w:val="single"/>
    </w:rPr>
  </w:style>
  <w:style w:type="paragraph" w:styleId="Revision">
    <w:name w:val="Revision"/>
    <w:hidden/>
    <w:uiPriority w:val="99"/>
    <w:semiHidden/>
    <w:rsid w:val="00F62FFC"/>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379"/>
    <w:pPr>
      <w:widowControl w:val="0"/>
    </w:pPr>
    <w:rPr>
      <w:snapToGrid w:val="0"/>
      <w:sz w:val="24"/>
    </w:rPr>
  </w:style>
  <w:style w:type="paragraph" w:styleId="Heading1">
    <w:name w:val="heading 1"/>
    <w:basedOn w:val="Normal"/>
    <w:next w:val="Normal"/>
    <w:qFormat/>
    <w:rsid w:val="00417379"/>
    <w:pPr>
      <w:keepNext/>
      <w:tabs>
        <w:tab w:val="center" w:pos="4680"/>
      </w:tabs>
      <w:jc w:val="center"/>
      <w:outlineLvl w:val="0"/>
    </w:pPr>
    <w:rPr>
      <w:b/>
    </w:rPr>
  </w:style>
  <w:style w:type="paragraph" w:styleId="Heading2">
    <w:name w:val="heading 2"/>
    <w:basedOn w:val="Normal"/>
    <w:next w:val="Normal"/>
    <w:qFormat/>
    <w:rsid w:val="00417379"/>
    <w:pPr>
      <w:keepNext/>
      <w:ind w:left="720"/>
      <w:jc w:val="right"/>
      <w:outlineLvl w:val="1"/>
    </w:pPr>
    <w:rPr>
      <w:rFonts w:ascii="Arial" w:hAnsi="Arial"/>
      <w:i/>
      <w:sz w:val="18"/>
    </w:rPr>
  </w:style>
  <w:style w:type="paragraph" w:styleId="Heading3">
    <w:name w:val="heading 3"/>
    <w:basedOn w:val="Normal"/>
    <w:next w:val="Normal"/>
    <w:qFormat/>
    <w:rsid w:val="0041737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737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rsid w:val="002A1790"/>
    <w:pPr>
      <w:keepNext/>
      <w:widowControl/>
    </w:pPr>
    <w:rPr>
      <w:i/>
      <w:snapToGrid/>
      <w:szCs w:val="24"/>
    </w:rPr>
  </w:style>
  <w:style w:type="character" w:customStyle="1" w:styleId="FindingChar">
    <w:name w:val="Finding Char"/>
    <w:basedOn w:val="DefaultParagraphFont"/>
    <w:link w:val="Finding"/>
    <w:locked/>
    <w:rsid w:val="002A1790"/>
    <w:rPr>
      <w:i/>
      <w:sz w:val="24"/>
      <w:szCs w:val="24"/>
    </w:rPr>
  </w:style>
  <w:style w:type="paragraph" w:customStyle="1" w:styleId="Default">
    <w:name w:val="Default"/>
    <w:rsid w:val="00D566D1"/>
    <w:pPr>
      <w:autoSpaceDE w:val="0"/>
      <w:autoSpaceDN w:val="0"/>
      <w:adjustRightInd w:val="0"/>
    </w:pPr>
    <w:rPr>
      <w:color w:val="000000"/>
      <w:sz w:val="24"/>
      <w:szCs w:val="24"/>
    </w:rPr>
  </w:style>
  <w:style w:type="character" w:styleId="Hyperlink">
    <w:name w:val="Hyperlink"/>
    <w:basedOn w:val="DefaultParagraphFont"/>
    <w:uiPriority w:val="99"/>
    <w:unhideWhenUsed/>
    <w:rsid w:val="001B1D6E"/>
    <w:rPr>
      <w:color w:val="0000FF"/>
      <w:u w:val="single"/>
    </w:rPr>
  </w:style>
  <w:style w:type="paragraph" w:styleId="Revision">
    <w:name w:val="Revision"/>
    <w:hidden/>
    <w:uiPriority w:val="99"/>
    <w:semiHidden/>
    <w:rsid w:val="00F62FF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425878819">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 w:id="20539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mail.doemass.org/owa/redir.aspx?C=M71zbb9yq0emNcJEWr5yKapIe2ZkDtAIIywSrj1ZpBVdvNcvePu2suIrVTfxgLEVR8RtQc-xJ98.&amp;URL=http%3a%2f%2ffinance1.doe.mass.edu%2fcharter%2fcharter_audit.html" TargetMode="External"/><Relationship Id="rId2" Type="http://schemas.openxmlformats.org/officeDocument/2006/relationships/numbering" Target="numbering.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Charter%20Schools\Accountability\CPI%20Data%20012913%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Charter%20Schools\Accountability\CPI%20Data%20012913%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1\SHARED\Charter%20Schools\Accountability\CPI%20Data%20012913%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Data 012913 (2).xlsx]Pivot!PivotTable9</c:name>
    <c:fmtId val="9"/>
  </c:pivotSource>
  <c:chart>
    <c:title>
      <c:tx>
        <c:strRef>
          <c:f>Pivot!$B$1</c:f>
          <c:strCache>
            <c:ptCount val="1"/>
            <c:pt idx="0">
              <c:v>Spirit of Knowledge Charter</c:v>
            </c:pt>
          </c:strCache>
        </c:strRef>
      </c:tx>
      <c:layout/>
      <c:overlay val="0"/>
      <c:txPr>
        <a:bodyPr/>
        <a:lstStyle/>
        <a:p>
          <a:pPr>
            <a:defRPr sz="1100"/>
          </a:pPr>
          <a:endParaRPr lang="en-US"/>
        </a:p>
      </c:txPr>
    </c:title>
    <c:autoTitleDeleted val="0"/>
    <c:pivotFmts>
      <c:pivotFmt>
        <c:idx val="0"/>
        <c:spPr>
          <a:ln w="19050"/>
        </c:spPr>
        <c:marker>
          <c:symbol val="none"/>
        </c:marker>
      </c:pivotFmt>
      <c:pivotFmt>
        <c:idx val="1"/>
        <c:spPr>
          <a:ln w="19050"/>
        </c:spPr>
        <c:marker>
          <c:symbol val="none"/>
        </c:marker>
      </c:pivotFmt>
      <c:pivotFmt>
        <c:idx val="2"/>
        <c:marker>
          <c:symbol val="none"/>
        </c:marker>
        <c:dLbl>
          <c:idx val="0"/>
          <c:delete val="1"/>
        </c:dLbl>
      </c:pivotFmt>
      <c:pivotFmt>
        <c:idx val="3"/>
        <c:marker>
          <c:symbol val="none"/>
        </c:marker>
        <c:dLbl>
          <c:idx val="0"/>
          <c:delete val="1"/>
        </c:dLbl>
      </c:pivotFmt>
      <c:pivotFmt>
        <c:idx val="4"/>
        <c:marker>
          <c:symbol val="none"/>
        </c:marker>
        <c:dLbl>
          <c:idx val="0"/>
          <c:delete val="1"/>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
        <c:idx val="6"/>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7"/>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8"/>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s>
    <c:plotArea>
      <c:layout/>
      <c:lineChart>
        <c:grouping val="standard"/>
        <c:varyColors val="0"/>
        <c:ser>
          <c:idx val="0"/>
          <c:order val="0"/>
          <c:tx>
            <c:strRef>
              <c:f>Pivot!$B$1</c:f>
              <c:strCache>
                <c:ptCount val="1"/>
                <c:pt idx="0">
                  <c:v>ELA History</c:v>
                </c:pt>
              </c:strCache>
            </c:strRef>
          </c:tx>
          <c:marker>
            <c:symbol val="none"/>
          </c:marker>
          <c:dLbls>
            <c:txPr>
              <a:bodyPr/>
              <a:lstStyle/>
              <a:p>
                <a:pPr>
                  <a:defRPr/>
                </a:pPr>
                <a:endParaRPr lang="en-US"/>
              </a:p>
            </c:txPr>
            <c:dLblPos val="b"/>
            <c:showLegendKey val="0"/>
            <c:showVal val="1"/>
            <c:showCatName val="0"/>
            <c:showSerName val="0"/>
            <c:showPercent val="0"/>
            <c:showBubbleSize val="0"/>
            <c:showLeaderLines val="0"/>
          </c:dLbls>
          <c:cat>
            <c:strRef>
              <c:f>Pivot!$B$1</c:f>
              <c:strCache>
                <c:ptCount val="6"/>
                <c:pt idx="0">
                  <c:v>2011</c:v>
                </c:pt>
                <c:pt idx="1">
                  <c:v>2012</c:v>
                </c:pt>
                <c:pt idx="2">
                  <c:v>2013</c:v>
                </c:pt>
                <c:pt idx="3">
                  <c:v>2014</c:v>
                </c:pt>
                <c:pt idx="4">
                  <c:v>2015</c:v>
                </c:pt>
                <c:pt idx="5">
                  <c:v>2016</c:v>
                </c:pt>
              </c:strCache>
            </c:strRef>
          </c:cat>
          <c:val>
            <c:numRef>
              <c:f>Pivot!$B$1</c:f>
              <c:numCache>
                <c:formatCode>0.0</c:formatCode>
                <c:ptCount val="6"/>
                <c:pt idx="0">
                  <c:v>83.5</c:v>
                </c:pt>
                <c:pt idx="1">
                  <c:v>85.5</c:v>
                </c:pt>
              </c:numCache>
            </c:numRef>
          </c:val>
          <c:smooth val="1"/>
        </c:ser>
        <c:ser>
          <c:idx val="1"/>
          <c:order val="1"/>
          <c:tx>
            <c:strRef>
              <c:f>Pivot!$B$1</c:f>
              <c:strCache>
                <c:ptCount val="1"/>
                <c:pt idx="0">
                  <c:v>ELA Gap-Narrowing Targets</c:v>
                </c:pt>
              </c:strCache>
            </c:strRef>
          </c:tx>
          <c:spPr>
            <a:ln>
              <a:prstDash val="sysDash"/>
            </a:ln>
          </c:spPr>
          <c:marker>
            <c:symbol val="none"/>
          </c:marker>
          <c:dLbls>
            <c:txPr>
              <a:bodyPr/>
              <a:lstStyle/>
              <a:p>
                <a:pPr>
                  <a:defRPr/>
                </a:pPr>
                <a:endParaRPr lang="en-US"/>
              </a:p>
            </c:txPr>
            <c:dLblPos val="t"/>
            <c:showLegendKey val="0"/>
            <c:showVal val="1"/>
            <c:showCatName val="0"/>
            <c:showSerName val="0"/>
            <c:showPercent val="0"/>
            <c:showBubbleSize val="0"/>
            <c:showLeaderLines val="0"/>
          </c:dLbls>
          <c:cat>
            <c:strRef>
              <c:f>Pivot!$B$1</c:f>
              <c:strCache>
                <c:ptCount val="6"/>
                <c:pt idx="0">
                  <c:v>2011</c:v>
                </c:pt>
                <c:pt idx="1">
                  <c:v>2012</c:v>
                </c:pt>
                <c:pt idx="2">
                  <c:v>2013</c:v>
                </c:pt>
                <c:pt idx="3">
                  <c:v>2014</c:v>
                </c:pt>
                <c:pt idx="4">
                  <c:v>2015</c:v>
                </c:pt>
                <c:pt idx="5">
                  <c:v>2016</c:v>
                </c:pt>
              </c:strCache>
            </c:strRef>
          </c:cat>
          <c:val>
            <c:numRef>
              <c:f>Pivot!$B$1</c:f>
              <c:numCache>
                <c:formatCode>0.0</c:formatCode>
                <c:ptCount val="6"/>
                <c:pt idx="1">
                  <c:v>84.9</c:v>
                </c:pt>
                <c:pt idx="2">
                  <c:v>86.3</c:v>
                </c:pt>
                <c:pt idx="3">
                  <c:v>87.6</c:v>
                </c:pt>
                <c:pt idx="4">
                  <c:v>89</c:v>
                </c:pt>
                <c:pt idx="5">
                  <c:v>90.4</c:v>
                </c:pt>
              </c:numCache>
            </c:numRef>
          </c:val>
          <c:smooth val="1"/>
        </c:ser>
        <c:dLbls>
          <c:showLegendKey val="0"/>
          <c:showVal val="0"/>
          <c:showCatName val="0"/>
          <c:showSerName val="0"/>
          <c:showPercent val="0"/>
          <c:showBubbleSize val="0"/>
        </c:dLbls>
        <c:hiLowLines>
          <c:spPr>
            <a:ln>
              <a:noFill/>
            </a:ln>
          </c:spPr>
        </c:hiLowLines>
        <c:marker val="1"/>
        <c:smooth val="0"/>
        <c:axId val="88084992"/>
        <c:axId val="203842112"/>
      </c:lineChart>
      <c:catAx>
        <c:axId val="88084992"/>
        <c:scaling>
          <c:orientation val="minMax"/>
        </c:scaling>
        <c:delete val="0"/>
        <c:axPos val="b"/>
        <c:majorTickMark val="none"/>
        <c:minorTickMark val="none"/>
        <c:tickLblPos val="nextTo"/>
        <c:txPr>
          <a:bodyPr rot="-1260000" vert="horz"/>
          <a:lstStyle/>
          <a:p>
            <a:pPr>
              <a:defRPr/>
            </a:pPr>
            <a:endParaRPr lang="en-US"/>
          </a:p>
        </c:txPr>
        <c:crossAx val="203842112"/>
        <c:crosses val="autoZero"/>
        <c:auto val="1"/>
        <c:lblAlgn val="ctr"/>
        <c:lblOffset val="100"/>
        <c:noMultiLvlLbl val="0"/>
      </c:catAx>
      <c:valAx>
        <c:axId val="203842112"/>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spPr>
          <a:ln>
            <a:solidFill>
              <a:schemeClr val="tx1"/>
            </a:solidFill>
          </a:ln>
        </c:spPr>
        <c:crossAx val="88084992"/>
        <c:crossesAt val="1"/>
        <c:crossBetween val="between"/>
        <c:majorUnit val="10"/>
      </c:valAx>
      <c:spPr>
        <a:noFill/>
        <a:ln w="25400">
          <a:noFill/>
        </a:ln>
      </c:spPr>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Data 012913 (2).xlsx]Pivot!PivotTable10</c:name>
    <c:fmtId val="7"/>
  </c:pivotSource>
  <c:chart>
    <c:title>
      <c:tx>
        <c:strRef>
          <c:f>Pivot!$B$19</c:f>
          <c:strCache>
            <c:ptCount val="1"/>
            <c:pt idx="0">
              <c:v>Spirit of Knowledge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s>
    <c:plotArea>
      <c:layout/>
      <c:lineChart>
        <c:grouping val="standard"/>
        <c:varyColors val="0"/>
        <c:ser>
          <c:idx val="0"/>
          <c:order val="0"/>
          <c:tx>
            <c:strRef>
              <c:f>Pivot!$B$19</c:f>
              <c:strCache>
                <c:ptCount val="1"/>
                <c:pt idx="0">
                  <c:v>Math History</c:v>
                </c:pt>
              </c:strCache>
            </c:strRef>
          </c:tx>
          <c:marker>
            <c:symbol val="none"/>
          </c:marker>
          <c:dLbls>
            <c:txPr>
              <a:bodyPr/>
              <a:lstStyle/>
              <a:p>
                <a:pPr>
                  <a:defRPr/>
                </a:pPr>
                <a:endParaRPr lang="en-US"/>
              </a:p>
            </c:txPr>
            <c:dLblPos val="b"/>
            <c:showLegendKey val="0"/>
            <c:showVal val="1"/>
            <c:showCatName val="0"/>
            <c:showSerName val="0"/>
            <c:showPercent val="0"/>
            <c:showBubbleSize val="0"/>
            <c:showLeaderLines val="0"/>
          </c:dLbls>
          <c:cat>
            <c:strRef>
              <c:f>Pivot!$B$19</c:f>
              <c:strCache>
                <c:ptCount val="6"/>
                <c:pt idx="0">
                  <c:v>2011</c:v>
                </c:pt>
                <c:pt idx="1">
                  <c:v>2012</c:v>
                </c:pt>
                <c:pt idx="2">
                  <c:v>2013</c:v>
                </c:pt>
                <c:pt idx="3">
                  <c:v>2014</c:v>
                </c:pt>
                <c:pt idx="4">
                  <c:v>2015</c:v>
                </c:pt>
                <c:pt idx="5">
                  <c:v>2016</c:v>
                </c:pt>
              </c:strCache>
            </c:strRef>
          </c:cat>
          <c:val>
            <c:numRef>
              <c:f>Pivot!$B$19</c:f>
              <c:numCache>
                <c:formatCode>0.0</c:formatCode>
                <c:ptCount val="6"/>
                <c:pt idx="0">
                  <c:v>58.2</c:v>
                </c:pt>
                <c:pt idx="1">
                  <c:v>61.9</c:v>
                </c:pt>
              </c:numCache>
            </c:numRef>
          </c:val>
          <c:smooth val="1"/>
        </c:ser>
        <c:ser>
          <c:idx val="1"/>
          <c:order val="1"/>
          <c:tx>
            <c:strRef>
              <c:f>Pivot!$B$19</c:f>
              <c:strCache>
                <c:ptCount val="1"/>
                <c:pt idx="0">
                  <c:v>Math Gap-Narrowing Targets</c:v>
                </c:pt>
              </c:strCache>
            </c:strRef>
          </c:tx>
          <c:spPr>
            <a:ln>
              <a:prstDash val="sysDash"/>
            </a:ln>
          </c:spPr>
          <c:marker>
            <c:symbol val="none"/>
          </c:marker>
          <c:dLbls>
            <c:txPr>
              <a:bodyPr/>
              <a:lstStyle/>
              <a:p>
                <a:pPr>
                  <a:defRPr/>
                </a:pPr>
                <a:endParaRPr lang="en-US"/>
              </a:p>
            </c:txPr>
            <c:dLblPos val="t"/>
            <c:showLegendKey val="0"/>
            <c:showVal val="1"/>
            <c:showCatName val="0"/>
            <c:showSerName val="0"/>
            <c:showPercent val="0"/>
            <c:showBubbleSize val="0"/>
            <c:showLeaderLines val="0"/>
          </c:dLbls>
          <c:cat>
            <c:strRef>
              <c:f>Pivot!$B$19</c:f>
              <c:strCache>
                <c:ptCount val="6"/>
                <c:pt idx="0">
                  <c:v>2011</c:v>
                </c:pt>
                <c:pt idx="1">
                  <c:v>2012</c:v>
                </c:pt>
                <c:pt idx="2">
                  <c:v>2013</c:v>
                </c:pt>
                <c:pt idx="3">
                  <c:v>2014</c:v>
                </c:pt>
                <c:pt idx="4">
                  <c:v>2015</c:v>
                </c:pt>
                <c:pt idx="5">
                  <c:v>2016</c:v>
                </c:pt>
              </c:strCache>
            </c:strRef>
          </c:cat>
          <c:val>
            <c:numRef>
              <c:f>Pivot!$B$19</c:f>
              <c:numCache>
                <c:formatCode>0.0</c:formatCode>
                <c:ptCount val="6"/>
                <c:pt idx="1">
                  <c:v>61.7</c:v>
                </c:pt>
                <c:pt idx="2">
                  <c:v>65.2</c:v>
                </c:pt>
                <c:pt idx="3">
                  <c:v>68.7</c:v>
                </c:pt>
                <c:pt idx="4">
                  <c:v>72.099999999999994</c:v>
                </c:pt>
                <c:pt idx="5">
                  <c:v>75.599999999999994</c:v>
                </c:pt>
              </c:numCache>
            </c:numRef>
          </c:val>
          <c:smooth val="1"/>
        </c:ser>
        <c:dLbls>
          <c:showLegendKey val="0"/>
          <c:showVal val="0"/>
          <c:showCatName val="0"/>
          <c:showSerName val="0"/>
          <c:showPercent val="0"/>
          <c:showBubbleSize val="0"/>
        </c:dLbls>
        <c:marker val="1"/>
        <c:smooth val="0"/>
        <c:axId val="55480832"/>
        <c:axId val="203843840"/>
      </c:lineChart>
      <c:catAx>
        <c:axId val="55480832"/>
        <c:scaling>
          <c:orientation val="minMax"/>
        </c:scaling>
        <c:delete val="0"/>
        <c:axPos val="b"/>
        <c:majorTickMark val="none"/>
        <c:minorTickMark val="none"/>
        <c:tickLblPos val="nextTo"/>
        <c:txPr>
          <a:bodyPr rot="-1260000"/>
          <a:lstStyle/>
          <a:p>
            <a:pPr>
              <a:defRPr/>
            </a:pPr>
            <a:endParaRPr lang="en-US"/>
          </a:p>
        </c:txPr>
        <c:crossAx val="203843840"/>
        <c:crosses val="autoZero"/>
        <c:auto val="1"/>
        <c:lblAlgn val="ctr"/>
        <c:lblOffset val="100"/>
        <c:noMultiLvlLbl val="0"/>
      </c:catAx>
      <c:valAx>
        <c:axId val="203843840"/>
        <c:scaling>
          <c:orientation val="minMax"/>
          <c:max val="100"/>
          <c:min val="30"/>
        </c:scaling>
        <c:delete val="0"/>
        <c:axPos val="l"/>
        <c:majorGridlines>
          <c:spPr>
            <a:ln>
              <a:solidFill>
                <a:schemeClr val="bg1">
                  <a:lumMod val="85000"/>
                </a:schemeClr>
              </a:solidFill>
            </a:ln>
          </c:spPr>
        </c:majorGridlines>
        <c:title>
          <c:tx>
            <c:rich>
              <a:bodyPr rot="-5400000" vert="horz"/>
              <a:lstStyle/>
              <a:p>
                <a:pPr>
                  <a:defRPr sz="1100"/>
                </a:pPr>
                <a:r>
                  <a:rPr lang="en-US" sz="1100"/>
                  <a:t>CPI</a:t>
                </a:r>
              </a:p>
            </c:rich>
          </c:tx>
          <c:layout/>
          <c:overlay val="0"/>
        </c:title>
        <c:numFmt formatCode="0" sourceLinked="0"/>
        <c:majorTickMark val="none"/>
        <c:minorTickMark val="none"/>
        <c:tickLblPos val="nextTo"/>
        <c:spPr>
          <a:ln w="9525">
            <a:solidFill>
              <a:schemeClr val="tx1"/>
            </a:solidFill>
          </a:ln>
        </c:spPr>
        <c:crossAx val="55480832"/>
        <c:crosses val="autoZero"/>
        <c:crossBetween val="between"/>
        <c:majorUnit val="10"/>
      </c:valAx>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Data 012913 (2).xlsx]Pivot!PivotTable11</c:name>
    <c:fmtId val="4"/>
  </c:pivotSource>
  <c:chart>
    <c:title>
      <c:tx>
        <c:strRef>
          <c:f>Pivot!$B$37</c:f>
          <c:strCache>
            <c:ptCount val="1"/>
            <c:pt idx="0">
              <c:v>Spirit of Knowledge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dLbl>
      </c:pivotFmt>
    </c:pivotFmts>
    <c:plotArea>
      <c:layout/>
      <c:lineChart>
        <c:grouping val="standard"/>
        <c:varyColors val="0"/>
        <c:ser>
          <c:idx val="0"/>
          <c:order val="0"/>
          <c:tx>
            <c:strRef>
              <c:f>Pivot!$B$37</c:f>
              <c:strCache>
                <c:ptCount val="1"/>
                <c:pt idx="0">
                  <c:v>Science History</c:v>
                </c:pt>
              </c:strCache>
            </c:strRef>
          </c:tx>
          <c:marker>
            <c:symbol val="none"/>
          </c:marker>
          <c:dLbls>
            <c:txPr>
              <a:bodyPr/>
              <a:lstStyle/>
              <a:p>
                <a:pPr>
                  <a:defRPr/>
                </a:pPr>
                <a:endParaRPr lang="en-US"/>
              </a:p>
            </c:txPr>
            <c:dLblPos val="b"/>
            <c:showLegendKey val="0"/>
            <c:showVal val="1"/>
            <c:showCatName val="0"/>
            <c:showSerName val="0"/>
            <c:showPercent val="0"/>
            <c:showBubbleSize val="0"/>
            <c:showLeaderLines val="0"/>
          </c:dLbls>
          <c:cat>
            <c:strRef>
              <c:f>Pivot!$B$37</c:f>
              <c:strCache>
                <c:ptCount val="6"/>
                <c:pt idx="0">
                  <c:v>2011</c:v>
                </c:pt>
                <c:pt idx="1">
                  <c:v>2012</c:v>
                </c:pt>
                <c:pt idx="2">
                  <c:v>2013</c:v>
                </c:pt>
                <c:pt idx="3">
                  <c:v>2014</c:v>
                </c:pt>
                <c:pt idx="4">
                  <c:v>2015</c:v>
                </c:pt>
                <c:pt idx="5">
                  <c:v>2016</c:v>
                </c:pt>
              </c:strCache>
            </c:strRef>
          </c:cat>
          <c:val>
            <c:numRef>
              <c:f>Pivot!$B$37</c:f>
              <c:numCache>
                <c:formatCode>0.0</c:formatCode>
                <c:ptCount val="6"/>
                <c:pt idx="0">
                  <c:v>57.7</c:v>
                </c:pt>
                <c:pt idx="1">
                  <c:v>56.8</c:v>
                </c:pt>
              </c:numCache>
            </c:numRef>
          </c:val>
          <c:smooth val="1"/>
        </c:ser>
        <c:ser>
          <c:idx val="1"/>
          <c:order val="1"/>
          <c:tx>
            <c:strRef>
              <c:f>Pivot!$B$37</c:f>
              <c:strCache>
                <c:ptCount val="1"/>
                <c:pt idx="0">
                  <c:v>Science Gap-Narrowing Targets</c:v>
                </c:pt>
              </c:strCache>
            </c:strRef>
          </c:tx>
          <c:spPr>
            <a:ln>
              <a:prstDash val="sysDash"/>
            </a:ln>
          </c:spPr>
          <c:marker>
            <c:symbol val="none"/>
          </c:marker>
          <c:dLbls>
            <c:txPr>
              <a:bodyPr/>
              <a:lstStyle/>
              <a:p>
                <a:pPr>
                  <a:defRPr/>
                </a:pPr>
                <a:endParaRPr lang="en-US"/>
              </a:p>
            </c:txPr>
            <c:dLblPos val="t"/>
            <c:showLegendKey val="0"/>
            <c:showVal val="1"/>
            <c:showCatName val="0"/>
            <c:showSerName val="0"/>
            <c:showPercent val="0"/>
            <c:showBubbleSize val="0"/>
            <c:showLeaderLines val="0"/>
          </c:dLbls>
          <c:cat>
            <c:strRef>
              <c:f>Pivot!$B$37</c:f>
              <c:strCache>
                <c:ptCount val="6"/>
                <c:pt idx="0">
                  <c:v>2011</c:v>
                </c:pt>
                <c:pt idx="1">
                  <c:v>2012</c:v>
                </c:pt>
                <c:pt idx="2">
                  <c:v>2013</c:v>
                </c:pt>
                <c:pt idx="3">
                  <c:v>2014</c:v>
                </c:pt>
                <c:pt idx="4">
                  <c:v>2015</c:v>
                </c:pt>
                <c:pt idx="5">
                  <c:v>2016</c:v>
                </c:pt>
              </c:strCache>
            </c:strRef>
          </c:cat>
          <c:val>
            <c:numRef>
              <c:f>Pivot!$B$37</c:f>
              <c:numCache>
                <c:formatCode>0.0</c:formatCode>
                <c:ptCount val="6"/>
                <c:pt idx="1">
                  <c:v>61.2</c:v>
                </c:pt>
                <c:pt idx="2">
                  <c:v>64.8</c:v>
                </c:pt>
                <c:pt idx="3">
                  <c:v>68.3</c:v>
                </c:pt>
                <c:pt idx="4">
                  <c:v>71.8</c:v>
                </c:pt>
                <c:pt idx="5">
                  <c:v>75.3</c:v>
                </c:pt>
              </c:numCache>
            </c:numRef>
          </c:val>
          <c:smooth val="0"/>
        </c:ser>
        <c:dLbls>
          <c:showLegendKey val="0"/>
          <c:showVal val="0"/>
          <c:showCatName val="0"/>
          <c:showSerName val="0"/>
          <c:showPercent val="0"/>
          <c:showBubbleSize val="0"/>
        </c:dLbls>
        <c:marker val="1"/>
        <c:smooth val="0"/>
        <c:axId val="88086016"/>
        <c:axId val="203845568"/>
      </c:lineChart>
      <c:catAx>
        <c:axId val="88086016"/>
        <c:scaling>
          <c:orientation val="minMax"/>
        </c:scaling>
        <c:delete val="0"/>
        <c:axPos val="b"/>
        <c:majorTickMark val="none"/>
        <c:minorTickMark val="none"/>
        <c:tickLblPos val="nextTo"/>
        <c:txPr>
          <a:bodyPr rot="-1260000"/>
          <a:lstStyle/>
          <a:p>
            <a:pPr>
              <a:defRPr/>
            </a:pPr>
            <a:endParaRPr lang="en-US"/>
          </a:p>
        </c:txPr>
        <c:crossAx val="203845568"/>
        <c:crosses val="autoZero"/>
        <c:auto val="1"/>
        <c:lblAlgn val="ctr"/>
        <c:lblOffset val="100"/>
        <c:noMultiLvlLbl val="0"/>
      </c:catAx>
      <c:valAx>
        <c:axId val="203845568"/>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crossAx val="88086016"/>
        <c:crosses val="autoZero"/>
        <c:crossBetween val="between"/>
        <c:majorUnit val="10"/>
      </c:valAx>
    </c:plotArea>
    <c:legend>
      <c:legendPos val="b"/>
      <c:layout/>
      <c:overlay val="0"/>
      <c:txPr>
        <a:bodyPr/>
        <a:lstStyle/>
        <a:p>
          <a:pPr>
            <a:defRPr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ECCF7-C8AF-408B-9CC8-AD764E8A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Template>
  <TotalTime>0</TotalTime>
  <Pages>5</Pages>
  <Words>1411</Words>
  <Characters>7624</Characters>
  <Application>Microsoft Office Word</Application>
  <DocSecurity>4</DocSecurity>
  <Lines>152</Lines>
  <Paragraphs>33</Paragraphs>
  <ScaleCrop>false</ScaleCrop>
  <HeadingPairs>
    <vt:vector size="2" baseType="variant">
      <vt:variant>
        <vt:lpstr>Title</vt:lpstr>
      </vt:variant>
      <vt:variant>
        <vt:i4>1</vt:i4>
      </vt:variant>
    </vt:vector>
  </HeadingPairs>
  <TitlesOfParts>
    <vt:vector size="1" baseType="lpstr">
      <vt:lpstr>Board memorandum, Spirit of Knowledge Charter School - Recommendation for Probation, May 2013</vt:lpstr>
    </vt:vector>
  </TitlesOfParts>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Knowledge Charter School - Recommendation for Probation, May 2013</dc:title>
  <dc:creator/>
  <cp:lastModifiedBy/>
  <cp:revision>1</cp:revision>
  <cp:lastPrinted>2011-12-02T15:56:00Z</cp:lastPrinted>
  <dcterms:created xsi:type="dcterms:W3CDTF">2013-05-16T14:36:00Z</dcterms:created>
  <dcterms:modified xsi:type="dcterms:W3CDTF">2013-05-16T14:36:00Z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2013</vt:lpwstr>
  </property>
</Properties>
</file>