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67" w:rsidRDefault="0089625D" w:rsidP="00200FF7">
      <w:pPr>
        <w:rPr>
          <w:b/>
          <w:sz w:val="28"/>
          <w:szCs w:val="28"/>
        </w:rPr>
      </w:pPr>
      <w:r>
        <w:rPr>
          <w:b/>
          <w:sz w:val="28"/>
          <w:szCs w:val="28"/>
        </w:rPr>
        <w:t>Evaluation Criteria f</w:t>
      </w:r>
      <w:r w:rsidR="00CC6267" w:rsidRPr="00CC6267">
        <w:rPr>
          <w:b/>
          <w:sz w:val="28"/>
          <w:szCs w:val="28"/>
        </w:rPr>
        <w:t>or Requested Change in Maximum Enrollment</w:t>
      </w:r>
    </w:p>
    <w:p w:rsidR="00CC6267" w:rsidRDefault="00CC6267" w:rsidP="00200FF7">
      <w:pPr>
        <w:rPr>
          <w:b/>
          <w:szCs w:val="24"/>
        </w:rPr>
      </w:pPr>
      <w:r>
        <w:rPr>
          <w:b/>
          <w:sz w:val="28"/>
          <w:szCs w:val="28"/>
        </w:rPr>
        <w:t xml:space="preserve">    </w:t>
      </w:r>
      <w:r w:rsidRPr="00CC6267">
        <w:rPr>
          <w:b/>
          <w:szCs w:val="24"/>
        </w:rPr>
        <w:t>From 1,500 t</w:t>
      </w:r>
      <w:r w:rsidR="00206C5F">
        <w:rPr>
          <w:b/>
          <w:szCs w:val="24"/>
        </w:rPr>
        <w:t>o</w:t>
      </w:r>
      <w:r w:rsidRPr="00CC6267">
        <w:rPr>
          <w:b/>
          <w:szCs w:val="24"/>
        </w:rPr>
        <w:t xml:space="preserve"> 1,900 Students for Mystic Valley Regional Charter School</w:t>
      </w:r>
    </w:p>
    <w:p w:rsidR="00436036" w:rsidRDefault="00436036" w:rsidP="00200FF7">
      <w:pPr>
        <w:rPr>
          <w:b/>
          <w:szCs w:val="24"/>
        </w:rPr>
      </w:pPr>
    </w:p>
    <w:p w:rsidR="00436036" w:rsidRDefault="00CC59B8" w:rsidP="00200FF7">
      <w:pPr>
        <w:rPr>
          <w:b/>
          <w:szCs w:val="24"/>
        </w:rPr>
      </w:pPr>
      <w:r>
        <w:rPr>
          <w:b/>
          <w:szCs w:val="24"/>
        </w:rPr>
        <w:t>Section A: Maximum Enrollment:</w:t>
      </w:r>
    </w:p>
    <w:p w:rsidR="00CC59B8" w:rsidRDefault="00CC59B8" w:rsidP="00200FF7">
      <w:pPr>
        <w:rPr>
          <w:b/>
          <w:szCs w:val="24"/>
        </w:rPr>
      </w:pPr>
    </w:p>
    <w:p w:rsidR="00CC59B8" w:rsidRDefault="00CC59B8" w:rsidP="00200FF7">
      <w:pPr>
        <w:rPr>
          <w:szCs w:val="24"/>
        </w:rPr>
      </w:pPr>
      <w:r>
        <w:rPr>
          <w:szCs w:val="24"/>
        </w:rPr>
        <w:t>We seek to increase our student enrollment by 400 students.  Exhibit 1 represents our studen</w:t>
      </w:r>
      <w:r w:rsidR="002A1E61">
        <w:rPr>
          <w:szCs w:val="24"/>
        </w:rPr>
        <w:t>t enrollment as of June 27, 2012</w:t>
      </w:r>
      <w:r w:rsidR="00EA6FA4">
        <w:rPr>
          <w:szCs w:val="24"/>
        </w:rPr>
        <w:t>,</w:t>
      </w:r>
      <w:r w:rsidR="002A1E61">
        <w:rPr>
          <w:szCs w:val="24"/>
        </w:rPr>
        <w:t xml:space="preserve"> which </w:t>
      </w:r>
      <w:proofErr w:type="gramStart"/>
      <w:r w:rsidR="002A1E61">
        <w:rPr>
          <w:szCs w:val="24"/>
        </w:rPr>
        <w:t>is</w:t>
      </w:r>
      <w:proofErr w:type="gramEnd"/>
      <w:r w:rsidR="002A1E61">
        <w:rPr>
          <w:szCs w:val="24"/>
        </w:rPr>
        <w:t xml:space="preserve"> 1,456</w:t>
      </w:r>
      <w:r>
        <w:rPr>
          <w:szCs w:val="24"/>
        </w:rPr>
        <w:t xml:space="preserve"> students.  Exhibit 2 indicates the distribution of new students on an annual basis</w:t>
      </w:r>
      <w:r w:rsidR="00EA6FA4">
        <w:rPr>
          <w:szCs w:val="24"/>
        </w:rPr>
        <w:t>,</w:t>
      </w:r>
      <w:r>
        <w:rPr>
          <w:szCs w:val="24"/>
        </w:rPr>
        <w:t xml:space="preserve"> along with an implementation timeline.</w:t>
      </w:r>
    </w:p>
    <w:p w:rsidR="00CC59B8" w:rsidRDefault="00CC59B8" w:rsidP="00200FF7">
      <w:pPr>
        <w:rPr>
          <w:szCs w:val="24"/>
        </w:rPr>
      </w:pPr>
    </w:p>
    <w:p w:rsidR="00CC59B8" w:rsidRDefault="00CC59B8" w:rsidP="00200FF7">
      <w:pPr>
        <w:rPr>
          <w:b/>
          <w:szCs w:val="24"/>
        </w:rPr>
      </w:pPr>
      <w:r w:rsidRPr="00CC59B8">
        <w:rPr>
          <w:b/>
          <w:szCs w:val="24"/>
        </w:rPr>
        <w:t>Section B:  Change in Grades Served:</w:t>
      </w:r>
    </w:p>
    <w:p w:rsidR="00CC59B8" w:rsidRDefault="00CC59B8" w:rsidP="00200FF7">
      <w:pPr>
        <w:rPr>
          <w:b/>
          <w:szCs w:val="24"/>
        </w:rPr>
      </w:pPr>
    </w:p>
    <w:p w:rsidR="00CC59B8" w:rsidRDefault="00CC59B8" w:rsidP="00200FF7">
      <w:pPr>
        <w:rPr>
          <w:szCs w:val="24"/>
        </w:rPr>
      </w:pPr>
      <w:r w:rsidRPr="00CC59B8">
        <w:rPr>
          <w:szCs w:val="24"/>
        </w:rPr>
        <w:t>Not Applicable</w:t>
      </w:r>
    </w:p>
    <w:p w:rsidR="00CC59B8" w:rsidRDefault="00CC59B8" w:rsidP="00200FF7">
      <w:pPr>
        <w:rPr>
          <w:szCs w:val="24"/>
        </w:rPr>
      </w:pPr>
    </w:p>
    <w:p w:rsidR="00CC59B8" w:rsidRPr="00CC59B8" w:rsidRDefault="00CC59B8" w:rsidP="00200FF7">
      <w:pPr>
        <w:rPr>
          <w:b/>
          <w:szCs w:val="24"/>
        </w:rPr>
      </w:pPr>
      <w:r w:rsidRPr="00CC59B8">
        <w:rPr>
          <w:b/>
          <w:szCs w:val="24"/>
        </w:rPr>
        <w:t>Section C: Description of the Communities to be served:</w:t>
      </w:r>
    </w:p>
    <w:p w:rsidR="00CC59B8" w:rsidRPr="00CC59B8" w:rsidRDefault="00CC59B8" w:rsidP="00200FF7">
      <w:pPr>
        <w:rPr>
          <w:szCs w:val="24"/>
        </w:rPr>
      </w:pPr>
    </w:p>
    <w:p w:rsidR="00436036" w:rsidRDefault="00AF438A" w:rsidP="00200FF7">
      <w:pPr>
        <w:rPr>
          <w:szCs w:val="24"/>
        </w:rPr>
      </w:pPr>
      <w:r>
        <w:rPr>
          <w:szCs w:val="24"/>
        </w:rPr>
        <w:t>For the FY13 school year</w:t>
      </w:r>
      <w:r w:rsidR="00436036">
        <w:rPr>
          <w:szCs w:val="24"/>
        </w:rPr>
        <w:t>, the Malden</w:t>
      </w:r>
      <w:r>
        <w:rPr>
          <w:szCs w:val="24"/>
        </w:rPr>
        <w:t xml:space="preserve"> and Everett cap increased to 14</w:t>
      </w:r>
      <w:r w:rsidR="00436036">
        <w:rPr>
          <w:szCs w:val="24"/>
        </w:rPr>
        <w:t xml:space="preserve">% based on those two school districts being classified in the bottom 10% of school districts </w:t>
      </w:r>
      <w:r w:rsidR="00EA6FA4">
        <w:rPr>
          <w:szCs w:val="24"/>
        </w:rPr>
        <w:t xml:space="preserve">in </w:t>
      </w:r>
      <w:r w:rsidR="00436036">
        <w:rPr>
          <w:szCs w:val="24"/>
        </w:rPr>
        <w:t>Massachusetts.  Below is a current snap shot of critical</w:t>
      </w:r>
      <w:r w:rsidR="00425623">
        <w:rPr>
          <w:szCs w:val="24"/>
        </w:rPr>
        <w:t xml:space="preserve"> enrollment</w:t>
      </w:r>
      <w:r w:rsidR="00436036">
        <w:rPr>
          <w:szCs w:val="24"/>
        </w:rPr>
        <w:t xml:space="preserve"> information within our sending district</w:t>
      </w:r>
      <w:r w:rsidR="00EA6FA4">
        <w:rPr>
          <w:szCs w:val="24"/>
        </w:rPr>
        <w:t>s</w:t>
      </w:r>
      <w:r w:rsidR="00425623">
        <w:rPr>
          <w:szCs w:val="24"/>
        </w:rPr>
        <w:t xml:space="preserve"> which was obtained from </w:t>
      </w:r>
      <w:r w:rsidR="00EA6FA4">
        <w:rPr>
          <w:szCs w:val="24"/>
        </w:rPr>
        <w:t>t</w:t>
      </w:r>
      <w:r w:rsidR="00425623">
        <w:rPr>
          <w:szCs w:val="24"/>
        </w:rPr>
        <w:t xml:space="preserve">he </w:t>
      </w:r>
      <w:r w:rsidR="00EA6FA4">
        <w:rPr>
          <w:szCs w:val="24"/>
        </w:rPr>
        <w:t xml:space="preserve">Massachusetts </w:t>
      </w:r>
      <w:r w:rsidR="001F1082">
        <w:rPr>
          <w:szCs w:val="24"/>
        </w:rPr>
        <w:t>D</w:t>
      </w:r>
      <w:r w:rsidR="00425623">
        <w:rPr>
          <w:szCs w:val="24"/>
        </w:rPr>
        <w:t>ESE website</w:t>
      </w:r>
      <w:r w:rsidR="00436036">
        <w:rPr>
          <w:szCs w:val="24"/>
        </w:rPr>
        <w:t>:</w:t>
      </w:r>
    </w:p>
    <w:p w:rsidR="00436036" w:rsidRDefault="00436036" w:rsidP="00200FF7">
      <w:pPr>
        <w:rPr>
          <w:szCs w:val="24"/>
        </w:rPr>
      </w:pPr>
    </w:p>
    <w:p w:rsidR="00436036" w:rsidRDefault="00436036" w:rsidP="00200FF7">
      <w:pPr>
        <w:rPr>
          <w:szCs w:val="24"/>
        </w:rPr>
      </w:pPr>
      <w:r>
        <w:rPr>
          <w:szCs w:val="24"/>
        </w:rPr>
        <w:tab/>
      </w:r>
      <w:r>
        <w:rPr>
          <w:szCs w:val="24"/>
        </w:rPr>
        <w:tab/>
      </w:r>
      <w:r>
        <w:rPr>
          <w:szCs w:val="24"/>
        </w:rPr>
        <w:tab/>
      </w:r>
      <w:r>
        <w:rPr>
          <w:szCs w:val="24"/>
        </w:rPr>
        <w:tab/>
      </w:r>
      <w:r>
        <w:rPr>
          <w:szCs w:val="24"/>
        </w:rPr>
        <w:tab/>
        <w:t>FTE Remaining</w:t>
      </w:r>
    </w:p>
    <w:p w:rsidR="00436036" w:rsidRDefault="00436036" w:rsidP="00200FF7">
      <w:pPr>
        <w:rPr>
          <w:szCs w:val="24"/>
          <w:u w:val="single"/>
        </w:rPr>
      </w:pPr>
      <w:r>
        <w:rPr>
          <w:szCs w:val="24"/>
        </w:rPr>
        <w:t xml:space="preserve">  </w:t>
      </w:r>
      <w:r>
        <w:rPr>
          <w:szCs w:val="24"/>
          <w:u w:val="single"/>
        </w:rPr>
        <w:t>Sending District</w:t>
      </w:r>
      <w:r>
        <w:rPr>
          <w:szCs w:val="24"/>
        </w:rPr>
        <w:tab/>
      </w:r>
      <w:r>
        <w:rPr>
          <w:szCs w:val="24"/>
          <w:u w:val="single"/>
        </w:rPr>
        <w:t>Cap</w:t>
      </w:r>
      <w:r>
        <w:rPr>
          <w:szCs w:val="24"/>
        </w:rPr>
        <w:tab/>
      </w:r>
      <w:r>
        <w:rPr>
          <w:szCs w:val="24"/>
        </w:rPr>
        <w:tab/>
      </w:r>
      <w:proofErr w:type="gramStart"/>
      <w:r w:rsidRPr="00436036">
        <w:rPr>
          <w:szCs w:val="24"/>
          <w:u w:val="single"/>
        </w:rPr>
        <w:t>Under</w:t>
      </w:r>
      <w:proofErr w:type="gramEnd"/>
      <w:r w:rsidRPr="00436036">
        <w:rPr>
          <w:szCs w:val="24"/>
          <w:u w:val="single"/>
        </w:rPr>
        <w:t xml:space="preserve"> NSS Cap</w:t>
      </w:r>
      <w:r>
        <w:rPr>
          <w:szCs w:val="24"/>
        </w:rPr>
        <w:tab/>
      </w:r>
      <w:r w:rsidRPr="00436036">
        <w:rPr>
          <w:szCs w:val="24"/>
          <w:u w:val="single"/>
        </w:rPr>
        <w:t>MVRCS Wait List</w:t>
      </w:r>
    </w:p>
    <w:p w:rsidR="00425623" w:rsidRDefault="00425623" w:rsidP="00200FF7">
      <w:pPr>
        <w:rPr>
          <w:szCs w:val="24"/>
          <w:u w:val="single"/>
        </w:rPr>
      </w:pPr>
    </w:p>
    <w:p w:rsidR="00425623" w:rsidRDefault="00AF438A" w:rsidP="00544FAA">
      <w:pPr>
        <w:tabs>
          <w:tab w:val="left" w:pos="270"/>
        </w:tabs>
        <w:rPr>
          <w:szCs w:val="24"/>
        </w:rPr>
      </w:pPr>
      <w:r>
        <w:rPr>
          <w:szCs w:val="24"/>
        </w:rPr>
        <w:t xml:space="preserve">   </w:t>
      </w:r>
      <w:r w:rsidR="00544FAA">
        <w:rPr>
          <w:szCs w:val="24"/>
        </w:rPr>
        <w:tab/>
      </w:r>
      <w:r>
        <w:rPr>
          <w:szCs w:val="24"/>
        </w:rPr>
        <w:t>Everett</w:t>
      </w:r>
      <w:r>
        <w:rPr>
          <w:szCs w:val="24"/>
        </w:rPr>
        <w:tab/>
      </w:r>
      <w:r>
        <w:rPr>
          <w:szCs w:val="24"/>
        </w:rPr>
        <w:tab/>
        <w:t xml:space="preserve"> 14%</w:t>
      </w:r>
      <w:r>
        <w:rPr>
          <w:szCs w:val="24"/>
        </w:rPr>
        <w:tab/>
      </w:r>
      <w:r>
        <w:rPr>
          <w:szCs w:val="24"/>
        </w:rPr>
        <w:tab/>
        <w:t xml:space="preserve">    547</w:t>
      </w:r>
      <w:r>
        <w:rPr>
          <w:szCs w:val="24"/>
        </w:rPr>
        <w:tab/>
      </w:r>
      <w:r>
        <w:rPr>
          <w:szCs w:val="24"/>
        </w:rPr>
        <w:tab/>
      </w:r>
      <w:r>
        <w:rPr>
          <w:szCs w:val="24"/>
        </w:rPr>
        <w:tab/>
        <w:t>354</w:t>
      </w:r>
    </w:p>
    <w:p w:rsidR="00425623" w:rsidRDefault="00AF438A" w:rsidP="00544FAA">
      <w:pPr>
        <w:tabs>
          <w:tab w:val="left" w:pos="270"/>
        </w:tabs>
        <w:rPr>
          <w:szCs w:val="24"/>
        </w:rPr>
      </w:pPr>
      <w:r>
        <w:rPr>
          <w:szCs w:val="24"/>
        </w:rPr>
        <w:t xml:space="preserve">    Malden</w:t>
      </w:r>
      <w:r>
        <w:rPr>
          <w:szCs w:val="24"/>
        </w:rPr>
        <w:tab/>
      </w:r>
      <w:r>
        <w:rPr>
          <w:szCs w:val="24"/>
        </w:rPr>
        <w:tab/>
        <w:t xml:space="preserve"> 14%</w:t>
      </w:r>
      <w:r>
        <w:rPr>
          <w:szCs w:val="24"/>
        </w:rPr>
        <w:tab/>
      </w:r>
      <w:r>
        <w:rPr>
          <w:szCs w:val="24"/>
        </w:rPr>
        <w:tab/>
        <w:t xml:space="preserve">    343</w:t>
      </w:r>
      <w:r>
        <w:rPr>
          <w:szCs w:val="24"/>
        </w:rPr>
        <w:tab/>
      </w:r>
      <w:r>
        <w:rPr>
          <w:szCs w:val="24"/>
        </w:rPr>
        <w:tab/>
        <w:t xml:space="preserve">          1,069</w:t>
      </w:r>
    </w:p>
    <w:p w:rsidR="00425623" w:rsidRDefault="00AF438A" w:rsidP="00544FAA">
      <w:pPr>
        <w:tabs>
          <w:tab w:val="left" w:pos="270"/>
        </w:tabs>
        <w:rPr>
          <w:szCs w:val="24"/>
        </w:rPr>
      </w:pPr>
      <w:r>
        <w:rPr>
          <w:szCs w:val="24"/>
        </w:rPr>
        <w:t xml:space="preserve">    Medford</w:t>
      </w:r>
      <w:r>
        <w:rPr>
          <w:szCs w:val="24"/>
        </w:rPr>
        <w:tab/>
      </w:r>
      <w:r>
        <w:rPr>
          <w:szCs w:val="24"/>
        </w:rPr>
        <w:tab/>
        <w:t xml:space="preserve">   9%</w:t>
      </w:r>
      <w:r>
        <w:rPr>
          <w:szCs w:val="24"/>
        </w:rPr>
        <w:tab/>
      </w:r>
      <w:r>
        <w:rPr>
          <w:szCs w:val="24"/>
        </w:rPr>
        <w:tab/>
        <w:t xml:space="preserve">    131</w:t>
      </w:r>
      <w:r>
        <w:rPr>
          <w:szCs w:val="24"/>
        </w:rPr>
        <w:tab/>
      </w:r>
      <w:r>
        <w:rPr>
          <w:szCs w:val="24"/>
        </w:rPr>
        <w:tab/>
      </w:r>
      <w:r>
        <w:rPr>
          <w:szCs w:val="24"/>
        </w:rPr>
        <w:tab/>
        <w:t>320</w:t>
      </w:r>
    </w:p>
    <w:p w:rsidR="00425623" w:rsidRDefault="00AF438A" w:rsidP="00544FAA">
      <w:pPr>
        <w:tabs>
          <w:tab w:val="left" w:pos="270"/>
        </w:tabs>
        <w:rPr>
          <w:szCs w:val="24"/>
        </w:rPr>
      </w:pPr>
      <w:r>
        <w:rPr>
          <w:szCs w:val="24"/>
        </w:rPr>
        <w:t xml:space="preserve">    Melrose</w:t>
      </w:r>
      <w:r>
        <w:rPr>
          <w:szCs w:val="24"/>
        </w:rPr>
        <w:tab/>
      </w:r>
      <w:r>
        <w:rPr>
          <w:szCs w:val="24"/>
        </w:rPr>
        <w:tab/>
        <w:t xml:space="preserve">   9%</w:t>
      </w:r>
      <w:r>
        <w:rPr>
          <w:szCs w:val="24"/>
        </w:rPr>
        <w:tab/>
      </w:r>
      <w:r>
        <w:rPr>
          <w:szCs w:val="24"/>
        </w:rPr>
        <w:tab/>
        <w:t xml:space="preserve">      89 </w:t>
      </w:r>
      <w:r>
        <w:rPr>
          <w:szCs w:val="24"/>
        </w:rPr>
        <w:tab/>
      </w:r>
      <w:r>
        <w:rPr>
          <w:szCs w:val="24"/>
        </w:rPr>
        <w:tab/>
      </w:r>
      <w:r>
        <w:rPr>
          <w:szCs w:val="24"/>
        </w:rPr>
        <w:tab/>
        <w:t>261</w:t>
      </w:r>
    </w:p>
    <w:p w:rsidR="00425623" w:rsidRDefault="00AF438A" w:rsidP="00544FAA">
      <w:pPr>
        <w:tabs>
          <w:tab w:val="left" w:pos="270"/>
        </w:tabs>
        <w:rPr>
          <w:szCs w:val="24"/>
        </w:rPr>
      </w:pPr>
      <w:r>
        <w:rPr>
          <w:szCs w:val="24"/>
        </w:rPr>
        <w:t xml:space="preserve">    Stoneham</w:t>
      </w:r>
      <w:r>
        <w:rPr>
          <w:szCs w:val="24"/>
        </w:rPr>
        <w:tab/>
      </w:r>
      <w:r>
        <w:rPr>
          <w:szCs w:val="24"/>
        </w:rPr>
        <w:tab/>
        <w:t xml:space="preserve">   9%</w:t>
      </w:r>
      <w:r>
        <w:rPr>
          <w:szCs w:val="24"/>
        </w:rPr>
        <w:tab/>
      </w:r>
      <w:r>
        <w:rPr>
          <w:szCs w:val="24"/>
        </w:rPr>
        <w:tab/>
        <w:t xml:space="preserve">    170</w:t>
      </w:r>
      <w:r>
        <w:rPr>
          <w:szCs w:val="24"/>
        </w:rPr>
        <w:tab/>
      </w:r>
      <w:r>
        <w:rPr>
          <w:szCs w:val="24"/>
        </w:rPr>
        <w:tab/>
      </w:r>
      <w:r>
        <w:rPr>
          <w:szCs w:val="24"/>
        </w:rPr>
        <w:tab/>
        <w:t>129</w:t>
      </w:r>
    </w:p>
    <w:p w:rsidR="00425623" w:rsidRDefault="00AF438A" w:rsidP="00544FAA">
      <w:pPr>
        <w:tabs>
          <w:tab w:val="left" w:pos="270"/>
        </w:tabs>
        <w:rPr>
          <w:szCs w:val="24"/>
        </w:rPr>
      </w:pPr>
      <w:r>
        <w:rPr>
          <w:szCs w:val="24"/>
        </w:rPr>
        <w:t xml:space="preserve">    Wakefield</w:t>
      </w:r>
      <w:r>
        <w:rPr>
          <w:szCs w:val="24"/>
        </w:rPr>
        <w:tab/>
      </w:r>
      <w:r>
        <w:rPr>
          <w:szCs w:val="24"/>
        </w:rPr>
        <w:tab/>
        <w:t xml:space="preserve">   9%</w:t>
      </w:r>
      <w:r>
        <w:rPr>
          <w:szCs w:val="24"/>
        </w:rPr>
        <w:tab/>
      </w:r>
      <w:r>
        <w:rPr>
          <w:szCs w:val="24"/>
        </w:rPr>
        <w:tab/>
        <w:t xml:space="preserve">    273</w:t>
      </w:r>
      <w:r>
        <w:rPr>
          <w:szCs w:val="24"/>
        </w:rPr>
        <w:tab/>
      </w:r>
      <w:r>
        <w:rPr>
          <w:szCs w:val="24"/>
        </w:rPr>
        <w:tab/>
      </w:r>
      <w:r>
        <w:rPr>
          <w:szCs w:val="24"/>
        </w:rPr>
        <w:tab/>
        <w:t xml:space="preserve">  95</w:t>
      </w:r>
    </w:p>
    <w:p w:rsidR="00425623" w:rsidRDefault="00425623" w:rsidP="00200FF7">
      <w:pPr>
        <w:rPr>
          <w:szCs w:val="24"/>
        </w:rPr>
      </w:pPr>
    </w:p>
    <w:p w:rsidR="00425623" w:rsidRDefault="00425623" w:rsidP="00200FF7">
      <w:pPr>
        <w:rPr>
          <w:szCs w:val="24"/>
        </w:rPr>
      </w:pPr>
      <w:r>
        <w:rPr>
          <w:szCs w:val="24"/>
        </w:rPr>
        <w:t>As you can see, there is still an overwhelming demand</w:t>
      </w:r>
      <w:r w:rsidR="009F7722">
        <w:rPr>
          <w:szCs w:val="24"/>
        </w:rPr>
        <w:t xml:space="preserve"> to obtain a seat at our charter school</w:t>
      </w:r>
      <w:r>
        <w:rPr>
          <w:szCs w:val="24"/>
        </w:rPr>
        <w:t>, based on our school’s wait list as well as the recent cap increases in Everett and Malden.</w:t>
      </w:r>
    </w:p>
    <w:p w:rsidR="00425623" w:rsidRDefault="00425623" w:rsidP="00200FF7">
      <w:pPr>
        <w:rPr>
          <w:szCs w:val="24"/>
        </w:rPr>
      </w:pPr>
    </w:p>
    <w:p w:rsidR="00425623" w:rsidRPr="00425623" w:rsidRDefault="009F7722" w:rsidP="00200FF7">
      <w:pPr>
        <w:rPr>
          <w:b/>
          <w:szCs w:val="24"/>
        </w:rPr>
      </w:pPr>
      <w:r>
        <w:rPr>
          <w:b/>
          <w:szCs w:val="24"/>
        </w:rPr>
        <w:t>Section D</w:t>
      </w:r>
      <w:r w:rsidR="00425623">
        <w:rPr>
          <w:b/>
          <w:szCs w:val="24"/>
        </w:rPr>
        <w:t>:  Educational Philosophy and Evidence of Academic Program Success</w:t>
      </w:r>
    </w:p>
    <w:p w:rsidR="00CC6267" w:rsidRPr="00CC6267" w:rsidRDefault="00CC6267" w:rsidP="00200FF7">
      <w:pPr>
        <w:rPr>
          <w:sz w:val="28"/>
          <w:szCs w:val="28"/>
        </w:rPr>
      </w:pPr>
    </w:p>
    <w:p w:rsidR="001E76F9" w:rsidRDefault="00200FF7" w:rsidP="00EA6FA4">
      <w:pPr>
        <w:rPr>
          <w:szCs w:val="24"/>
        </w:rPr>
      </w:pPr>
      <w:r w:rsidRPr="001B7C41">
        <w:rPr>
          <w:szCs w:val="24"/>
        </w:rPr>
        <w:t xml:space="preserve">The Mystic Valley Regional Charter School (MVRCS) was established in 1998 to </w:t>
      </w:r>
      <w:r w:rsidR="001E76F9">
        <w:rPr>
          <w:szCs w:val="24"/>
        </w:rPr>
        <w:t xml:space="preserve">offer </w:t>
      </w:r>
      <w:r w:rsidRPr="001B7C41">
        <w:rPr>
          <w:szCs w:val="24"/>
        </w:rPr>
        <w:t xml:space="preserve">the communities of Malden, Melrose, Medford, Stoneham, Everett and Wakefield with an alternative choice in public </w:t>
      </w:r>
      <w:r w:rsidR="005E557F">
        <w:rPr>
          <w:szCs w:val="24"/>
        </w:rPr>
        <w:t>schooling</w:t>
      </w:r>
      <w:r w:rsidRPr="001B7C41">
        <w:rPr>
          <w:szCs w:val="24"/>
        </w:rPr>
        <w:t>. The</w:t>
      </w:r>
      <w:r w:rsidR="005E557F">
        <w:rPr>
          <w:szCs w:val="24"/>
        </w:rPr>
        <w:t xml:space="preserve"> expressed mission </w:t>
      </w:r>
      <w:r w:rsidR="001E76F9">
        <w:rPr>
          <w:szCs w:val="24"/>
        </w:rPr>
        <w:t xml:space="preserve">of MVRCS </w:t>
      </w:r>
      <w:r w:rsidR="005E557F">
        <w:rPr>
          <w:szCs w:val="24"/>
        </w:rPr>
        <w:t xml:space="preserve">is to </w:t>
      </w:r>
      <w:r w:rsidR="005E557F" w:rsidRPr="001E76F9">
        <w:rPr>
          <w:szCs w:val="24"/>
        </w:rPr>
        <w:t>provide the opportunity of a world class education characterized by a well-mannered, disciplined and structured academic climate. Central to Mystic Valley's academic environment is the incorporation of selected core virtues and the fundamental ideals of our American Culture, which are embodied in the Declaration of Independence and the United States Constitution.</w:t>
      </w:r>
      <w:r w:rsidRPr="001B7C41">
        <w:rPr>
          <w:szCs w:val="24"/>
        </w:rPr>
        <w:t xml:space="preserve"> </w:t>
      </w:r>
    </w:p>
    <w:p w:rsidR="001E76F9" w:rsidRDefault="001E76F9" w:rsidP="00091E8F">
      <w:pPr>
        <w:ind w:firstLine="270"/>
        <w:rPr>
          <w:szCs w:val="24"/>
        </w:rPr>
      </w:pPr>
    </w:p>
    <w:p w:rsidR="00CD29B8" w:rsidRDefault="001E76F9" w:rsidP="00EA6FA4">
      <w:pPr>
        <w:rPr>
          <w:szCs w:val="24"/>
        </w:rPr>
      </w:pPr>
      <w:r>
        <w:rPr>
          <w:szCs w:val="24"/>
        </w:rPr>
        <w:t xml:space="preserve">The </w:t>
      </w:r>
      <w:r w:rsidR="00200FF7" w:rsidRPr="001B7C41">
        <w:rPr>
          <w:szCs w:val="24"/>
        </w:rPr>
        <w:t>school’s</w:t>
      </w:r>
      <w:r>
        <w:rPr>
          <w:szCs w:val="24"/>
        </w:rPr>
        <w:t xml:space="preserve"> </w:t>
      </w:r>
      <w:r w:rsidR="00200FF7" w:rsidRPr="001B7C41">
        <w:rPr>
          <w:szCs w:val="24"/>
        </w:rPr>
        <w:t xml:space="preserve">academic design </w:t>
      </w:r>
      <w:r>
        <w:rPr>
          <w:szCs w:val="24"/>
        </w:rPr>
        <w:t>is</w:t>
      </w:r>
      <w:r w:rsidRPr="001B7C41">
        <w:rPr>
          <w:szCs w:val="24"/>
        </w:rPr>
        <w:t xml:space="preserve"> </w:t>
      </w:r>
      <w:r w:rsidR="00200FF7" w:rsidRPr="001B7C41">
        <w:rPr>
          <w:szCs w:val="24"/>
        </w:rPr>
        <w:t>centered on research-based curricular models that ha</w:t>
      </w:r>
      <w:r>
        <w:rPr>
          <w:szCs w:val="24"/>
        </w:rPr>
        <w:t>ve</w:t>
      </w:r>
      <w:r w:rsidR="00200FF7" w:rsidRPr="001B7C41">
        <w:rPr>
          <w:szCs w:val="24"/>
        </w:rPr>
        <w:t xml:space="preserve"> proven records of success</w:t>
      </w:r>
      <w:r w:rsidR="000C6DC4">
        <w:rPr>
          <w:szCs w:val="24"/>
        </w:rPr>
        <w:t xml:space="preserve"> with students from diverse backgrounds</w:t>
      </w:r>
      <w:r w:rsidR="00200FF7" w:rsidRPr="001B7C41">
        <w:rPr>
          <w:szCs w:val="24"/>
        </w:rPr>
        <w:t xml:space="preserve">. An academic and organizational framework was established </w:t>
      </w:r>
      <w:r>
        <w:rPr>
          <w:szCs w:val="24"/>
        </w:rPr>
        <w:t xml:space="preserve">early in the school’s history </w:t>
      </w:r>
      <w:r w:rsidR="00200FF7" w:rsidRPr="001B7C41">
        <w:rPr>
          <w:szCs w:val="24"/>
        </w:rPr>
        <w:t>in order to</w:t>
      </w:r>
      <w:r w:rsidR="00200FF7" w:rsidRPr="001B7C41">
        <w:rPr>
          <w:b/>
          <w:szCs w:val="24"/>
        </w:rPr>
        <w:t xml:space="preserve"> </w:t>
      </w:r>
      <w:r w:rsidR="00200FF7" w:rsidRPr="001B7C41">
        <w:rPr>
          <w:szCs w:val="24"/>
        </w:rPr>
        <w:t>implement the curricula.</w:t>
      </w:r>
      <w:r w:rsidR="00A0063E">
        <w:rPr>
          <w:szCs w:val="24"/>
        </w:rPr>
        <w:t xml:space="preserve">  </w:t>
      </w:r>
      <w:r w:rsidR="00200FF7" w:rsidRPr="001B7C41">
        <w:rPr>
          <w:szCs w:val="24"/>
        </w:rPr>
        <w:t>Th</w:t>
      </w:r>
      <w:r w:rsidR="00A0063E">
        <w:rPr>
          <w:szCs w:val="24"/>
        </w:rPr>
        <w:t xml:space="preserve">is </w:t>
      </w:r>
      <w:r w:rsidR="00DC3333">
        <w:rPr>
          <w:szCs w:val="24"/>
        </w:rPr>
        <w:lastRenderedPageBreak/>
        <w:t xml:space="preserve">framework </w:t>
      </w:r>
      <w:r w:rsidR="00200FF7" w:rsidRPr="001B7C41">
        <w:rPr>
          <w:szCs w:val="24"/>
        </w:rPr>
        <w:t>clearly defined</w:t>
      </w:r>
      <w:r w:rsidR="00DC3333">
        <w:rPr>
          <w:szCs w:val="24"/>
        </w:rPr>
        <w:t xml:space="preserve"> the</w:t>
      </w:r>
      <w:r w:rsidR="00200FF7" w:rsidRPr="001B7C41">
        <w:rPr>
          <w:szCs w:val="24"/>
        </w:rPr>
        <w:t xml:space="preserve"> expectations for student learning</w:t>
      </w:r>
      <w:r w:rsidR="00DC3333">
        <w:rPr>
          <w:szCs w:val="24"/>
        </w:rPr>
        <w:t xml:space="preserve"> that</w:t>
      </w:r>
      <w:r w:rsidR="00200FF7" w:rsidRPr="001B7C41">
        <w:rPr>
          <w:szCs w:val="24"/>
        </w:rPr>
        <w:t xml:space="preserve"> </w:t>
      </w:r>
      <w:r w:rsidR="000C6DC4">
        <w:rPr>
          <w:szCs w:val="24"/>
        </w:rPr>
        <w:t>is</w:t>
      </w:r>
      <w:r w:rsidR="000C6DC4" w:rsidRPr="001B7C41">
        <w:rPr>
          <w:szCs w:val="24"/>
        </w:rPr>
        <w:t xml:space="preserve"> </w:t>
      </w:r>
      <w:r w:rsidR="000C6DC4">
        <w:rPr>
          <w:szCs w:val="24"/>
        </w:rPr>
        <w:t>ess</w:t>
      </w:r>
      <w:r w:rsidR="00200FF7" w:rsidRPr="001B7C41">
        <w:rPr>
          <w:szCs w:val="24"/>
        </w:rPr>
        <w:t xml:space="preserve">ential to the realization of the lofty goals held </w:t>
      </w:r>
      <w:r w:rsidR="00DC3333">
        <w:rPr>
          <w:szCs w:val="24"/>
        </w:rPr>
        <w:t xml:space="preserve">by the school’s founders </w:t>
      </w:r>
      <w:r w:rsidR="00200FF7" w:rsidRPr="001B7C41">
        <w:rPr>
          <w:szCs w:val="24"/>
        </w:rPr>
        <w:t xml:space="preserve">for school-wide academic success. </w:t>
      </w:r>
    </w:p>
    <w:p w:rsidR="00CD29B8" w:rsidRDefault="00CD29B8" w:rsidP="00A0063E">
      <w:pPr>
        <w:ind w:firstLine="270"/>
        <w:rPr>
          <w:szCs w:val="24"/>
        </w:rPr>
      </w:pPr>
    </w:p>
    <w:p w:rsidR="00200FF7" w:rsidRPr="001B7C41" w:rsidRDefault="000127B0" w:rsidP="00EA6FA4">
      <w:pPr>
        <w:rPr>
          <w:szCs w:val="24"/>
        </w:rPr>
      </w:pPr>
      <w:r>
        <w:rPr>
          <w:szCs w:val="24"/>
        </w:rPr>
        <w:t xml:space="preserve">MVRCS incorporates </w:t>
      </w:r>
      <w:r w:rsidRPr="00A80532">
        <w:rPr>
          <w:i/>
          <w:szCs w:val="24"/>
        </w:rPr>
        <w:t xml:space="preserve">Direct Instruction, Core Knowledge, Saxon Math </w:t>
      </w:r>
      <w:r w:rsidRPr="00A80532">
        <w:rPr>
          <w:szCs w:val="24"/>
        </w:rPr>
        <w:t xml:space="preserve">and the </w:t>
      </w:r>
      <w:r w:rsidRPr="00A80532">
        <w:rPr>
          <w:i/>
          <w:szCs w:val="24"/>
        </w:rPr>
        <w:t>International Baccalaureate</w:t>
      </w:r>
      <w:r w:rsidRPr="001B7C41">
        <w:rPr>
          <w:szCs w:val="24"/>
        </w:rPr>
        <w:t xml:space="preserve"> </w:t>
      </w:r>
      <w:r>
        <w:rPr>
          <w:szCs w:val="24"/>
        </w:rPr>
        <w:t xml:space="preserve">as the </w:t>
      </w:r>
      <w:r w:rsidRPr="001B7C41">
        <w:rPr>
          <w:szCs w:val="24"/>
        </w:rPr>
        <w:t xml:space="preserve">primary components of Mystic Valley’s general K-12 curricular structure.   </w:t>
      </w:r>
      <w:r w:rsidR="00200FF7" w:rsidRPr="001B7C41">
        <w:rPr>
          <w:szCs w:val="24"/>
        </w:rPr>
        <w:t xml:space="preserve">The entire </w:t>
      </w:r>
      <w:r w:rsidR="00CD29B8">
        <w:rPr>
          <w:szCs w:val="24"/>
        </w:rPr>
        <w:t xml:space="preserve">school </w:t>
      </w:r>
      <w:r w:rsidR="00200FF7" w:rsidRPr="001B7C41">
        <w:rPr>
          <w:szCs w:val="24"/>
        </w:rPr>
        <w:t xml:space="preserve">curriculum </w:t>
      </w:r>
      <w:r w:rsidR="00CD29B8">
        <w:rPr>
          <w:szCs w:val="24"/>
        </w:rPr>
        <w:t>is</w:t>
      </w:r>
      <w:r w:rsidR="00200FF7" w:rsidRPr="001B7C41">
        <w:rPr>
          <w:szCs w:val="24"/>
        </w:rPr>
        <w:t xml:space="preserve"> based on learning </w:t>
      </w:r>
      <w:r>
        <w:rPr>
          <w:szCs w:val="24"/>
        </w:rPr>
        <w:t>mastery</w:t>
      </w:r>
      <w:r w:rsidRPr="001B7C41">
        <w:rPr>
          <w:szCs w:val="24"/>
        </w:rPr>
        <w:t xml:space="preserve"> </w:t>
      </w:r>
      <w:r w:rsidR="00200FF7" w:rsidRPr="001B7C41">
        <w:rPr>
          <w:szCs w:val="24"/>
        </w:rPr>
        <w:t xml:space="preserve">for students in all subjects and grade levels. These learning attainments </w:t>
      </w:r>
      <w:r w:rsidR="00CD29B8">
        <w:rPr>
          <w:szCs w:val="24"/>
        </w:rPr>
        <w:t>are</w:t>
      </w:r>
      <w:r w:rsidR="00CD29B8" w:rsidRPr="001B7C41">
        <w:rPr>
          <w:szCs w:val="24"/>
        </w:rPr>
        <w:t xml:space="preserve"> </w:t>
      </w:r>
      <w:r w:rsidR="00200FF7" w:rsidRPr="001B7C41">
        <w:rPr>
          <w:szCs w:val="24"/>
        </w:rPr>
        <w:t>primarily dictated by the standards set forth in the curricula</w:t>
      </w:r>
      <w:r w:rsidR="00AB35EA">
        <w:rPr>
          <w:szCs w:val="24"/>
        </w:rPr>
        <w:t>.</w:t>
      </w:r>
    </w:p>
    <w:p w:rsidR="00200FF7" w:rsidRPr="001B7C41" w:rsidRDefault="00200FF7" w:rsidP="00200FF7">
      <w:pPr>
        <w:rPr>
          <w:szCs w:val="24"/>
        </w:rPr>
      </w:pPr>
      <w:r w:rsidRPr="001B7C41">
        <w:rPr>
          <w:szCs w:val="24"/>
        </w:rPr>
        <w:t xml:space="preserve">         </w:t>
      </w:r>
    </w:p>
    <w:p w:rsidR="00200FF7" w:rsidRPr="001B7C41" w:rsidRDefault="00200FF7" w:rsidP="00200FF7">
      <w:pPr>
        <w:rPr>
          <w:szCs w:val="24"/>
        </w:rPr>
      </w:pPr>
      <w:r w:rsidRPr="001B7C41">
        <w:rPr>
          <w:szCs w:val="24"/>
        </w:rPr>
        <w:t xml:space="preserve">An important distinguishing factor in </w:t>
      </w:r>
      <w:r w:rsidR="00F84560">
        <w:rPr>
          <w:szCs w:val="24"/>
        </w:rPr>
        <w:t xml:space="preserve">MVRCS’s </w:t>
      </w:r>
      <w:r w:rsidRPr="001B7C41">
        <w:rPr>
          <w:szCs w:val="24"/>
        </w:rPr>
        <w:t xml:space="preserve">design </w:t>
      </w:r>
      <w:r w:rsidR="00F84560">
        <w:rPr>
          <w:szCs w:val="24"/>
        </w:rPr>
        <w:t>is</w:t>
      </w:r>
      <w:r w:rsidRPr="001B7C41">
        <w:rPr>
          <w:szCs w:val="24"/>
        </w:rPr>
        <w:t xml:space="preserve"> an extended school day and an extended school year. Regular school days begin at 8:00 a.m. and end at 3:30 p.m. The school year include</w:t>
      </w:r>
      <w:r w:rsidR="00F84560">
        <w:rPr>
          <w:szCs w:val="24"/>
        </w:rPr>
        <w:t>s</w:t>
      </w:r>
      <w:r w:rsidRPr="001B7C41">
        <w:rPr>
          <w:szCs w:val="24"/>
        </w:rPr>
        <w:t xml:space="preserve"> 200 school days as opposed to the traditional 180 school days found in most public schools. Priorities in daily time allotment for each subject area </w:t>
      </w:r>
      <w:r w:rsidR="00F84560">
        <w:rPr>
          <w:szCs w:val="24"/>
        </w:rPr>
        <w:t>are</w:t>
      </w:r>
      <w:r w:rsidR="00F84560" w:rsidRPr="001B7C41">
        <w:rPr>
          <w:szCs w:val="24"/>
        </w:rPr>
        <w:t xml:space="preserve"> </w:t>
      </w:r>
      <w:r w:rsidRPr="001B7C41">
        <w:rPr>
          <w:szCs w:val="24"/>
        </w:rPr>
        <w:t xml:space="preserve">given to Reading, Math and English/Language Arts in the foundational years of grades K-6. </w:t>
      </w:r>
      <w:r w:rsidR="00F84560">
        <w:rPr>
          <w:szCs w:val="24"/>
        </w:rPr>
        <w:t xml:space="preserve">Research </w:t>
      </w:r>
      <w:proofErr w:type="gramStart"/>
      <w:r w:rsidR="00F84560">
        <w:rPr>
          <w:szCs w:val="24"/>
        </w:rPr>
        <w:t xml:space="preserve">showed </w:t>
      </w:r>
      <w:r w:rsidRPr="001B7C41">
        <w:rPr>
          <w:szCs w:val="24"/>
        </w:rPr>
        <w:t xml:space="preserve"> that</w:t>
      </w:r>
      <w:proofErr w:type="gramEnd"/>
      <w:r w:rsidRPr="001B7C41">
        <w:rPr>
          <w:szCs w:val="24"/>
        </w:rPr>
        <w:t xml:space="preserve"> the opportunities for successful achievement in these </w:t>
      </w:r>
      <w:r w:rsidR="00F84560">
        <w:rPr>
          <w:szCs w:val="24"/>
        </w:rPr>
        <w:t xml:space="preserve">early years </w:t>
      </w:r>
      <w:r w:rsidRPr="001B7C41">
        <w:rPr>
          <w:szCs w:val="24"/>
        </w:rPr>
        <w:t xml:space="preserve">were essential for success in later grades. The concept of skill practice </w:t>
      </w:r>
      <w:r w:rsidR="00F84560">
        <w:rPr>
          <w:szCs w:val="24"/>
        </w:rPr>
        <w:t>is</w:t>
      </w:r>
      <w:r w:rsidR="00F84560" w:rsidRPr="001B7C41">
        <w:rPr>
          <w:szCs w:val="24"/>
        </w:rPr>
        <w:t xml:space="preserve"> </w:t>
      </w:r>
      <w:r w:rsidRPr="001B7C41">
        <w:rPr>
          <w:szCs w:val="24"/>
        </w:rPr>
        <w:t xml:space="preserve">also heavily emphasized throughout the curriculum and clearly defined in the school’s written documents.     </w:t>
      </w:r>
    </w:p>
    <w:p w:rsidR="00200FF7" w:rsidRPr="001B7C41" w:rsidRDefault="00200FF7" w:rsidP="00200FF7">
      <w:pPr>
        <w:rPr>
          <w:szCs w:val="24"/>
        </w:rPr>
      </w:pPr>
      <w:r w:rsidRPr="001B7C41">
        <w:rPr>
          <w:szCs w:val="24"/>
        </w:rPr>
        <w:t xml:space="preserve">     </w:t>
      </w:r>
    </w:p>
    <w:p w:rsidR="00B2359B" w:rsidRDefault="00200FF7" w:rsidP="00200FF7">
      <w:pPr>
        <w:rPr>
          <w:szCs w:val="24"/>
        </w:rPr>
      </w:pPr>
      <w:r w:rsidRPr="001B7C41">
        <w:rPr>
          <w:szCs w:val="24"/>
        </w:rPr>
        <w:t xml:space="preserve">Data collection on a weekly, monthly, and yearly basis has always been an integral part of the academic operations at Mystic Valley. Weekly assessments of student progress are conducted for grades K-12.  Ability-based instructional groups based on placement standards in Reading and Math are established and consistently monitored. Block scheduling, frequent assessments and augmented staffing provide the necessary support for accurate weekly reports on student progress toward learning objectives. </w:t>
      </w:r>
    </w:p>
    <w:p w:rsidR="00B2359B" w:rsidRDefault="00B2359B" w:rsidP="00200FF7">
      <w:pPr>
        <w:rPr>
          <w:szCs w:val="24"/>
        </w:rPr>
      </w:pPr>
    </w:p>
    <w:p w:rsidR="00D7036E" w:rsidRDefault="00200FF7" w:rsidP="00EA6FA4">
      <w:pPr>
        <w:rPr>
          <w:szCs w:val="24"/>
        </w:rPr>
      </w:pPr>
      <w:r w:rsidRPr="001B7C41">
        <w:rPr>
          <w:szCs w:val="24"/>
        </w:rPr>
        <w:t xml:space="preserve">Assessments for competency in grades K-6 </w:t>
      </w:r>
      <w:proofErr w:type="gramStart"/>
      <w:r w:rsidRPr="001B7C41">
        <w:rPr>
          <w:szCs w:val="24"/>
        </w:rPr>
        <w:t>are</w:t>
      </w:r>
      <w:proofErr w:type="gramEnd"/>
      <w:r w:rsidRPr="001B7C41">
        <w:rPr>
          <w:szCs w:val="24"/>
        </w:rPr>
        <w:t xml:space="preserve"> typically conducted every five lessons. The curriculum for all subjects is standardized and codified for all teachers in grades K-12. Pace of delivery is also monitored and expected to meet specific criteria. Competence in Math and Reading are determined by a correct answer rate of 80% for K-6 students in the corresponding ability-based instructional groups. This percentage constitutes a mastery-level learning rate. Students who do not receive a correct rate of 80% are given remedial exercises on the deficient skill. A second assessment is then conducted to determine if the 80% rate has been reached. </w:t>
      </w:r>
    </w:p>
    <w:p w:rsidR="00EA6FA4" w:rsidRDefault="00EA6FA4" w:rsidP="00B2359B">
      <w:pPr>
        <w:ind w:firstLine="270"/>
        <w:rPr>
          <w:b/>
          <w:bCs/>
          <w:szCs w:val="24"/>
        </w:rPr>
      </w:pPr>
    </w:p>
    <w:p w:rsidR="00200FF7" w:rsidRPr="00D7036E" w:rsidRDefault="00905A57" w:rsidP="00EA6FA4">
      <w:pPr>
        <w:rPr>
          <w:b/>
          <w:bCs/>
          <w:szCs w:val="24"/>
        </w:rPr>
      </w:pPr>
      <w:r>
        <w:rPr>
          <w:szCs w:val="24"/>
        </w:rPr>
        <w:t>In keeping with another key aspect in the school’s mission statement, C</w:t>
      </w:r>
      <w:r w:rsidR="00200FF7" w:rsidRPr="001B7C41">
        <w:rPr>
          <w:szCs w:val="24"/>
        </w:rPr>
        <w:t xml:space="preserve">haracter </w:t>
      </w:r>
      <w:r>
        <w:rPr>
          <w:szCs w:val="24"/>
        </w:rPr>
        <w:t>E</w:t>
      </w:r>
      <w:r w:rsidR="00200FF7" w:rsidRPr="001B7C41">
        <w:rPr>
          <w:szCs w:val="24"/>
        </w:rPr>
        <w:t xml:space="preserve">ducation became another important part of the K-12 curriculum at Mystic Valley. It is the first class taught each school day in all grades. Core virtues, important civic-oriented values and positive character traits became the major objectives of the curriculum. Instructional methods vary in accordance with age and grade-appropriate content. </w:t>
      </w:r>
    </w:p>
    <w:p w:rsidR="00200FF7" w:rsidRPr="001B7C41" w:rsidRDefault="00200FF7" w:rsidP="00200FF7">
      <w:pPr>
        <w:rPr>
          <w:szCs w:val="24"/>
        </w:rPr>
      </w:pPr>
    </w:p>
    <w:p w:rsidR="00200FF7" w:rsidRPr="001B7C41" w:rsidRDefault="00200FF7" w:rsidP="00200FF7">
      <w:pPr>
        <w:rPr>
          <w:szCs w:val="24"/>
        </w:rPr>
      </w:pPr>
      <w:r w:rsidRPr="001B7C41">
        <w:rPr>
          <w:szCs w:val="24"/>
        </w:rPr>
        <w:t xml:space="preserve">Faculty and staff, throughout all grade levels, uniformly implement a single student conduct code and general school and classroom management strategy based on the principles taught in the Character Education program. An assertive discipline approach is used in conjunction with positive reinforcement strategies. The school encourages and expects the support of parents in reinforcing all behavioral expectations for students.   </w:t>
      </w:r>
    </w:p>
    <w:p w:rsidR="00EA6FA4" w:rsidRPr="001B7C41" w:rsidRDefault="00EA6FA4" w:rsidP="00200FF7">
      <w:pPr>
        <w:rPr>
          <w:szCs w:val="24"/>
        </w:rPr>
      </w:pPr>
    </w:p>
    <w:p w:rsidR="00200FF7" w:rsidRPr="001B7C41" w:rsidRDefault="00200FF7" w:rsidP="00200FF7">
      <w:pPr>
        <w:rPr>
          <w:szCs w:val="24"/>
        </w:rPr>
      </w:pPr>
      <w:r w:rsidRPr="001B7C41">
        <w:rPr>
          <w:szCs w:val="24"/>
        </w:rPr>
        <w:lastRenderedPageBreak/>
        <w:t xml:space="preserve">Communication between teachers in the same academic department and the same grade level is a regular practice at MVRCS. The structure that was developed for the fulfillment of this particular academic and operational goal begins with the members of the leadership team. The Assistant Director of the lower school holds supervisory responsibility for all personnel and academic operations for grades K-8. The Assistant Director of the high school holds the same responsibility for grades 9-12.Communication and coordination concerning all academic matters takes place regularly among these academic leaders along with the school Superintendent and other members of the leadership team. </w:t>
      </w:r>
    </w:p>
    <w:p w:rsidR="00200FF7" w:rsidRPr="001B7C41" w:rsidRDefault="00200FF7" w:rsidP="00200FF7">
      <w:pPr>
        <w:rPr>
          <w:szCs w:val="24"/>
        </w:rPr>
      </w:pPr>
      <w:r w:rsidRPr="001B7C41">
        <w:rPr>
          <w:szCs w:val="24"/>
        </w:rPr>
        <w:t xml:space="preserve">     </w:t>
      </w:r>
    </w:p>
    <w:p w:rsidR="00EA6FA4" w:rsidRDefault="00200FF7" w:rsidP="00200FF7">
      <w:pPr>
        <w:rPr>
          <w:szCs w:val="24"/>
        </w:rPr>
      </w:pPr>
      <w:r w:rsidRPr="001B7C41">
        <w:rPr>
          <w:szCs w:val="24"/>
        </w:rPr>
        <w:t xml:space="preserve">The next level of coordination involves the Professional Development Coordinators and the Department Heads for each academic subject. They oversee the implementation of their particular subject matter in grades K-12. Lead Teachers at each grade level for K-8 provide daily operational and academic support to the teachers on their teams. The school’s master schedule allows for regular team and department meetings. Formal cross-department and cross-grade level meetings take place regularly. </w:t>
      </w:r>
    </w:p>
    <w:p w:rsidR="00EA6FA4" w:rsidRPr="001B7C41" w:rsidRDefault="00EA6FA4" w:rsidP="00200FF7">
      <w:pPr>
        <w:rPr>
          <w:szCs w:val="24"/>
        </w:rPr>
      </w:pPr>
    </w:p>
    <w:p w:rsidR="004B3161" w:rsidRDefault="004B3161" w:rsidP="00EA6FA4">
      <w:pPr>
        <w:rPr>
          <w:szCs w:val="24"/>
        </w:rPr>
      </w:pPr>
      <w:r>
        <w:rPr>
          <w:szCs w:val="24"/>
        </w:rPr>
        <w:t xml:space="preserve">In addition, MVRCS provides a comprehensive Special Education program to support students needing curricular accommodations.  The Director of Special Education oversees a team of trained educators assisting students in and outside of the classroom.  In the March 2012 Federal Program Renewal Inspection Final Report, the visiting team found that “students with diverse learning needs are effectively supported within the general education program.” </w:t>
      </w:r>
    </w:p>
    <w:p w:rsidR="004B3161" w:rsidRPr="001B7C41" w:rsidRDefault="004B3161" w:rsidP="00200FF7">
      <w:pPr>
        <w:rPr>
          <w:szCs w:val="24"/>
        </w:rPr>
      </w:pPr>
    </w:p>
    <w:p w:rsidR="00200FF7" w:rsidRPr="001B7C41" w:rsidRDefault="00200FF7" w:rsidP="00200FF7">
      <w:pPr>
        <w:rPr>
          <w:szCs w:val="24"/>
        </w:rPr>
      </w:pPr>
      <w:r w:rsidRPr="001B7C41">
        <w:rPr>
          <w:szCs w:val="24"/>
        </w:rPr>
        <w:t xml:space="preserve">All of the academic leaders mentioned above play a role in the school’s oversight of the implementation of the established learning standards for each academic area. The learning standards have been clearly outlined in the curriculum guides for each subject. </w:t>
      </w:r>
      <w:r w:rsidR="00F35B79">
        <w:rPr>
          <w:szCs w:val="24"/>
        </w:rPr>
        <w:t xml:space="preserve">Beginning in the </w:t>
      </w:r>
      <w:r w:rsidR="004B3161">
        <w:rPr>
          <w:szCs w:val="24"/>
        </w:rPr>
        <w:t>fall</w:t>
      </w:r>
      <w:r w:rsidR="00F35B79">
        <w:rPr>
          <w:szCs w:val="24"/>
        </w:rPr>
        <w:t xml:space="preserve"> of 2012, MVRCS will utilize Rubicon’s Atlas Curriculum Mapping software to better enable the monitoring of both the vertical and horizontal alignment of our instruction.  Through these</w:t>
      </w:r>
      <w:r w:rsidRPr="001B7C41">
        <w:rPr>
          <w:szCs w:val="24"/>
        </w:rPr>
        <w:t xml:space="preserve"> established structure</w:t>
      </w:r>
      <w:r w:rsidR="00F35B79">
        <w:rPr>
          <w:szCs w:val="24"/>
        </w:rPr>
        <w:t>s</w:t>
      </w:r>
      <w:r w:rsidRPr="001B7C41">
        <w:rPr>
          <w:szCs w:val="24"/>
        </w:rPr>
        <w:t xml:space="preserve">, all teachers and support services personnel work to instruct students toward the successful achievement of the school </w:t>
      </w:r>
      <w:r w:rsidR="00F35B79">
        <w:rPr>
          <w:szCs w:val="24"/>
        </w:rPr>
        <w:t xml:space="preserve">and state </w:t>
      </w:r>
      <w:r w:rsidRPr="001B7C41">
        <w:rPr>
          <w:szCs w:val="24"/>
        </w:rPr>
        <w:t xml:space="preserve">standards.   </w:t>
      </w:r>
    </w:p>
    <w:p w:rsidR="0040670B" w:rsidRPr="001B7C41" w:rsidRDefault="0040670B" w:rsidP="00200FF7">
      <w:pPr>
        <w:rPr>
          <w:szCs w:val="24"/>
        </w:rPr>
      </w:pPr>
    </w:p>
    <w:p w:rsidR="004702AC" w:rsidRDefault="00200FF7" w:rsidP="004702AC">
      <w:r w:rsidRPr="001B7C41">
        <w:rPr>
          <w:szCs w:val="24"/>
        </w:rPr>
        <w:t xml:space="preserve">Although the school is quite young by most measures, validation of its sound academic </w:t>
      </w:r>
      <w:r w:rsidR="0040670B">
        <w:rPr>
          <w:szCs w:val="24"/>
        </w:rPr>
        <w:t>program</w:t>
      </w:r>
      <w:r w:rsidR="0040670B" w:rsidRPr="001B7C41">
        <w:rPr>
          <w:szCs w:val="24"/>
        </w:rPr>
        <w:t xml:space="preserve"> </w:t>
      </w:r>
      <w:r w:rsidRPr="001B7C41">
        <w:rPr>
          <w:szCs w:val="24"/>
        </w:rPr>
        <w:t xml:space="preserve">has not been long in coming. The school’s MCAS results have consistently placed its students in a strong position relative to its sending districts. </w:t>
      </w:r>
      <w:r w:rsidR="00EA6FA4">
        <w:rPr>
          <w:szCs w:val="24"/>
        </w:rPr>
        <w:t>This year, Mystic Valley was r</w:t>
      </w:r>
      <w:r w:rsidR="00EA6FA4" w:rsidRPr="00EA6FA4">
        <w:rPr>
          <w:szCs w:val="24"/>
        </w:rPr>
        <w:t xml:space="preserve">anked </w:t>
      </w:r>
      <w:r w:rsidR="00EA6FA4">
        <w:rPr>
          <w:szCs w:val="24"/>
        </w:rPr>
        <w:t>the 2</w:t>
      </w:r>
      <w:r w:rsidR="00EA6FA4" w:rsidRPr="00EA6FA4">
        <w:rPr>
          <w:szCs w:val="24"/>
          <w:vertAlign w:val="superscript"/>
        </w:rPr>
        <w:t>nd</w:t>
      </w:r>
      <w:r w:rsidR="00EA6FA4" w:rsidRPr="00EA6FA4">
        <w:rPr>
          <w:szCs w:val="24"/>
        </w:rPr>
        <w:t xml:space="preserve"> best publi</w:t>
      </w:r>
      <w:r w:rsidR="00EA6FA4">
        <w:rPr>
          <w:szCs w:val="24"/>
        </w:rPr>
        <w:t>c high school in Massachusetts, 23</w:t>
      </w:r>
      <w:r w:rsidR="00EA6FA4" w:rsidRPr="00EA6FA4">
        <w:rPr>
          <w:szCs w:val="24"/>
          <w:vertAlign w:val="superscript"/>
        </w:rPr>
        <w:t>rd</w:t>
      </w:r>
      <w:r w:rsidR="00EA6FA4" w:rsidRPr="00EA6FA4">
        <w:rPr>
          <w:szCs w:val="24"/>
        </w:rPr>
        <w:t xml:space="preserve"> best charter</w:t>
      </w:r>
      <w:r w:rsidR="00EA6FA4">
        <w:rPr>
          <w:szCs w:val="24"/>
        </w:rPr>
        <w:t xml:space="preserve"> school in the country, and 122</w:t>
      </w:r>
      <w:r w:rsidR="00EA6FA4" w:rsidRPr="00EA6FA4">
        <w:rPr>
          <w:szCs w:val="24"/>
          <w:vertAlign w:val="superscript"/>
        </w:rPr>
        <w:t>nd</w:t>
      </w:r>
      <w:r w:rsidR="00EA6FA4" w:rsidRPr="00EA6FA4">
        <w:rPr>
          <w:szCs w:val="24"/>
        </w:rPr>
        <w:t xml:space="preserve"> best high school in the nation by </w:t>
      </w:r>
      <w:r w:rsidR="00EA6FA4" w:rsidRPr="00EA6FA4">
        <w:rPr>
          <w:i/>
          <w:szCs w:val="24"/>
        </w:rPr>
        <w:t>Newsweek</w:t>
      </w:r>
      <w:r w:rsidR="00EA6FA4" w:rsidRPr="00EA6FA4">
        <w:rPr>
          <w:szCs w:val="24"/>
        </w:rPr>
        <w:t>.</w:t>
      </w:r>
      <w:r w:rsidR="00EA6FA4">
        <w:rPr>
          <w:szCs w:val="24"/>
        </w:rPr>
        <w:t xml:space="preserve"> </w:t>
      </w:r>
      <w:r w:rsidR="00EA6FA4" w:rsidRPr="00EA6FA4">
        <w:rPr>
          <w:i/>
          <w:szCs w:val="24"/>
        </w:rPr>
        <w:t>The Washington Post</w:t>
      </w:r>
      <w:r w:rsidR="00EA6FA4">
        <w:rPr>
          <w:szCs w:val="24"/>
        </w:rPr>
        <w:t xml:space="preserve"> r</w:t>
      </w:r>
      <w:r w:rsidR="00EA6FA4" w:rsidRPr="00EA6FA4">
        <w:rPr>
          <w:szCs w:val="24"/>
        </w:rPr>
        <w:t>anked</w:t>
      </w:r>
      <w:r w:rsidR="00EA6FA4">
        <w:rPr>
          <w:szCs w:val="24"/>
        </w:rPr>
        <w:t xml:space="preserve"> the school as the 5</w:t>
      </w:r>
      <w:r w:rsidR="00EA6FA4" w:rsidRPr="00EA6FA4">
        <w:rPr>
          <w:szCs w:val="24"/>
          <w:vertAlign w:val="superscript"/>
        </w:rPr>
        <w:t>th</w:t>
      </w:r>
      <w:r w:rsidR="00EA6FA4" w:rsidRPr="00EA6FA4">
        <w:rPr>
          <w:szCs w:val="24"/>
        </w:rPr>
        <w:t xml:space="preserve"> best public high s</w:t>
      </w:r>
      <w:r w:rsidR="00EA6FA4">
        <w:rPr>
          <w:szCs w:val="24"/>
        </w:rPr>
        <w:t>chool in Massachusetts</w:t>
      </w:r>
      <w:r w:rsidR="00EA6FA4" w:rsidRPr="00EA6FA4">
        <w:rPr>
          <w:szCs w:val="24"/>
        </w:rPr>
        <w:t>.</w:t>
      </w:r>
      <w:r w:rsidR="00EA6FA4">
        <w:rPr>
          <w:szCs w:val="24"/>
        </w:rPr>
        <w:t xml:space="preserve"> </w:t>
      </w:r>
      <w:r w:rsidR="00EA6FA4" w:rsidRPr="00EA6FA4">
        <w:rPr>
          <w:i/>
          <w:szCs w:val="24"/>
        </w:rPr>
        <w:t>US News and World Report</w:t>
      </w:r>
      <w:r w:rsidR="00EA6FA4" w:rsidRPr="00EA6FA4">
        <w:rPr>
          <w:szCs w:val="24"/>
        </w:rPr>
        <w:t xml:space="preserve"> </w:t>
      </w:r>
      <w:r w:rsidR="00EA6FA4">
        <w:rPr>
          <w:szCs w:val="24"/>
        </w:rPr>
        <w:t>ranked Mystic Valley the 8</w:t>
      </w:r>
      <w:r w:rsidR="00EA6FA4" w:rsidRPr="00EA6FA4">
        <w:rPr>
          <w:szCs w:val="24"/>
          <w:vertAlign w:val="superscript"/>
        </w:rPr>
        <w:t>th</w:t>
      </w:r>
      <w:r w:rsidR="00EA6FA4" w:rsidRPr="00EA6FA4">
        <w:rPr>
          <w:szCs w:val="24"/>
        </w:rPr>
        <w:t xml:space="preserve"> best </w:t>
      </w:r>
      <w:r w:rsidR="004702AC">
        <w:t>public high school in Massachusetts and the 31st best charter in the country. This was the fifth consecutive year the school earned similar accolades from these publications.</w:t>
      </w:r>
    </w:p>
    <w:p w:rsidR="00CA22A2" w:rsidRDefault="00CA22A2" w:rsidP="00810183"/>
    <w:p w:rsidR="00810183" w:rsidRDefault="00810183" w:rsidP="00810183">
      <w:r>
        <w:t>The chart below shows Mystic Valley equaled or exceeded the weighted composite average for proficienc</w:t>
      </w:r>
      <w:r w:rsidR="00D973CA">
        <w:t>y for the sending districts on 7 out of 7 (100%) 2011</w:t>
      </w:r>
      <w:r>
        <w:t xml:space="preserve"> ELA MCAS exams.  For all grades, Mystic Valley’s </w:t>
      </w:r>
      <w:r w:rsidR="00D973CA">
        <w:t>average proficiency level was 21</w:t>
      </w:r>
      <w:r>
        <w:t>% higher than that of the sending districts.</w:t>
      </w:r>
    </w:p>
    <w:p w:rsidR="00810183" w:rsidRDefault="00810183" w:rsidP="00200FF7">
      <w:pPr>
        <w:rPr>
          <w:szCs w:val="24"/>
        </w:rPr>
      </w:pPr>
    </w:p>
    <w:p w:rsidR="00810183" w:rsidRDefault="00810183" w:rsidP="00200FF7">
      <w:pPr>
        <w:rPr>
          <w:szCs w:val="24"/>
        </w:rPr>
      </w:pPr>
    </w:p>
    <w:p w:rsidR="00810183" w:rsidRDefault="00810183" w:rsidP="00200FF7">
      <w:pPr>
        <w:rPr>
          <w:szCs w:val="24"/>
        </w:rPr>
      </w:pPr>
    </w:p>
    <w:tbl>
      <w:tblPr>
        <w:tblW w:w="9735" w:type="dxa"/>
        <w:tblInd w:w="93" w:type="dxa"/>
        <w:tblLayout w:type="fixed"/>
        <w:tblLook w:val="04A0" w:firstRow="1" w:lastRow="0" w:firstColumn="1" w:lastColumn="0" w:noHBand="0" w:noVBand="1"/>
      </w:tblPr>
      <w:tblGrid>
        <w:gridCol w:w="1095"/>
        <w:gridCol w:w="990"/>
        <w:gridCol w:w="956"/>
        <w:gridCol w:w="3228"/>
        <w:gridCol w:w="946"/>
        <w:gridCol w:w="1170"/>
        <w:gridCol w:w="1350"/>
      </w:tblGrid>
      <w:tr w:rsidR="00B20FA3" w:rsidRPr="00CB27C1" w:rsidTr="00810183">
        <w:trPr>
          <w:trHeight w:val="360"/>
        </w:trPr>
        <w:tc>
          <w:tcPr>
            <w:tcW w:w="1095"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990"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956"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3228" w:type="dxa"/>
            <w:vMerge w:val="restart"/>
            <w:tcBorders>
              <w:top w:val="single" w:sz="8" w:space="0" w:color="auto"/>
              <w:left w:val="single" w:sz="8" w:space="0" w:color="auto"/>
              <w:bottom w:val="single" w:sz="8" w:space="0" w:color="000000"/>
              <w:right w:val="single" w:sz="8" w:space="0" w:color="000000"/>
            </w:tcBorders>
            <w:shd w:val="clear" w:color="000000" w:fill="00FFFF"/>
            <w:vAlign w:val="bottom"/>
            <w:hideMark/>
          </w:tcPr>
          <w:p w:rsidR="00B20FA3" w:rsidRPr="00CB27C1" w:rsidRDefault="00B20FA3" w:rsidP="00B20FA3">
            <w:pPr>
              <w:jc w:val="center"/>
              <w:rPr>
                <w:rFonts w:ascii="Arial" w:hAnsi="Arial" w:cs="Arial"/>
                <w:b/>
                <w:bCs/>
                <w:sz w:val="20"/>
              </w:rPr>
            </w:pPr>
            <w:r w:rsidRPr="00CB27C1">
              <w:rPr>
                <w:rFonts w:ascii="Arial" w:hAnsi="Arial" w:cs="Arial"/>
                <w:b/>
                <w:bCs/>
                <w:sz w:val="20"/>
              </w:rPr>
              <w:t xml:space="preserve">District Comparisons with Percentages of MVRCS Students in Grades Three through Ten                                     </w:t>
            </w:r>
            <w:r w:rsidR="00D973CA">
              <w:rPr>
                <w:rFonts w:ascii="Arial" w:hAnsi="Arial" w:cs="Arial"/>
                <w:b/>
                <w:bCs/>
                <w:sz w:val="20"/>
              </w:rPr>
              <w:t xml:space="preserve">       Sending Districts of 2011</w:t>
            </w:r>
            <w:r w:rsidRPr="00CB27C1">
              <w:rPr>
                <w:rFonts w:ascii="Arial" w:hAnsi="Arial" w:cs="Arial"/>
                <w:b/>
                <w:bCs/>
                <w:sz w:val="20"/>
              </w:rPr>
              <w:t xml:space="preserve"> MCAS                        </w:t>
            </w:r>
          </w:p>
        </w:tc>
        <w:tc>
          <w:tcPr>
            <w:tcW w:w="946"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1170"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1350"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r>
      <w:tr w:rsidR="00B20FA3" w:rsidRPr="00CB27C1" w:rsidTr="00810183">
        <w:trPr>
          <w:trHeight w:val="360"/>
        </w:trPr>
        <w:tc>
          <w:tcPr>
            <w:tcW w:w="1095"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990"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956"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3228" w:type="dxa"/>
            <w:vMerge/>
            <w:tcBorders>
              <w:top w:val="nil"/>
              <w:left w:val="nil"/>
              <w:bottom w:val="nil"/>
              <w:right w:val="nil"/>
            </w:tcBorders>
            <w:vAlign w:val="center"/>
            <w:hideMark/>
          </w:tcPr>
          <w:p w:rsidR="00B20FA3" w:rsidRPr="00CB27C1" w:rsidRDefault="00B20FA3" w:rsidP="00B20FA3">
            <w:pPr>
              <w:rPr>
                <w:rFonts w:ascii="Arial" w:hAnsi="Arial" w:cs="Arial"/>
                <w:b/>
                <w:bCs/>
                <w:sz w:val="20"/>
              </w:rPr>
            </w:pPr>
          </w:p>
        </w:tc>
        <w:tc>
          <w:tcPr>
            <w:tcW w:w="946"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1170"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1350"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r>
      <w:tr w:rsidR="00B20FA3" w:rsidRPr="00CB27C1" w:rsidTr="00810183">
        <w:trPr>
          <w:trHeight w:val="360"/>
        </w:trPr>
        <w:tc>
          <w:tcPr>
            <w:tcW w:w="1095"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990"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956"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3228" w:type="dxa"/>
            <w:vMerge/>
            <w:tcBorders>
              <w:top w:val="nil"/>
              <w:left w:val="nil"/>
              <w:bottom w:val="nil"/>
              <w:right w:val="nil"/>
            </w:tcBorders>
            <w:vAlign w:val="center"/>
            <w:hideMark/>
          </w:tcPr>
          <w:p w:rsidR="00B20FA3" w:rsidRPr="00CB27C1" w:rsidRDefault="00B20FA3" w:rsidP="00B20FA3">
            <w:pPr>
              <w:rPr>
                <w:rFonts w:ascii="Arial" w:hAnsi="Arial" w:cs="Arial"/>
                <w:b/>
                <w:bCs/>
                <w:sz w:val="20"/>
              </w:rPr>
            </w:pPr>
          </w:p>
        </w:tc>
        <w:tc>
          <w:tcPr>
            <w:tcW w:w="946"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1170"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1350"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r>
      <w:tr w:rsidR="00B20FA3" w:rsidRPr="00CB27C1" w:rsidTr="00810183">
        <w:trPr>
          <w:trHeight w:val="375"/>
        </w:trPr>
        <w:tc>
          <w:tcPr>
            <w:tcW w:w="1095"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990"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956"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3228" w:type="dxa"/>
            <w:vMerge/>
            <w:tcBorders>
              <w:top w:val="nil"/>
              <w:left w:val="nil"/>
              <w:bottom w:val="nil"/>
              <w:right w:val="nil"/>
            </w:tcBorders>
            <w:vAlign w:val="center"/>
            <w:hideMark/>
          </w:tcPr>
          <w:p w:rsidR="00B20FA3" w:rsidRPr="00CB27C1" w:rsidRDefault="00B20FA3" w:rsidP="00B20FA3">
            <w:pPr>
              <w:rPr>
                <w:rFonts w:ascii="Arial" w:hAnsi="Arial" w:cs="Arial"/>
                <w:b/>
                <w:bCs/>
                <w:sz w:val="20"/>
              </w:rPr>
            </w:pPr>
          </w:p>
        </w:tc>
        <w:tc>
          <w:tcPr>
            <w:tcW w:w="946"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1170"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c>
          <w:tcPr>
            <w:tcW w:w="1350" w:type="dxa"/>
            <w:tcBorders>
              <w:top w:val="nil"/>
              <w:left w:val="nil"/>
              <w:bottom w:val="nil"/>
              <w:right w:val="nil"/>
            </w:tcBorders>
            <w:shd w:val="clear" w:color="auto" w:fill="auto"/>
            <w:noWrap/>
            <w:vAlign w:val="bottom"/>
            <w:hideMark/>
          </w:tcPr>
          <w:p w:rsidR="00B20FA3" w:rsidRPr="00CB27C1" w:rsidRDefault="00B20FA3" w:rsidP="00B20FA3">
            <w:pPr>
              <w:rPr>
                <w:rFonts w:ascii="Arial" w:hAnsi="Arial" w:cs="Arial"/>
                <w:sz w:val="20"/>
              </w:rPr>
            </w:pPr>
          </w:p>
        </w:tc>
      </w:tr>
    </w:tbl>
    <w:p w:rsidR="00D973CA" w:rsidRDefault="00D973CA" w:rsidP="00B243C4">
      <w:pPr>
        <w:rPr>
          <w:sz w:val="20"/>
        </w:rPr>
      </w:pPr>
    </w:p>
    <w:p w:rsidR="00D973CA" w:rsidRDefault="00D973CA" w:rsidP="00B243C4">
      <w:pPr>
        <w:rPr>
          <w:sz w:val="20"/>
        </w:rPr>
      </w:pPr>
    </w:p>
    <w:tbl>
      <w:tblPr>
        <w:tblW w:w="9080" w:type="dxa"/>
        <w:tblInd w:w="93" w:type="dxa"/>
        <w:tblLook w:val="04A0" w:firstRow="1" w:lastRow="0" w:firstColumn="1" w:lastColumn="0" w:noHBand="0" w:noVBand="1"/>
      </w:tblPr>
      <w:tblGrid>
        <w:gridCol w:w="1049"/>
        <w:gridCol w:w="905"/>
        <w:gridCol w:w="1120"/>
        <w:gridCol w:w="1120"/>
        <w:gridCol w:w="960"/>
        <w:gridCol w:w="1049"/>
        <w:gridCol w:w="905"/>
        <w:gridCol w:w="1120"/>
        <w:gridCol w:w="1120"/>
      </w:tblGrid>
      <w:tr w:rsidR="00D973CA" w:rsidRPr="00A15274" w:rsidTr="00806CF8">
        <w:trPr>
          <w:trHeight w:val="1320"/>
        </w:trPr>
        <w:tc>
          <w:tcPr>
            <w:tcW w:w="1000" w:type="dxa"/>
            <w:tcBorders>
              <w:top w:val="single" w:sz="8" w:space="0" w:color="auto"/>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3</w:t>
            </w:r>
            <w:r w:rsidRPr="00A15274">
              <w:rPr>
                <w:sz w:val="20"/>
                <w:vertAlign w:val="superscript"/>
              </w:rPr>
              <w:t>rd</w:t>
            </w:r>
            <w:r w:rsidRPr="00A15274">
              <w:rPr>
                <w:sz w:val="20"/>
              </w:rPr>
              <w:t xml:space="preserve"> Grade  ELA</w:t>
            </w:r>
          </w:p>
        </w:tc>
        <w:tc>
          <w:tcPr>
            <w:tcW w:w="820" w:type="dxa"/>
            <w:tcBorders>
              <w:top w:val="single" w:sz="8" w:space="0" w:color="auto"/>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of Students</w:t>
            </w:r>
          </w:p>
        </w:tc>
        <w:tc>
          <w:tcPr>
            <w:tcW w:w="1120" w:type="dxa"/>
            <w:tcBorders>
              <w:top w:val="single" w:sz="8" w:space="0" w:color="auto"/>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Actual 3</w:t>
            </w:r>
            <w:r w:rsidRPr="00A15274">
              <w:rPr>
                <w:sz w:val="20"/>
                <w:vertAlign w:val="superscript"/>
              </w:rPr>
              <w:t>rd</w:t>
            </w:r>
            <w:r w:rsidRPr="00A15274">
              <w:rPr>
                <w:sz w:val="20"/>
              </w:rPr>
              <w:t xml:space="preserve"> Grade Reading  A,P District Score</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Weighted 3</w:t>
            </w:r>
            <w:r w:rsidRPr="00A15274">
              <w:rPr>
                <w:sz w:val="20"/>
                <w:vertAlign w:val="superscript"/>
              </w:rPr>
              <w:t>rd</w:t>
            </w:r>
            <w:r w:rsidRPr="00A15274">
              <w:rPr>
                <w:sz w:val="20"/>
              </w:rPr>
              <w:t xml:space="preserve"> Grade Reading A,P  District Score</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4</w:t>
            </w:r>
            <w:r w:rsidRPr="00A15274">
              <w:rPr>
                <w:sz w:val="20"/>
                <w:vertAlign w:val="superscript"/>
              </w:rPr>
              <w:t>th</w:t>
            </w:r>
            <w:r w:rsidRPr="00A15274">
              <w:rPr>
                <w:sz w:val="20"/>
              </w:rPr>
              <w:t xml:space="preserve"> Grade ELA</w:t>
            </w:r>
          </w:p>
        </w:tc>
        <w:tc>
          <w:tcPr>
            <w:tcW w:w="820" w:type="dxa"/>
            <w:tcBorders>
              <w:top w:val="single" w:sz="8" w:space="0" w:color="auto"/>
              <w:left w:val="nil"/>
              <w:bottom w:val="nil"/>
              <w:right w:val="single" w:sz="8" w:space="0" w:color="auto"/>
            </w:tcBorders>
            <w:shd w:val="clear" w:color="auto" w:fill="auto"/>
            <w:hideMark/>
          </w:tcPr>
          <w:p w:rsidR="00D973CA" w:rsidRPr="00A15274" w:rsidRDefault="00D973CA" w:rsidP="00806CF8">
            <w:pPr>
              <w:rPr>
                <w:sz w:val="20"/>
              </w:rPr>
            </w:pPr>
            <w:r w:rsidRPr="00A15274">
              <w:rPr>
                <w:sz w:val="20"/>
              </w:rPr>
              <w:t>% of Students</w:t>
            </w:r>
          </w:p>
        </w:tc>
        <w:tc>
          <w:tcPr>
            <w:tcW w:w="1120" w:type="dxa"/>
            <w:tcBorders>
              <w:top w:val="single" w:sz="8" w:space="0" w:color="auto"/>
              <w:left w:val="nil"/>
              <w:bottom w:val="nil"/>
              <w:right w:val="single" w:sz="8" w:space="0" w:color="auto"/>
            </w:tcBorders>
            <w:shd w:val="clear" w:color="auto" w:fill="auto"/>
            <w:hideMark/>
          </w:tcPr>
          <w:p w:rsidR="00D973CA" w:rsidRPr="00A15274" w:rsidRDefault="00D973CA" w:rsidP="00806CF8">
            <w:pPr>
              <w:rPr>
                <w:sz w:val="20"/>
              </w:rPr>
            </w:pPr>
            <w:r w:rsidRPr="00A15274">
              <w:rPr>
                <w:sz w:val="20"/>
              </w:rPr>
              <w:t>Actual 4</w:t>
            </w:r>
            <w:r w:rsidRPr="00A15274">
              <w:rPr>
                <w:sz w:val="20"/>
                <w:vertAlign w:val="superscript"/>
              </w:rPr>
              <w:t>th</w:t>
            </w:r>
            <w:r w:rsidRPr="00A15274">
              <w:rPr>
                <w:sz w:val="20"/>
              </w:rPr>
              <w:t xml:space="preserve"> Grade ELA  A, P District Score</w:t>
            </w:r>
          </w:p>
        </w:tc>
        <w:tc>
          <w:tcPr>
            <w:tcW w:w="1120" w:type="dxa"/>
            <w:tcBorders>
              <w:top w:val="single" w:sz="8" w:space="0" w:color="auto"/>
              <w:left w:val="nil"/>
              <w:bottom w:val="nil"/>
              <w:right w:val="single" w:sz="8" w:space="0" w:color="auto"/>
            </w:tcBorders>
            <w:shd w:val="clear" w:color="auto" w:fill="auto"/>
            <w:hideMark/>
          </w:tcPr>
          <w:p w:rsidR="00D973CA" w:rsidRPr="00A15274" w:rsidRDefault="00D973CA" w:rsidP="00806CF8">
            <w:pPr>
              <w:rPr>
                <w:sz w:val="20"/>
              </w:rPr>
            </w:pPr>
            <w:r w:rsidRPr="00A15274">
              <w:rPr>
                <w:sz w:val="20"/>
              </w:rPr>
              <w:t>Weighted 4th Grade ELA  A, P,  District Score</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Malden</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42%</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16.10%</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Malden</w:t>
            </w:r>
          </w:p>
        </w:tc>
        <w:tc>
          <w:tcPr>
            <w:tcW w:w="820" w:type="dxa"/>
            <w:tcBorders>
              <w:top w:val="single" w:sz="8" w:space="0" w:color="auto"/>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25%</w:t>
            </w:r>
          </w:p>
        </w:tc>
        <w:tc>
          <w:tcPr>
            <w:tcW w:w="1120" w:type="dxa"/>
            <w:tcBorders>
              <w:top w:val="single" w:sz="8" w:space="0" w:color="auto"/>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31%</w:t>
            </w:r>
          </w:p>
        </w:tc>
        <w:tc>
          <w:tcPr>
            <w:tcW w:w="1120" w:type="dxa"/>
            <w:tcBorders>
              <w:top w:val="single" w:sz="8" w:space="0" w:color="auto"/>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7.75%</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Stoneham</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3.15%</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Stoneham</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3.30%</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Wakefield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67%</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5.58%</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Wakefield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72%</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2.40%</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Everett</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3.45%</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Everett</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19%</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8.43%</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Melrose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22%</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15.82%</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Melrose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15.47%</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Medford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6.88%</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Medford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6.38%</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Other*</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3.25%</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Other</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10%</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49%</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4.86%</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Total</w:t>
            </w:r>
          </w:p>
        </w:tc>
        <w:tc>
          <w:tcPr>
            <w:tcW w:w="8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 </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54.23%</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Total</w:t>
            </w:r>
          </w:p>
        </w:tc>
        <w:tc>
          <w:tcPr>
            <w:tcW w:w="8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101%</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 </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48.58%</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MVRCS</w:t>
            </w:r>
          </w:p>
        </w:tc>
        <w:tc>
          <w:tcPr>
            <w:tcW w:w="8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75%</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 xml:space="preserve"> </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MVRCS</w:t>
            </w:r>
          </w:p>
        </w:tc>
        <w:tc>
          <w:tcPr>
            <w:tcW w:w="8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59%</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 xml:space="preserve"> </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Variance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000000" w:fill="FFFF00"/>
            <w:hideMark/>
          </w:tcPr>
          <w:p w:rsidR="00D973CA" w:rsidRPr="00A15274" w:rsidRDefault="00D973CA" w:rsidP="00806CF8">
            <w:pPr>
              <w:jc w:val="right"/>
              <w:rPr>
                <w:sz w:val="20"/>
              </w:rPr>
            </w:pPr>
            <w:r w:rsidRPr="00A15274">
              <w:rPr>
                <w:sz w:val="20"/>
              </w:rPr>
              <w:t>38.30%</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Variance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000000" w:fill="FFFF00"/>
            <w:hideMark/>
          </w:tcPr>
          <w:p w:rsidR="00D973CA" w:rsidRPr="00A15274" w:rsidRDefault="00D973CA" w:rsidP="00806CF8">
            <w:pPr>
              <w:jc w:val="right"/>
              <w:rPr>
                <w:sz w:val="20"/>
              </w:rPr>
            </w:pPr>
            <w:r w:rsidRPr="00A15274">
              <w:rPr>
                <w:sz w:val="20"/>
              </w:rPr>
              <w:t>21.44%</w:t>
            </w:r>
          </w:p>
        </w:tc>
      </w:tr>
      <w:tr w:rsidR="00D973CA" w:rsidRPr="00A15274" w:rsidTr="00806CF8">
        <w:trPr>
          <w:trHeight w:val="319"/>
        </w:trPr>
        <w:tc>
          <w:tcPr>
            <w:tcW w:w="1000" w:type="dxa"/>
            <w:tcBorders>
              <w:top w:val="nil"/>
              <w:left w:val="nil"/>
              <w:bottom w:val="nil"/>
              <w:right w:val="nil"/>
            </w:tcBorders>
            <w:shd w:val="clear" w:color="auto" w:fill="auto"/>
            <w:noWrap/>
            <w:hideMark/>
          </w:tcPr>
          <w:p w:rsidR="00D973CA" w:rsidRPr="00A15274" w:rsidRDefault="00D973CA" w:rsidP="00806CF8">
            <w:pPr>
              <w:rPr>
                <w:sz w:val="20"/>
              </w:rPr>
            </w:pPr>
          </w:p>
        </w:tc>
        <w:tc>
          <w:tcPr>
            <w:tcW w:w="820" w:type="dxa"/>
            <w:tcBorders>
              <w:top w:val="nil"/>
              <w:left w:val="nil"/>
              <w:bottom w:val="nil"/>
              <w:right w:val="nil"/>
            </w:tcBorders>
            <w:shd w:val="clear" w:color="auto" w:fill="auto"/>
            <w:hideMark/>
          </w:tcPr>
          <w:p w:rsidR="00D973CA" w:rsidRPr="00A15274" w:rsidRDefault="00D973CA" w:rsidP="00806CF8">
            <w:pPr>
              <w:rPr>
                <w:sz w:val="20"/>
              </w:rPr>
            </w:pPr>
          </w:p>
        </w:tc>
        <w:tc>
          <w:tcPr>
            <w:tcW w:w="1120" w:type="dxa"/>
            <w:tcBorders>
              <w:top w:val="nil"/>
              <w:left w:val="nil"/>
              <w:bottom w:val="nil"/>
              <w:right w:val="nil"/>
            </w:tcBorders>
            <w:shd w:val="clear" w:color="auto" w:fill="auto"/>
            <w:hideMark/>
          </w:tcPr>
          <w:p w:rsidR="00D973CA" w:rsidRPr="00A15274" w:rsidRDefault="00D973CA" w:rsidP="00806CF8">
            <w:pPr>
              <w:rPr>
                <w:sz w:val="20"/>
              </w:rPr>
            </w:pPr>
          </w:p>
        </w:tc>
        <w:tc>
          <w:tcPr>
            <w:tcW w:w="1120" w:type="dxa"/>
            <w:tcBorders>
              <w:top w:val="nil"/>
              <w:left w:val="nil"/>
              <w:bottom w:val="nil"/>
              <w:right w:val="nil"/>
            </w:tcBorders>
            <w:shd w:val="clear" w:color="auto" w:fill="auto"/>
            <w:hideMark/>
          </w:tcPr>
          <w:p w:rsidR="00D973CA" w:rsidRPr="00A15274" w:rsidRDefault="00D973CA" w:rsidP="00806CF8">
            <w:pPr>
              <w:rPr>
                <w:sz w:val="20"/>
              </w:rPr>
            </w:pP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Cs w:val="24"/>
              </w:rPr>
            </w:pPr>
          </w:p>
        </w:tc>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360"/>
        </w:trPr>
        <w:tc>
          <w:tcPr>
            <w:tcW w:w="1000" w:type="dxa"/>
            <w:tcBorders>
              <w:top w:val="single" w:sz="8" w:space="0" w:color="auto"/>
              <w:left w:val="single" w:sz="8" w:space="0" w:color="auto"/>
              <w:bottom w:val="nil"/>
              <w:right w:val="single" w:sz="8" w:space="0" w:color="auto"/>
            </w:tcBorders>
            <w:shd w:val="clear" w:color="auto" w:fill="auto"/>
            <w:hideMark/>
          </w:tcPr>
          <w:p w:rsidR="00D973CA" w:rsidRPr="00A15274" w:rsidRDefault="00D973CA" w:rsidP="00806CF8">
            <w:pPr>
              <w:rPr>
                <w:sz w:val="20"/>
              </w:rPr>
            </w:pPr>
            <w:r w:rsidRPr="00A15274">
              <w:rPr>
                <w:sz w:val="20"/>
              </w:rPr>
              <w:t>5</w:t>
            </w:r>
            <w:r w:rsidRPr="00A15274">
              <w:rPr>
                <w:sz w:val="20"/>
                <w:vertAlign w:val="superscript"/>
              </w:rPr>
              <w:t>th</w:t>
            </w:r>
            <w:r w:rsidRPr="00A15274">
              <w:rPr>
                <w:sz w:val="20"/>
              </w:rPr>
              <w:t xml:space="preserve"> Grade</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 of Students</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Actual 5</w:t>
            </w:r>
            <w:r w:rsidRPr="00A15274">
              <w:rPr>
                <w:sz w:val="20"/>
                <w:vertAlign w:val="superscript"/>
              </w:rPr>
              <w:t>th</w:t>
            </w:r>
            <w:r w:rsidRPr="00A15274">
              <w:rPr>
                <w:sz w:val="20"/>
              </w:rPr>
              <w:t xml:space="preserve"> Grade ELA  A, P District Score</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Weighted 5th Grade ELA A, P,  District Score</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jc w:val="center"/>
              <w:rPr>
                <w:sz w:val="20"/>
              </w:rPr>
            </w:pPr>
            <w:r w:rsidRPr="00A15274">
              <w:rPr>
                <w:sz w:val="20"/>
              </w:rPr>
              <w:t>6</w:t>
            </w:r>
            <w:r w:rsidRPr="00A15274">
              <w:rPr>
                <w:sz w:val="20"/>
                <w:vertAlign w:val="superscript"/>
              </w:rPr>
              <w:t>th</w:t>
            </w:r>
            <w:r w:rsidRPr="00A15274">
              <w:rPr>
                <w:sz w:val="20"/>
              </w:rPr>
              <w:t xml:space="preserve"> Grade ELA</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jc w:val="center"/>
              <w:rPr>
                <w:sz w:val="20"/>
              </w:rPr>
            </w:pPr>
            <w:r w:rsidRPr="00A15274">
              <w:rPr>
                <w:sz w:val="20"/>
              </w:rPr>
              <w:t>% of Students</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jc w:val="center"/>
              <w:rPr>
                <w:sz w:val="20"/>
              </w:rPr>
            </w:pPr>
            <w:r w:rsidRPr="00A15274">
              <w:rPr>
                <w:sz w:val="20"/>
              </w:rPr>
              <w:t>Actual 6</w:t>
            </w:r>
            <w:r w:rsidRPr="00A15274">
              <w:rPr>
                <w:sz w:val="20"/>
                <w:vertAlign w:val="superscript"/>
              </w:rPr>
              <w:t>th</w:t>
            </w:r>
            <w:r w:rsidRPr="00A15274">
              <w:rPr>
                <w:sz w:val="20"/>
              </w:rPr>
              <w:t xml:space="preserve"> Grade ELA  A, P District Score</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jc w:val="center"/>
              <w:rPr>
                <w:sz w:val="20"/>
              </w:rPr>
            </w:pPr>
            <w:r w:rsidRPr="00A15274">
              <w:rPr>
                <w:sz w:val="20"/>
              </w:rPr>
              <w:t>Weighted 6th Grade ELA  A, P,  District Score</w:t>
            </w:r>
          </w:p>
        </w:tc>
      </w:tr>
      <w:tr w:rsidR="00D973CA" w:rsidRPr="00A15274" w:rsidTr="00806CF8">
        <w:trPr>
          <w:trHeight w:val="975"/>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ELA</w:t>
            </w: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Malden</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31%</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17.27%</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Malden</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60%</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21.39%</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Stoneham</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1.30%</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Stoneham</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1.36%</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Wakefield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4.26%</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Wakefield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80%</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4.17%</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Everett</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52%</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8.23%</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Everett</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21%</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11.27%</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Melrose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14.30%</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Melrose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10.57%</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Medford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10%</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67%</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6.70%</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Medford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9%</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5.04%</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lastRenderedPageBreak/>
              <w:t>Other</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17%</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10.66%</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Other</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8.76%</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Total</w:t>
            </w:r>
          </w:p>
        </w:tc>
        <w:tc>
          <w:tcPr>
            <w:tcW w:w="8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 </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62.72%</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Total</w:t>
            </w:r>
          </w:p>
        </w:tc>
        <w:tc>
          <w:tcPr>
            <w:tcW w:w="8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 </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62.57%</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MVRCS</w:t>
            </w:r>
          </w:p>
        </w:tc>
        <w:tc>
          <w:tcPr>
            <w:tcW w:w="8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77%</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 xml:space="preserve"> </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MVRCS</w:t>
            </w:r>
          </w:p>
        </w:tc>
        <w:tc>
          <w:tcPr>
            <w:tcW w:w="8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69%</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vertAlign w:val="subscript"/>
              </w:rPr>
              <w:t xml:space="preserve"> </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Variance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000000" w:fill="FFFF00"/>
            <w:hideMark/>
          </w:tcPr>
          <w:p w:rsidR="00D973CA" w:rsidRPr="00A15274" w:rsidRDefault="00D973CA" w:rsidP="00806CF8">
            <w:pPr>
              <w:jc w:val="right"/>
              <w:rPr>
                <w:sz w:val="20"/>
              </w:rPr>
            </w:pPr>
            <w:r w:rsidRPr="00A15274">
              <w:rPr>
                <w:sz w:val="20"/>
              </w:rPr>
              <w:t>22.77%</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Variance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000000" w:fill="FFFF00"/>
            <w:hideMark/>
          </w:tcPr>
          <w:p w:rsidR="00D973CA" w:rsidRPr="00A15274" w:rsidRDefault="00D973CA" w:rsidP="00806CF8">
            <w:pPr>
              <w:jc w:val="right"/>
              <w:rPr>
                <w:sz w:val="20"/>
              </w:rPr>
            </w:pPr>
            <w:r w:rsidRPr="00A15274">
              <w:rPr>
                <w:sz w:val="20"/>
              </w:rPr>
              <w:t>10.28%</w:t>
            </w:r>
          </w:p>
        </w:tc>
      </w:tr>
      <w:tr w:rsidR="00D973CA" w:rsidRPr="00A15274" w:rsidTr="00806CF8">
        <w:trPr>
          <w:trHeight w:val="319"/>
        </w:trPr>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810"/>
        </w:trPr>
        <w:tc>
          <w:tcPr>
            <w:tcW w:w="1000" w:type="dxa"/>
            <w:tcBorders>
              <w:top w:val="single" w:sz="8" w:space="0" w:color="auto"/>
              <w:left w:val="single" w:sz="8" w:space="0" w:color="auto"/>
              <w:bottom w:val="nil"/>
              <w:right w:val="single" w:sz="8" w:space="0" w:color="auto"/>
            </w:tcBorders>
            <w:shd w:val="clear" w:color="auto" w:fill="auto"/>
            <w:hideMark/>
          </w:tcPr>
          <w:p w:rsidR="00D973CA" w:rsidRPr="00A15274" w:rsidRDefault="00D973CA" w:rsidP="00806CF8">
            <w:pPr>
              <w:rPr>
                <w:sz w:val="20"/>
              </w:rPr>
            </w:pPr>
            <w:r w:rsidRPr="00A15274">
              <w:rPr>
                <w:sz w:val="20"/>
                <w:vertAlign w:val="superscript"/>
              </w:rPr>
              <w:t>7th</w:t>
            </w:r>
            <w:r w:rsidRPr="00A15274">
              <w:rPr>
                <w:sz w:val="20"/>
              </w:rPr>
              <w:t xml:space="preserve"> Grade</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 of Students</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Actual 7</w:t>
            </w:r>
            <w:r w:rsidRPr="00A15274">
              <w:rPr>
                <w:sz w:val="20"/>
                <w:vertAlign w:val="superscript"/>
              </w:rPr>
              <w:t>th</w:t>
            </w:r>
            <w:r w:rsidRPr="00A15274">
              <w:rPr>
                <w:sz w:val="20"/>
              </w:rPr>
              <w:t xml:space="preserve"> Grade ELA  A, P District Score</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Weighted 7th Grade ELA   A, P,  District Score</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single" w:sz="8" w:space="0" w:color="auto"/>
              <w:left w:val="single" w:sz="8" w:space="0" w:color="auto"/>
              <w:bottom w:val="nil"/>
              <w:right w:val="single" w:sz="8" w:space="0" w:color="auto"/>
            </w:tcBorders>
            <w:shd w:val="clear" w:color="auto" w:fill="auto"/>
            <w:hideMark/>
          </w:tcPr>
          <w:p w:rsidR="00D973CA" w:rsidRPr="00A15274" w:rsidRDefault="00D973CA" w:rsidP="00806CF8">
            <w:pPr>
              <w:rPr>
                <w:sz w:val="20"/>
              </w:rPr>
            </w:pPr>
            <w:r w:rsidRPr="00A15274">
              <w:rPr>
                <w:sz w:val="20"/>
                <w:vertAlign w:val="superscript"/>
              </w:rPr>
              <w:t>8th</w:t>
            </w:r>
            <w:r w:rsidRPr="00A15274">
              <w:rPr>
                <w:sz w:val="20"/>
              </w:rPr>
              <w:t xml:space="preserve"> Grade</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 of Students</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Actual 8th Grade ELA  A, P District Score</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Weighted 8th Grade ELA A, P,  District Score</w:t>
            </w:r>
          </w:p>
        </w:tc>
      </w:tr>
      <w:tr w:rsidR="00D973CA" w:rsidRPr="00A15274" w:rsidTr="00806CF8">
        <w:trPr>
          <w:trHeight w:val="495"/>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ELA</w:t>
            </w: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ELA</w:t>
            </w: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Malden</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26.38%</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Malden</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40%</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77%</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30.52%</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Stoneham</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77%</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2.59%</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Stoneham</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2.30%</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Wakefield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2.14%</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Wakefield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3.96%</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Everett</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17%</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8.91%</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Everett</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70%</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11.35%</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Melrose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14.82%</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Melrose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12.71%</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Medford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72%</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10.89%</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Medford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10%</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71%</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7.04%</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Other</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71%</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4.95%</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Other</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11%</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8.39%</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Total</w:t>
            </w:r>
          </w:p>
        </w:tc>
        <w:tc>
          <w:tcPr>
            <w:tcW w:w="8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 </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70.68%</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Total</w:t>
            </w:r>
          </w:p>
        </w:tc>
        <w:tc>
          <w:tcPr>
            <w:tcW w:w="8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 </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76.27%</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MVRCS</w:t>
            </w:r>
          </w:p>
        </w:tc>
        <w:tc>
          <w:tcPr>
            <w:tcW w:w="8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90%</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 xml:space="preserve"> </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MVRCS</w:t>
            </w:r>
          </w:p>
        </w:tc>
        <w:tc>
          <w:tcPr>
            <w:tcW w:w="8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82%</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 xml:space="preserve"> </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Variance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000000" w:fill="FFFF00"/>
            <w:hideMark/>
          </w:tcPr>
          <w:p w:rsidR="00D973CA" w:rsidRPr="00A15274" w:rsidRDefault="00D973CA" w:rsidP="00806CF8">
            <w:pPr>
              <w:jc w:val="right"/>
              <w:rPr>
                <w:sz w:val="20"/>
              </w:rPr>
            </w:pPr>
            <w:r w:rsidRPr="00A15274">
              <w:rPr>
                <w:sz w:val="20"/>
              </w:rPr>
              <w:t>27.34%</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Variance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000000" w:fill="FFFF00"/>
            <w:hideMark/>
          </w:tcPr>
          <w:p w:rsidR="00D973CA" w:rsidRPr="00A15274" w:rsidRDefault="00D973CA" w:rsidP="00806CF8">
            <w:pPr>
              <w:jc w:val="right"/>
              <w:rPr>
                <w:sz w:val="20"/>
              </w:rPr>
            </w:pPr>
            <w:r w:rsidRPr="00A15274">
              <w:rPr>
                <w:sz w:val="20"/>
              </w:rPr>
              <w:t>7.51%</w:t>
            </w:r>
          </w:p>
        </w:tc>
      </w:tr>
      <w:tr w:rsidR="00D973CA" w:rsidRPr="00A15274" w:rsidTr="00806CF8">
        <w:trPr>
          <w:trHeight w:val="319"/>
        </w:trPr>
        <w:tc>
          <w:tcPr>
            <w:tcW w:w="1000" w:type="dxa"/>
            <w:tcBorders>
              <w:top w:val="nil"/>
              <w:left w:val="nil"/>
              <w:bottom w:val="nil"/>
              <w:right w:val="nil"/>
            </w:tcBorders>
            <w:shd w:val="clear" w:color="auto" w:fill="auto"/>
            <w:noWrap/>
            <w:vAlign w:val="bottom"/>
            <w:hideMark/>
          </w:tcPr>
          <w:p w:rsidR="00D973CA" w:rsidRPr="00A15274" w:rsidRDefault="00D973CA" w:rsidP="00806CF8">
            <w:pPr>
              <w:rPr>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870"/>
        </w:trPr>
        <w:tc>
          <w:tcPr>
            <w:tcW w:w="1000" w:type="dxa"/>
            <w:tcBorders>
              <w:top w:val="single" w:sz="8" w:space="0" w:color="auto"/>
              <w:left w:val="single" w:sz="8" w:space="0" w:color="auto"/>
              <w:bottom w:val="nil"/>
              <w:right w:val="single" w:sz="8" w:space="0" w:color="auto"/>
            </w:tcBorders>
            <w:shd w:val="clear" w:color="auto" w:fill="auto"/>
            <w:hideMark/>
          </w:tcPr>
          <w:p w:rsidR="00D973CA" w:rsidRPr="00A15274" w:rsidRDefault="00D973CA" w:rsidP="00806CF8">
            <w:pPr>
              <w:rPr>
                <w:sz w:val="20"/>
              </w:rPr>
            </w:pPr>
            <w:r w:rsidRPr="00A15274">
              <w:rPr>
                <w:sz w:val="20"/>
                <w:vertAlign w:val="superscript"/>
              </w:rPr>
              <w:t>10th</w:t>
            </w:r>
            <w:r w:rsidRPr="00A15274">
              <w:rPr>
                <w:sz w:val="20"/>
              </w:rPr>
              <w:t xml:space="preserve"> Grade</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 of Students</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Actual 10</w:t>
            </w:r>
            <w:r w:rsidRPr="00A15274">
              <w:rPr>
                <w:sz w:val="20"/>
                <w:vertAlign w:val="superscript"/>
              </w:rPr>
              <w:t>th</w:t>
            </w:r>
            <w:r w:rsidRPr="00A15274">
              <w:rPr>
                <w:sz w:val="20"/>
              </w:rPr>
              <w:t xml:space="preserve"> Grade ELA   A, P District Score</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Weighted 10th Grade ELA A, P,  District Score</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95"/>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ELA</w:t>
            </w: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Malden</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28.86%</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Stoneham</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92%</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3.49%</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Wakefield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89%</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2.25%</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Everett</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10.16%</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Melrose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87%</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13.22%</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lastRenderedPageBreak/>
              <w:t>Medford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19%</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15.95%</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Other</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80%</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6.43%</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Total</w:t>
            </w:r>
          </w:p>
        </w:tc>
        <w:tc>
          <w:tcPr>
            <w:tcW w:w="8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 </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80.37%</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MVRCS</w:t>
            </w:r>
          </w:p>
        </w:tc>
        <w:tc>
          <w:tcPr>
            <w:tcW w:w="8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96%</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 xml:space="preserve"> </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Variance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000000" w:fill="FFFF00"/>
            <w:hideMark/>
          </w:tcPr>
          <w:p w:rsidR="00D973CA" w:rsidRPr="00A15274" w:rsidRDefault="00D973CA" w:rsidP="00806CF8">
            <w:pPr>
              <w:jc w:val="right"/>
              <w:rPr>
                <w:sz w:val="20"/>
              </w:rPr>
            </w:pPr>
            <w:r w:rsidRPr="00A15274">
              <w:rPr>
                <w:sz w:val="20"/>
              </w:rPr>
              <w:t>19.45%</w:t>
            </w:r>
          </w:p>
        </w:tc>
        <w:tc>
          <w:tcPr>
            <w:tcW w:w="96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bl>
    <w:p w:rsidR="00D973CA" w:rsidRDefault="00D973CA" w:rsidP="00D973CA"/>
    <w:p w:rsidR="00D973CA" w:rsidRDefault="00D973CA" w:rsidP="00D973CA">
      <w:r>
        <w:t>Students scoring at or above proficient on the Math MCAS will equal or exceed the proficiency level of the weighted composite average of the sending districts on at least 80% of the tests taken by students in grades three through ten.</w:t>
      </w:r>
    </w:p>
    <w:p w:rsidR="00D973CA" w:rsidRDefault="00D973CA" w:rsidP="00D973CA"/>
    <w:p w:rsidR="00D973CA" w:rsidRDefault="00D973CA" w:rsidP="00D973CA">
      <w:r>
        <w:t xml:space="preserve">The chart below shows Mystic Valley equaled or exceeded the weighted composite average for proficiency for the sending districts on all 7 of the 7 (100%) </w:t>
      </w:r>
      <w:r w:rsidRPr="000E3E81">
        <w:t>2011</w:t>
      </w:r>
      <w:r w:rsidRPr="002D6DB5">
        <w:t xml:space="preserve"> </w:t>
      </w:r>
      <w:r>
        <w:t>Math MCAS exams.  For all grades, Mystic Valley’s proficiency level was 24% higher than that of the sending districts.</w:t>
      </w:r>
    </w:p>
    <w:p w:rsidR="00D973CA" w:rsidRDefault="00D973CA" w:rsidP="00D973CA"/>
    <w:tbl>
      <w:tblPr>
        <w:tblW w:w="9080" w:type="dxa"/>
        <w:tblInd w:w="93" w:type="dxa"/>
        <w:tblLook w:val="04A0" w:firstRow="1" w:lastRow="0" w:firstColumn="1" w:lastColumn="0" w:noHBand="0" w:noVBand="1"/>
      </w:tblPr>
      <w:tblGrid>
        <w:gridCol w:w="1049"/>
        <w:gridCol w:w="905"/>
        <w:gridCol w:w="1120"/>
        <w:gridCol w:w="1600"/>
        <w:gridCol w:w="222"/>
        <w:gridCol w:w="1429"/>
        <w:gridCol w:w="905"/>
        <w:gridCol w:w="1120"/>
        <w:gridCol w:w="1120"/>
      </w:tblGrid>
      <w:tr w:rsidR="00D973CA" w:rsidRPr="00A15274" w:rsidTr="00806CF8">
        <w:trPr>
          <w:trHeight w:val="360"/>
        </w:trPr>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3080" w:type="dxa"/>
            <w:gridSpan w:val="3"/>
            <w:vMerge w:val="restart"/>
            <w:tcBorders>
              <w:top w:val="single" w:sz="8" w:space="0" w:color="auto"/>
              <w:left w:val="single" w:sz="8" w:space="0" w:color="auto"/>
              <w:bottom w:val="single" w:sz="8" w:space="0" w:color="000000"/>
              <w:right w:val="single" w:sz="8" w:space="0" w:color="000000"/>
            </w:tcBorders>
            <w:shd w:val="clear" w:color="000000" w:fill="00FFFF"/>
            <w:vAlign w:val="bottom"/>
            <w:hideMark/>
          </w:tcPr>
          <w:p w:rsidR="00D973CA" w:rsidRPr="00A15274" w:rsidRDefault="00D973CA" w:rsidP="00806CF8">
            <w:pPr>
              <w:jc w:val="center"/>
              <w:rPr>
                <w:rFonts w:ascii="Arial" w:hAnsi="Arial" w:cs="Arial"/>
                <w:b/>
                <w:bCs/>
                <w:sz w:val="20"/>
              </w:rPr>
            </w:pPr>
            <w:r w:rsidRPr="00A15274">
              <w:rPr>
                <w:rFonts w:ascii="Arial" w:hAnsi="Arial" w:cs="Arial"/>
                <w:b/>
                <w:bCs/>
                <w:sz w:val="20"/>
              </w:rPr>
              <w:t xml:space="preserve">District Comparisons with Percentages of MVRCS Students in Grades Three through Ten Math                                            Sending Districts of 2011 MCAS                        </w:t>
            </w: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360"/>
        </w:trPr>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3080" w:type="dxa"/>
            <w:gridSpan w:val="3"/>
            <w:vMerge/>
            <w:tcBorders>
              <w:top w:val="nil"/>
              <w:left w:val="nil"/>
              <w:bottom w:val="nil"/>
              <w:right w:val="nil"/>
            </w:tcBorders>
            <w:vAlign w:val="center"/>
            <w:hideMark/>
          </w:tcPr>
          <w:p w:rsidR="00D973CA" w:rsidRPr="00A15274" w:rsidRDefault="00D973CA" w:rsidP="00806CF8">
            <w:pPr>
              <w:rPr>
                <w:rFonts w:ascii="Arial" w:hAnsi="Arial" w:cs="Arial"/>
                <w:b/>
                <w:bCs/>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360"/>
        </w:trPr>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3080" w:type="dxa"/>
            <w:gridSpan w:val="3"/>
            <w:vMerge/>
            <w:tcBorders>
              <w:top w:val="nil"/>
              <w:left w:val="nil"/>
              <w:bottom w:val="nil"/>
              <w:right w:val="nil"/>
            </w:tcBorders>
            <w:vAlign w:val="center"/>
            <w:hideMark/>
          </w:tcPr>
          <w:p w:rsidR="00D973CA" w:rsidRPr="00A15274" w:rsidRDefault="00D973CA" w:rsidP="00806CF8">
            <w:pPr>
              <w:rPr>
                <w:rFonts w:ascii="Arial" w:hAnsi="Arial" w:cs="Arial"/>
                <w:b/>
                <w:bCs/>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375"/>
        </w:trPr>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3080" w:type="dxa"/>
            <w:gridSpan w:val="3"/>
            <w:vMerge/>
            <w:tcBorders>
              <w:top w:val="nil"/>
              <w:left w:val="nil"/>
              <w:bottom w:val="nil"/>
              <w:right w:val="nil"/>
            </w:tcBorders>
            <w:vAlign w:val="center"/>
            <w:hideMark/>
          </w:tcPr>
          <w:p w:rsidR="00D973CA" w:rsidRPr="00A15274" w:rsidRDefault="00D973CA" w:rsidP="00806CF8">
            <w:pPr>
              <w:rPr>
                <w:rFonts w:ascii="Arial" w:hAnsi="Arial" w:cs="Arial"/>
                <w:b/>
                <w:bCs/>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1350"/>
        </w:trPr>
        <w:tc>
          <w:tcPr>
            <w:tcW w:w="1000" w:type="dxa"/>
            <w:tcBorders>
              <w:top w:val="single" w:sz="8" w:space="0" w:color="auto"/>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bookmarkStart w:id="0" w:name="RANGE!C6:G55"/>
            <w:r w:rsidRPr="00A15274">
              <w:rPr>
                <w:sz w:val="20"/>
              </w:rPr>
              <w:t>3</w:t>
            </w:r>
            <w:r w:rsidRPr="00A15274">
              <w:rPr>
                <w:sz w:val="20"/>
                <w:vertAlign w:val="superscript"/>
              </w:rPr>
              <w:t>rd</w:t>
            </w:r>
            <w:r w:rsidRPr="00A15274">
              <w:rPr>
                <w:sz w:val="20"/>
              </w:rPr>
              <w:t xml:space="preserve"> Grade  Math</w:t>
            </w:r>
            <w:bookmarkEnd w:id="0"/>
          </w:p>
        </w:tc>
        <w:tc>
          <w:tcPr>
            <w:tcW w:w="820" w:type="dxa"/>
            <w:tcBorders>
              <w:top w:val="single" w:sz="8" w:space="0" w:color="auto"/>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of Students</w:t>
            </w:r>
          </w:p>
        </w:tc>
        <w:tc>
          <w:tcPr>
            <w:tcW w:w="1120" w:type="dxa"/>
            <w:tcBorders>
              <w:top w:val="single" w:sz="8" w:space="0" w:color="auto"/>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Actual 3</w:t>
            </w:r>
            <w:r w:rsidRPr="00A15274">
              <w:rPr>
                <w:sz w:val="20"/>
                <w:vertAlign w:val="superscript"/>
              </w:rPr>
              <w:t>rd</w:t>
            </w:r>
            <w:r w:rsidRPr="00A15274">
              <w:rPr>
                <w:sz w:val="20"/>
              </w:rPr>
              <w:t xml:space="preserve"> Grade Math A,P District Score</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Weighted 3</w:t>
            </w:r>
            <w:r w:rsidRPr="00A15274">
              <w:rPr>
                <w:sz w:val="20"/>
                <w:vertAlign w:val="superscript"/>
              </w:rPr>
              <w:t>rd</w:t>
            </w:r>
            <w:r w:rsidRPr="00A15274">
              <w:rPr>
                <w:sz w:val="20"/>
              </w:rPr>
              <w:t xml:space="preserve"> Grade Math A,P District Score</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4</w:t>
            </w:r>
            <w:r w:rsidRPr="00A15274">
              <w:rPr>
                <w:sz w:val="20"/>
                <w:vertAlign w:val="superscript"/>
              </w:rPr>
              <w:t>th</w:t>
            </w:r>
            <w:r w:rsidRPr="00A15274">
              <w:rPr>
                <w:sz w:val="20"/>
              </w:rPr>
              <w:t xml:space="preserve"> Grade Math</w:t>
            </w:r>
          </w:p>
        </w:tc>
        <w:tc>
          <w:tcPr>
            <w:tcW w:w="820" w:type="dxa"/>
            <w:tcBorders>
              <w:top w:val="single" w:sz="8" w:space="0" w:color="auto"/>
              <w:left w:val="nil"/>
              <w:bottom w:val="nil"/>
              <w:right w:val="single" w:sz="8" w:space="0" w:color="auto"/>
            </w:tcBorders>
            <w:shd w:val="clear" w:color="auto" w:fill="auto"/>
            <w:hideMark/>
          </w:tcPr>
          <w:p w:rsidR="00D973CA" w:rsidRPr="00A15274" w:rsidRDefault="00D973CA" w:rsidP="00806CF8">
            <w:pPr>
              <w:rPr>
                <w:sz w:val="20"/>
              </w:rPr>
            </w:pPr>
            <w:r w:rsidRPr="00A15274">
              <w:rPr>
                <w:sz w:val="20"/>
              </w:rPr>
              <w:t>% of Students</w:t>
            </w:r>
          </w:p>
        </w:tc>
        <w:tc>
          <w:tcPr>
            <w:tcW w:w="1120" w:type="dxa"/>
            <w:tcBorders>
              <w:top w:val="single" w:sz="8" w:space="0" w:color="auto"/>
              <w:left w:val="nil"/>
              <w:bottom w:val="nil"/>
              <w:right w:val="single" w:sz="8" w:space="0" w:color="auto"/>
            </w:tcBorders>
            <w:shd w:val="clear" w:color="auto" w:fill="auto"/>
            <w:hideMark/>
          </w:tcPr>
          <w:p w:rsidR="00D973CA" w:rsidRPr="00A15274" w:rsidRDefault="00D973CA" w:rsidP="00806CF8">
            <w:pPr>
              <w:rPr>
                <w:sz w:val="20"/>
              </w:rPr>
            </w:pPr>
            <w:r w:rsidRPr="00A15274">
              <w:rPr>
                <w:sz w:val="20"/>
              </w:rPr>
              <w:t>Actual 4</w:t>
            </w:r>
            <w:r w:rsidRPr="00A15274">
              <w:rPr>
                <w:sz w:val="20"/>
                <w:vertAlign w:val="superscript"/>
              </w:rPr>
              <w:t>th</w:t>
            </w:r>
            <w:r w:rsidRPr="00A15274">
              <w:rPr>
                <w:sz w:val="20"/>
              </w:rPr>
              <w:t xml:space="preserve"> Grade math  A, P District Score</w:t>
            </w:r>
          </w:p>
        </w:tc>
        <w:tc>
          <w:tcPr>
            <w:tcW w:w="1120" w:type="dxa"/>
            <w:tcBorders>
              <w:top w:val="single" w:sz="8" w:space="0" w:color="auto"/>
              <w:left w:val="nil"/>
              <w:bottom w:val="nil"/>
              <w:right w:val="single" w:sz="8" w:space="0" w:color="auto"/>
            </w:tcBorders>
            <w:shd w:val="clear" w:color="auto" w:fill="auto"/>
            <w:hideMark/>
          </w:tcPr>
          <w:p w:rsidR="00D973CA" w:rsidRPr="00A15274" w:rsidRDefault="00D973CA" w:rsidP="00806CF8">
            <w:pPr>
              <w:rPr>
                <w:sz w:val="20"/>
              </w:rPr>
            </w:pPr>
            <w:r w:rsidRPr="00A15274">
              <w:rPr>
                <w:sz w:val="20"/>
              </w:rPr>
              <w:t>Weighted 4th Grade Math A, P,  District Score</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Malden</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54%</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bookmarkStart w:id="1" w:name="_GoBack"/>
            <w:bookmarkEnd w:id="1"/>
            <w:r w:rsidRPr="00A15274">
              <w:rPr>
                <w:sz w:val="20"/>
              </w:rPr>
              <w:t>20.70%</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Malden</w:t>
            </w:r>
          </w:p>
        </w:tc>
        <w:tc>
          <w:tcPr>
            <w:tcW w:w="820" w:type="dxa"/>
            <w:tcBorders>
              <w:top w:val="single" w:sz="8" w:space="0" w:color="auto"/>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25%</w:t>
            </w:r>
          </w:p>
        </w:tc>
        <w:tc>
          <w:tcPr>
            <w:tcW w:w="1120" w:type="dxa"/>
            <w:tcBorders>
              <w:top w:val="single" w:sz="8" w:space="0" w:color="auto"/>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39%</w:t>
            </w:r>
          </w:p>
        </w:tc>
        <w:tc>
          <w:tcPr>
            <w:tcW w:w="1120" w:type="dxa"/>
            <w:tcBorders>
              <w:top w:val="single" w:sz="8" w:space="0" w:color="auto"/>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9.75%</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Stoneham</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68%</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3.40%</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Stoneham</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2.75%</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Wakefield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75%</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6.25%</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Wakefield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62%</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2.07%</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Everett</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58%</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4.35%</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Everett</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19%</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6.52%</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Melrose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22%</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71%</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15.38%</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Melrose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13.53%</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Medford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54%</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6.75%</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Medford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4.96%</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Other*</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60%</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3.63%</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Other</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10%</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4.40%</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Total</w:t>
            </w:r>
          </w:p>
        </w:tc>
        <w:tc>
          <w:tcPr>
            <w:tcW w:w="8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 </w:t>
            </w:r>
          </w:p>
        </w:tc>
        <w:tc>
          <w:tcPr>
            <w:tcW w:w="160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60.46%</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Total</w:t>
            </w:r>
          </w:p>
        </w:tc>
        <w:tc>
          <w:tcPr>
            <w:tcW w:w="8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101%</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 </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43.97%</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MVRCS</w:t>
            </w:r>
          </w:p>
        </w:tc>
        <w:tc>
          <w:tcPr>
            <w:tcW w:w="8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79%</w:t>
            </w:r>
          </w:p>
        </w:tc>
        <w:tc>
          <w:tcPr>
            <w:tcW w:w="1600" w:type="dxa"/>
            <w:tcBorders>
              <w:top w:val="nil"/>
              <w:left w:val="nil"/>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 xml:space="preserve"> </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MVRCS</w:t>
            </w:r>
          </w:p>
        </w:tc>
        <w:tc>
          <w:tcPr>
            <w:tcW w:w="8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46%</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 xml:space="preserve"> </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Variance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600" w:type="dxa"/>
            <w:tcBorders>
              <w:top w:val="nil"/>
              <w:left w:val="nil"/>
              <w:bottom w:val="single" w:sz="8" w:space="0" w:color="auto"/>
              <w:right w:val="single" w:sz="8" w:space="0" w:color="auto"/>
            </w:tcBorders>
            <w:shd w:val="clear" w:color="000000" w:fill="FFFF00"/>
            <w:hideMark/>
          </w:tcPr>
          <w:p w:rsidR="00D973CA" w:rsidRPr="00A15274" w:rsidRDefault="00D973CA" w:rsidP="00806CF8">
            <w:pPr>
              <w:jc w:val="right"/>
              <w:rPr>
                <w:sz w:val="20"/>
              </w:rPr>
            </w:pPr>
            <w:r w:rsidRPr="00A15274">
              <w:rPr>
                <w:sz w:val="20"/>
              </w:rPr>
              <w:t>30.66%</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Variance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000000" w:fill="FFFF00"/>
            <w:hideMark/>
          </w:tcPr>
          <w:p w:rsidR="00D973CA" w:rsidRPr="00A15274" w:rsidRDefault="00D973CA" w:rsidP="00806CF8">
            <w:pPr>
              <w:jc w:val="right"/>
              <w:rPr>
                <w:sz w:val="20"/>
              </w:rPr>
            </w:pPr>
            <w:r w:rsidRPr="00A15274">
              <w:rPr>
                <w:sz w:val="20"/>
              </w:rPr>
              <w:t>4.61%</w:t>
            </w:r>
          </w:p>
        </w:tc>
      </w:tr>
      <w:tr w:rsidR="00D973CA" w:rsidRPr="00A15274" w:rsidTr="00806CF8">
        <w:trPr>
          <w:trHeight w:val="319"/>
        </w:trPr>
        <w:tc>
          <w:tcPr>
            <w:tcW w:w="1000" w:type="dxa"/>
            <w:tcBorders>
              <w:top w:val="nil"/>
              <w:left w:val="nil"/>
              <w:bottom w:val="nil"/>
              <w:right w:val="nil"/>
            </w:tcBorders>
            <w:shd w:val="clear" w:color="auto" w:fill="auto"/>
            <w:noWrap/>
            <w:vAlign w:val="bottom"/>
            <w:hideMark/>
          </w:tcPr>
          <w:p w:rsidR="00D973CA" w:rsidRPr="00A15274" w:rsidRDefault="00D973CA" w:rsidP="00806CF8">
            <w:pPr>
              <w:rPr>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6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360"/>
        </w:trPr>
        <w:tc>
          <w:tcPr>
            <w:tcW w:w="1000" w:type="dxa"/>
            <w:tcBorders>
              <w:top w:val="single" w:sz="8" w:space="0" w:color="auto"/>
              <w:left w:val="single" w:sz="8" w:space="0" w:color="auto"/>
              <w:bottom w:val="nil"/>
              <w:right w:val="single" w:sz="8" w:space="0" w:color="auto"/>
            </w:tcBorders>
            <w:shd w:val="clear" w:color="auto" w:fill="auto"/>
            <w:hideMark/>
          </w:tcPr>
          <w:p w:rsidR="00D973CA" w:rsidRPr="00A15274" w:rsidRDefault="00D973CA" w:rsidP="00806CF8">
            <w:pPr>
              <w:rPr>
                <w:sz w:val="20"/>
              </w:rPr>
            </w:pPr>
            <w:r w:rsidRPr="00A15274">
              <w:rPr>
                <w:sz w:val="20"/>
              </w:rPr>
              <w:lastRenderedPageBreak/>
              <w:t>5</w:t>
            </w:r>
            <w:r w:rsidRPr="00A15274">
              <w:rPr>
                <w:sz w:val="20"/>
                <w:vertAlign w:val="superscript"/>
              </w:rPr>
              <w:t>th</w:t>
            </w:r>
            <w:r w:rsidRPr="00A15274">
              <w:rPr>
                <w:sz w:val="20"/>
              </w:rPr>
              <w:t xml:space="preserve"> Grade</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 of Students</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Actual 5</w:t>
            </w:r>
            <w:r w:rsidRPr="00A15274">
              <w:rPr>
                <w:sz w:val="20"/>
                <w:vertAlign w:val="superscript"/>
              </w:rPr>
              <w:t>th</w:t>
            </w:r>
            <w:r w:rsidRPr="00A15274">
              <w:rPr>
                <w:sz w:val="20"/>
              </w:rPr>
              <w:t xml:space="preserve"> Grade Math  A, P District Score</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Weighted 5th Grade Math A, P,  District Score</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single" w:sz="8" w:space="0" w:color="auto"/>
              <w:left w:val="single" w:sz="8" w:space="0" w:color="auto"/>
              <w:bottom w:val="nil"/>
              <w:right w:val="single" w:sz="8" w:space="0" w:color="auto"/>
            </w:tcBorders>
            <w:shd w:val="clear" w:color="auto" w:fill="auto"/>
            <w:hideMark/>
          </w:tcPr>
          <w:p w:rsidR="00D973CA" w:rsidRPr="00A15274" w:rsidRDefault="00D973CA" w:rsidP="00806CF8">
            <w:pPr>
              <w:rPr>
                <w:sz w:val="20"/>
              </w:rPr>
            </w:pPr>
            <w:r w:rsidRPr="00A15274">
              <w:rPr>
                <w:sz w:val="20"/>
              </w:rPr>
              <w:t>6</w:t>
            </w:r>
            <w:r w:rsidRPr="00A15274">
              <w:rPr>
                <w:sz w:val="20"/>
                <w:vertAlign w:val="superscript"/>
              </w:rPr>
              <w:t>th</w:t>
            </w:r>
            <w:r w:rsidRPr="00A15274">
              <w:rPr>
                <w:sz w:val="20"/>
              </w:rPr>
              <w:t xml:space="preserve"> Grade</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 of Students</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Actual 6</w:t>
            </w:r>
            <w:r w:rsidRPr="00A15274">
              <w:rPr>
                <w:sz w:val="20"/>
                <w:vertAlign w:val="superscript"/>
              </w:rPr>
              <w:t>th</w:t>
            </w:r>
            <w:r w:rsidRPr="00A15274">
              <w:rPr>
                <w:sz w:val="20"/>
              </w:rPr>
              <w:t xml:space="preserve"> Grade Math  A, P District Score</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Weighted 6th Grade Math  A, P,  District Score</w:t>
            </w:r>
          </w:p>
        </w:tc>
      </w:tr>
      <w:tr w:rsidR="00D973CA" w:rsidRPr="00A15274" w:rsidTr="00806CF8">
        <w:trPr>
          <w:trHeight w:val="930"/>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Math</w:t>
            </w: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Math</w:t>
            </w: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Malden</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31%</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46%</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14.18%</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Malden</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57%</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20.32%</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Stoneham</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74%</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1.23%</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Stoneham</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59%</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1.03%</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Wakefield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64%</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3.73%</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Wakefield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71%</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3.70%</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Everett</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44%</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6.97%</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Everett</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21%</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47%</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9.81%</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Melrose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71%</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13.02%</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Melrose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8.77%</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Medford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10%</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52%</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5.20%</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Medford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9%</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47%</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4.09%</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Other</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17%</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53%</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9.08%</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Other</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7.77%</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Total</w:t>
            </w:r>
          </w:p>
        </w:tc>
        <w:tc>
          <w:tcPr>
            <w:tcW w:w="8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 </w:t>
            </w:r>
          </w:p>
        </w:tc>
        <w:tc>
          <w:tcPr>
            <w:tcW w:w="160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53.41%</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Total</w:t>
            </w:r>
          </w:p>
        </w:tc>
        <w:tc>
          <w:tcPr>
            <w:tcW w:w="8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 </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55.48%</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MVRCS</w:t>
            </w:r>
          </w:p>
        </w:tc>
        <w:tc>
          <w:tcPr>
            <w:tcW w:w="8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69%</w:t>
            </w:r>
          </w:p>
        </w:tc>
        <w:tc>
          <w:tcPr>
            <w:tcW w:w="1600" w:type="dxa"/>
            <w:tcBorders>
              <w:top w:val="nil"/>
              <w:left w:val="nil"/>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 xml:space="preserve"> </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MVRCS</w:t>
            </w:r>
          </w:p>
        </w:tc>
        <w:tc>
          <w:tcPr>
            <w:tcW w:w="8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63%</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vertAlign w:val="subscript"/>
              </w:rPr>
              <w:t xml:space="preserve"> </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Variance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600" w:type="dxa"/>
            <w:tcBorders>
              <w:top w:val="nil"/>
              <w:left w:val="nil"/>
              <w:bottom w:val="single" w:sz="8" w:space="0" w:color="auto"/>
              <w:right w:val="single" w:sz="8" w:space="0" w:color="auto"/>
            </w:tcBorders>
            <w:shd w:val="clear" w:color="000000" w:fill="FFFF00"/>
            <w:hideMark/>
          </w:tcPr>
          <w:p w:rsidR="00D973CA" w:rsidRPr="00A15274" w:rsidRDefault="00D973CA" w:rsidP="00806CF8">
            <w:pPr>
              <w:jc w:val="right"/>
              <w:rPr>
                <w:sz w:val="20"/>
              </w:rPr>
            </w:pPr>
            <w:r w:rsidRPr="00A15274">
              <w:rPr>
                <w:sz w:val="20"/>
              </w:rPr>
              <w:t>29.18%</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Variance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000000" w:fill="FFFF00"/>
            <w:hideMark/>
          </w:tcPr>
          <w:p w:rsidR="00D973CA" w:rsidRPr="00A15274" w:rsidRDefault="00D973CA" w:rsidP="00806CF8">
            <w:pPr>
              <w:jc w:val="right"/>
              <w:rPr>
                <w:sz w:val="20"/>
              </w:rPr>
            </w:pPr>
            <w:r w:rsidRPr="00A15274">
              <w:rPr>
                <w:sz w:val="20"/>
              </w:rPr>
              <w:t>13.55%</w:t>
            </w:r>
          </w:p>
        </w:tc>
      </w:tr>
      <w:tr w:rsidR="00D973CA" w:rsidRPr="00A15274" w:rsidTr="00806CF8">
        <w:trPr>
          <w:trHeight w:val="319"/>
        </w:trPr>
        <w:tc>
          <w:tcPr>
            <w:tcW w:w="1000" w:type="dxa"/>
            <w:tcBorders>
              <w:top w:val="nil"/>
              <w:left w:val="nil"/>
              <w:bottom w:val="nil"/>
              <w:right w:val="nil"/>
            </w:tcBorders>
            <w:shd w:val="clear" w:color="auto" w:fill="auto"/>
            <w:noWrap/>
            <w:vAlign w:val="bottom"/>
            <w:hideMark/>
          </w:tcPr>
          <w:p w:rsidR="00D973CA" w:rsidRPr="00A15274" w:rsidRDefault="00D973CA" w:rsidP="00806CF8">
            <w:pPr>
              <w:rPr>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6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360"/>
        </w:trPr>
        <w:tc>
          <w:tcPr>
            <w:tcW w:w="1000" w:type="dxa"/>
            <w:tcBorders>
              <w:top w:val="single" w:sz="8" w:space="0" w:color="auto"/>
              <w:left w:val="single" w:sz="8" w:space="0" w:color="auto"/>
              <w:bottom w:val="nil"/>
              <w:right w:val="single" w:sz="8" w:space="0" w:color="auto"/>
            </w:tcBorders>
            <w:shd w:val="clear" w:color="auto" w:fill="auto"/>
            <w:hideMark/>
          </w:tcPr>
          <w:p w:rsidR="00D973CA" w:rsidRPr="00A15274" w:rsidRDefault="00D973CA" w:rsidP="00806CF8">
            <w:pPr>
              <w:rPr>
                <w:sz w:val="20"/>
              </w:rPr>
            </w:pPr>
            <w:r w:rsidRPr="00A15274">
              <w:rPr>
                <w:sz w:val="20"/>
                <w:vertAlign w:val="superscript"/>
              </w:rPr>
              <w:t>7th</w:t>
            </w:r>
            <w:r w:rsidRPr="00A15274">
              <w:rPr>
                <w:sz w:val="20"/>
              </w:rPr>
              <w:t xml:space="preserve"> Grade</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 of Students</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Actual 7th Grade Math  A, P District Score</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Weighted 7th Grade Math   A, P,  District Score</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single" w:sz="8" w:space="0" w:color="auto"/>
              <w:left w:val="single" w:sz="8" w:space="0" w:color="auto"/>
              <w:bottom w:val="nil"/>
              <w:right w:val="single" w:sz="8" w:space="0" w:color="auto"/>
            </w:tcBorders>
            <w:shd w:val="clear" w:color="auto" w:fill="auto"/>
            <w:hideMark/>
          </w:tcPr>
          <w:p w:rsidR="00D973CA" w:rsidRPr="00A15274" w:rsidRDefault="00D973CA" w:rsidP="00806CF8">
            <w:pPr>
              <w:rPr>
                <w:sz w:val="20"/>
              </w:rPr>
            </w:pPr>
            <w:r w:rsidRPr="00A15274">
              <w:rPr>
                <w:sz w:val="20"/>
                <w:vertAlign w:val="superscript"/>
              </w:rPr>
              <w:t>8th</w:t>
            </w:r>
            <w:r w:rsidRPr="00A15274">
              <w:rPr>
                <w:sz w:val="20"/>
              </w:rPr>
              <w:t xml:space="preserve"> Grade</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 of Students</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Actual 8</w:t>
            </w:r>
            <w:r w:rsidRPr="00A15274">
              <w:rPr>
                <w:sz w:val="20"/>
                <w:vertAlign w:val="superscript"/>
              </w:rPr>
              <w:t>th</w:t>
            </w:r>
            <w:r w:rsidRPr="00A15274">
              <w:rPr>
                <w:sz w:val="20"/>
              </w:rPr>
              <w:t xml:space="preserve"> Grade Math  A, P District Score</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Weighted 8th Grade Math A, P,  District Score</w:t>
            </w:r>
          </w:p>
        </w:tc>
      </w:tr>
      <w:tr w:rsidR="00D973CA" w:rsidRPr="00A15274" w:rsidTr="00806CF8">
        <w:trPr>
          <w:trHeight w:val="930"/>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Math</w:t>
            </w: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Math</w:t>
            </w: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Malden</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48%</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17.34%</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Malden</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40%</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18.23%</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Stoneham</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35%</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1.18%</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Stoneham</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1.78%</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Wakefield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71%</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1.79%</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Wakefield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61%</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2.75%</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Everett</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17%</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26%</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4.37%</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Everett</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29%</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4.70%</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Melrose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60%</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10.59%</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Melrose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59%</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9.04%</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Medford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41%</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6.20%</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Medford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10%</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4.56%</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Other</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45%</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3.12%</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Other</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11%</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46%</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5.08%</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Total</w:t>
            </w:r>
          </w:p>
        </w:tc>
        <w:tc>
          <w:tcPr>
            <w:tcW w:w="8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 </w:t>
            </w:r>
          </w:p>
        </w:tc>
        <w:tc>
          <w:tcPr>
            <w:tcW w:w="160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44.59%</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Total</w:t>
            </w:r>
          </w:p>
        </w:tc>
        <w:tc>
          <w:tcPr>
            <w:tcW w:w="8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 </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46.14%</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MVRCS</w:t>
            </w:r>
          </w:p>
        </w:tc>
        <w:tc>
          <w:tcPr>
            <w:tcW w:w="8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59%</w:t>
            </w:r>
          </w:p>
        </w:tc>
        <w:tc>
          <w:tcPr>
            <w:tcW w:w="1600" w:type="dxa"/>
            <w:tcBorders>
              <w:top w:val="nil"/>
              <w:left w:val="nil"/>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 xml:space="preserve"> </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MVRCS</w:t>
            </w:r>
          </w:p>
        </w:tc>
        <w:tc>
          <w:tcPr>
            <w:tcW w:w="8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58%</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 xml:space="preserve"> </w:t>
            </w: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Variance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600" w:type="dxa"/>
            <w:tcBorders>
              <w:top w:val="nil"/>
              <w:left w:val="nil"/>
              <w:bottom w:val="single" w:sz="8" w:space="0" w:color="auto"/>
              <w:right w:val="single" w:sz="8" w:space="0" w:color="auto"/>
            </w:tcBorders>
            <w:shd w:val="clear" w:color="000000" w:fill="FFFF00"/>
            <w:hideMark/>
          </w:tcPr>
          <w:p w:rsidR="00D973CA" w:rsidRPr="00A15274" w:rsidRDefault="00D973CA" w:rsidP="00806CF8">
            <w:pPr>
              <w:jc w:val="right"/>
              <w:rPr>
                <w:sz w:val="20"/>
              </w:rPr>
            </w:pPr>
            <w:r w:rsidRPr="00A15274">
              <w:rPr>
                <w:sz w:val="20"/>
              </w:rPr>
              <w:t>32.31%</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Variance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xml:space="preserve"> </w:t>
            </w:r>
          </w:p>
        </w:tc>
        <w:tc>
          <w:tcPr>
            <w:tcW w:w="1120" w:type="dxa"/>
            <w:tcBorders>
              <w:top w:val="nil"/>
              <w:left w:val="nil"/>
              <w:bottom w:val="single" w:sz="8" w:space="0" w:color="auto"/>
              <w:right w:val="single" w:sz="8" w:space="0" w:color="auto"/>
            </w:tcBorders>
            <w:shd w:val="clear" w:color="000000" w:fill="FFFF00"/>
            <w:hideMark/>
          </w:tcPr>
          <w:p w:rsidR="00D973CA" w:rsidRPr="00A15274" w:rsidRDefault="00D973CA" w:rsidP="00806CF8">
            <w:pPr>
              <w:jc w:val="right"/>
              <w:rPr>
                <w:sz w:val="20"/>
              </w:rPr>
            </w:pPr>
            <w:r w:rsidRPr="00A15274">
              <w:rPr>
                <w:sz w:val="20"/>
              </w:rPr>
              <w:t>25.71%</w:t>
            </w:r>
          </w:p>
        </w:tc>
      </w:tr>
      <w:tr w:rsidR="00D973CA" w:rsidRPr="00A15274" w:rsidTr="00806CF8">
        <w:trPr>
          <w:trHeight w:val="319"/>
        </w:trPr>
        <w:tc>
          <w:tcPr>
            <w:tcW w:w="10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60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840"/>
        </w:trPr>
        <w:tc>
          <w:tcPr>
            <w:tcW w:w="1000" w:type="dxa"/>
            <w:tcBorders>
              <w:top w:val="single" w:sz="8" w:space="0" w:color="auto"/>
              <w:left w:val="single" w:sz="8" w:space="0" w:color="auto"/>
              <w:bottom w:val="nil"/>
              <w:right w:val="single" w:sz="8" w:space="0" w:color="auto"/>
            </w:tcBorders>
            <w:shd w:val="clear" w:color="auto" w:fill="auto"/>
            <w:hideMark/>
          </w:tcPr>
          <w:p w:rsidR="00D973CA" w:rsidRPr="00A15274" w:rsidRDefault="00D973CA" w:rsidP="00806CF8">
            <w:pPr>
              <w:rPr>
                <w:sz w:val="20"/>
              </w:rPr>
            </w:pPr>
            <w:r w:rsidRPr="00A15274">
              <w:rPr>
                <w:sz w:val="20"/>
                <w:vertAlign w:val="superscript"/>
              </w:rPr>
              <w:t>10th</w:t>
            </w:r>
            <w:r w:rsidRPr="00A15274">
              <w:rPr>
                <w:sz w:val="20"/>
              </w:rPr>
              <w:t xml:space="preserve"> Grade</w:t>
            </w:r>
          </w:p>
        </w:tc>
        <w:tc>
          <w:tcPr>
            <w:tcW w:w="8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 of Students</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Actual 10</w:t>
            </w:r>
            <w:r w:rsidRPr="00A15274">
              <w:rPr>
                <w:sz w:val="20"/>
                <w:vertAlign w:val="superscript"/>
              </w:rPr>
              <w:t>th</w:t>
            </w:r>
            <w:r w:rsidRPr="00A15274">
              <w:rPr>
                <w:sz w:val="20"/>
              </w:rPr>
              <w:t xml:space="preserve"> Math  A, P District Score</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973CA" w:rsidRPr="00A15274" w:rsidRDefault="00D973CA" w:rsidP="00806CF8">
            <w:pPr>
              <w:rPr>
                <w:sz w:val="20"/>
              </w:rPr>
            </w:pPr>
            <w:r w:rsidRPr="00A15274">
              <w:rPr>
                <w:sz w:val="20"/>
              </w:rPr>
              <w:t>Weighted 10th Math A, P,  District Score</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50"/>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Math</w:t>
            </w: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rsidR="00D973CA" w:rsidRPr="00A15274" w:rsidRDefault="00D973CA" w:rsidP="00806CF8">
            <w:pPr>
              <w:rPr>
                <w:sz w:val="20"/>
              </w:rPr>
            </w:pP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Malden</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71%</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26.96%</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Stoneham</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80%</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3.04%</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Wakefield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3%</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84%</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2.13%</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Everett</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14%</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56%</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7.80%</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Melrose</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15%</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77%</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11.70%</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Medford</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19%</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75%</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14.24%</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Other</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8%</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72%</w:t>
            </w:r>
          </w:p>
        </w:tc>
        <w:tc>
          <w:tcPr>
            <w:tcW w:w="1600" w:type="dxa"/>
            <w:tcBorders>
              <w:top w:val="nil"/>
              <w:left w:val="nil"/>
              <w:bottom w:val="single" w:sz="8" w:space="0" w:color="auto"/>
              <w:right w:val="single" w:sz="8" w:space="0" w:color="auto"/>
            </w:tcBorders>
            <w:shd w:val="clear" w:color="auto" w:fill="auto"/>
            <w:hideMark/>
          </w:tcPr>
          <w:p w:rsidR="00D973CA" w:rsidRPr="00A15274" w:rsidRDefault="00D973CA" w:rsidP="00806CF8">
            <w:pPr>
              <w:jc w:val="right"/>
              <w:rPr>
                <w:sz w:val="20"/>
              </w:rPr>
            </w:pPr>
            <w:r w:rsidRPr="00A15274">
              <w:rPr>
                <w:sz w:val="20"/>
              </w:rPr>
              <w:t>5.73%</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Total</w:t>
            </w:r>
          </w:p>
        </w:tc>
        <w:tc>
          <w:tcPr>
            <w:tcW w:w="8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FF99CC"/>
            <w:hideMark/>
          </w:tcPr>
          <w:p w:rsidR="00D973CA" w:rsidRPr="00A15274" w:rsidRDefault="00D973CA" w:rsidP="00806CF8">
            <w:pPr>
              <w:rPr>
                <w:sz w:val="20"/>
              </w:rPr>
            </w:pPr>
            <w:r w:rsidRPr="00A15274">
              <w:rPr>
                <w:sz w:val="20"/>
              </w:rPr>
              <w:t> </w:t>
            </w:r>
          </w:p>
        </w:tc>
        <w:tc>
          <w:tcPr>
            <w:tcW w:w="1600" w:type="dxa"/>
            <w:tcBorders>
              <w:top w:val="nil"/>
              <w:left w:val="nil"/>
              <w:bottom w:val="single" w:sz="8" w:space="0" w:color="auto"/>
              <w:right w:val="single" w:sz="8" w:space="0" w:color="auto"/>
            </w:tcBorders>
            <w:shd w:val="clear" w:color="000000" w:fill="FF99CC"/>
            <w:hideMark/>
          </w:tcPr>
          <w:p w:rsidR="00D973CA" w:rsidRPr="00A15274" w:rsidRDefault="00D973CA" w:rsidP="00806CF8">
            <w:pPr>
              <w:jc w:val="right"/>
              <w:rPr>
                <w:sz w:val="20"/>
              </w:rPr>
            </w:pPr>
            <w:r w:rsidRPr="00A15274">
              <w:rPr>
                <w:sz w:val="20"/>
              </w:rPr>
              <w:t>71.59%</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MVRCS</w:t>
            </w:r>
          </w:p>
        </w:tc>
        <w:tc>
          <w:tcPr>
            <w:tcW w:w="8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100%</w:t>
            </w:r>
          </w:p>
        </w:tc>
        <w:tc>
          <w:tcPr>
            <w:tcW w:w="1120" w:type="dxa"/>
            <w:tcBorders>
              <w:top w:val="nil"/>
              <w:left w:val="nil"/>
              <w:bottom w:val="single" w:sz="8" w:space="0" w:color="auto"/>
              <w:right w:val="single" w:sz="8" w:space="0" w:color="auto"/>
            </w:tcBorders>
            <w:shd w:val="clear" w:color="000000" w:fill="CCFFCC"/>
            <w:hideMark/>
          </w:tcPr>
          <w:p w:rsidR="00D973CA" w:rsidRPr="00A15274" w:rsidRDefault="00D973CA" w:rsidP="00806CF8">
            <w:pPr>
              <w:jc w:val="right"/>
              <w:rPr>
                <w:sz w:val="20"/>
              </w:rPr>
            </w:pPr>
            <w:r w:rsidRPr="00A15274">
              <w:rPr>
                <w:sz w:val="20"/>
              </w:rPr>
              <w:t>93%</w:t>
            </w:r>
          </w:p>
        </w:tc>
        <w:tc>
          <w:tcPr>
            <w:tcW w:w="1600" w:type="dxa"/>
            <w:tcBorders>
              <w:top w:val="nil"/>
              <w:left w:val="nil"/>
              <w:bottom w:val="single" w:sz="8" w:space="0" w:color="auto"/>
              <w:right w:val="single" w:sz="8" w:space="0" w:color="auto"/>
            </w:tcBorders>
            <w:shd w:val="clear" w:color="000000" w:fill="CCFFCC"/>
            <w:hideMark/>
          </w:tcPr>
          <w:p w:rsidR="00D973CA" w:rsidRPr="00A15274" w:rsidRDefault="00D973CA" w:rsidP="00806CF8">
            <w:pPr>
              <w:rPr>
                <w:sz w:val="20"/>
              </w:rPr>
            </w:pPr>
            <w:r w:rsidRPr="00A15274">
              <w:rPr>
                <w:sz w:val="20"/>
              </w:rPr>
              <w:t xml:space="preserve"> </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r w:rsidR="00D973CA" w:rsidRPr="00A15274" w:rsidTr="00806CF8">
        <w:trPr>
          <w:trHeight w:val="462"/>
        </w:trPr>
        <w:tc>
          <w:tcPr>
            <w:tcW w:w="1000" w:type="dxa"/>
            <w:tcBorders>
              <w:top w:val="nil"/>
              <w:left w:val="single" w:sz="8" w:space="0" w:color="auto"/>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w:t>
            </w:r>
          </w:p>
        </w:tc>
        <w:tc>
          <w:tcPr>
            <w:tcW w:w="8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w:t>
            </w:r>
          </w:p>
        </w:tc>
        <w:tc>
          <w:tcPr>
            <w:tcW w:w="1120" w:type="dxa"/>
            <w:tcBorders>
              <w:top w:val="nil"/>
              <w:left w:val="nil"/>
              <w:bottom w:val="single" w:sz="8" w:space="0" w:color="auto"/>
              <w:right w:val="single" w:sz="8" w:space="0" w:color="auto"/>
            </w:tcBorders>
            <w:shd w:val="clear" w:color="auto" w:fill="auto"/>
            <w:hideMark/>
          </w:tcPr>
          <w:p w:rsidR="00D973CA" w:rsidRPr="00A15274" w:rsidRDefault="00D973CA" w:rsidP="00806CF8">
            <w:pPr>
              <w:rPr>
                <w:sz w:val="20"/>
              </w:rPr>
            </w:pPr>
            <w:r w:rsidRPr="00A15274">
              <w:rPr>
                <w:sz w:val="20"/>
              </w:rPr>
              <w:t> </w:t>
            </w:r>
          </w:p>
        </w:tc>
        <w:tc>
          <w:tcPr>
            <w:tcW w:w="1600" w:type="dxa"/>
            <w:tcBorders>
              <w:top w:val="nil"/>
              <w:left w:val="nil"/>
              <w:bottom w:val="single" w:sz="8" w:space="0" w:color="auto"/>
              <w:right w:val="single" w:sz="8" w:space="0" w:color="auto"/>
            </w:tcBorders>
            <w:shd w:val="clear" w:color="000000" w:fill="FFFF00"/>
            <w:hideMark/>
          </w:tcPr>
          <w:p w:rsidR="00D973CA" w:rsidRPr="00A15274" w:rsidRDefault="00D973CA" w:rsidP="00806CF8">
            <w:pPr>
              <w:jc w:val="right"/>
              <w:rPr>
                <w:sz w:val="20"/>
              </w:rPr>
            </w:pPr>
            <w:r w:rsidRPr="00A15274">
              <w:rPr>
                <w:sz w:val="20"/>
              </w:rPr>
              <w:t>29.91%</w:t>
            </w:r>
          </w:p>
        </w:tc>
        <w:tc>
          <w:tcPr>
            <w:tcW w:w="51"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429"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8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D973CA" w:rsidRPr="00A15274" w:rsidRDefault="00D973CA" w:rsidP="00806CF8">
            <w:pPr>
              <w:rPr>
                <w:rFonts w:ascii="Arial" w:hAnsi="Arial" w:cs="Arial"/>
                <w:sz w:val="20"/>
              </w:rPr>
            </w:pPr>
          </w:p>
        </w:tc>
      </w:tr>
    </w:tbl>
    <w:p w:rsidR="00D973CA" w:rsidRDefault="00D973CA" w:rsidP="00B243C4">
      <w:pPr>
        <w:rPr>
          <w:sz w:val="20"/>
        </w:rPr>
      </w:pPr>
    </w:p>
    <w:p w:rsidR="00D973CA" w:rsidRDefault="00D973CA" w:rsidP="00B243C4">
      <w:pPr>
        <w:rPr>
          <w:sz w:val="20"/>
        </w:rPr>
      </w:pPr>
    </w:p>
    <w:p w:rsidR="00B243C4" w:rsidRDefault="009F7722" w:rsidP="00B243C4">
      <w:pPr>
        <w:rPr>
          <w:b/>
        </w:rPr>
      </w:pPr>
      <w:r>
        <w:rPr>
          <w:b/>
        </w:rPr>
        <w:t>Section E:  Curriculum (if requesting an increased grade span</w:t>
      </w:r>
      <w:r w:rsidR="00B243C4">
        <w:rPr>
          <w:b/>
        </w:rPr>
        <w:t>)</w:t>
      </w:r>
    </w:p>
    <w:p w:rsidR="00B243C4" w:rsidRDefault="00B243C4" w:rsidP="00B243C4">
      <w:pPr>
        <w:rPr>
          <w:b/>
        </w:rPr>
      </w:pPr>
    </w:p>
    <w:p w:rsidR="00B243C4" w:rsidRDefault="00B243C4" w:rsidP="00B243C4">
      <w:r>
        <w:t>Not applicable</w:t>
      </w:r>
    </w:p>
    <w:p w:rsidR="00B243C4" w:rsidRDefault="00B243C4" w:rsidP="00B243C4"/>
    <w:p w:rsidR="00B243C4" w:rsidRDefault="009F7722" w:rsidP="00B243C4">
      <w:pPr>
        <w:rPr>
          <w:b/>
        </w:rPr>
      </w:pPr>
      <w:r>
        <w:rPr>
          <w:b/>
        </w:rPr>
        <w:t>Section F</w:t>
      </w:r>
      <w:r w:rsidR="00B243C4" w:rsidRPr="00837E73">
        <w:rPr>
          <w:b/>
        </w:rPr>
        <w:t>:  School Characteristics</w:t>
      </w:r>
    </w:p>
    <w:p w:rsidR="00B243C4" w:rsidRDefault="00B243C4" w:rsidP="00B243C4">
      <w:pPr>
        <w:rPr>
          <w:b/>
        </w:rPr>
      </w:pPr>
    </w:p>
    <w:p w:rsidR="00A80532" w:rsidRPr="001B7C41" w:rsidRDefault="00A80532" w:rsidP="004702AC">
      <w:pPr>
        <w:rPr>
          <w:szCs w:val="24"/>
        </w:rPr>
      </w:pPr>
      <w:r w:rsidRPr="001B7C41">
        <w:rPr>
          <w:szCs w:val="24"/>
        </w:rPr>
        <w:t>The mission</w:t>
      </w:r>
      <w:r>
        <w:rPr>
          <w:szCs w:val="24"/>
        </w:rPr>
        <w:t>, created through the shared vision of our founders, is, “</w:t>
      </w:r>
      <w:r w:rsidRPr="00A80532">
        <w:rPr>
          <w:szCs w:val="24"/>
        </w:rPr>
        <w:t>to provide the opportunity of a world class education characterized by a well-mannered, disciplined and structured academic climate. Central to Mystic Valley's academic environment is the incorporation of selected core virtues and the fundamental ideals of our American Culture, which are embodied in the Declaration of Independence and the United States Constitution.</w:t>
      </w:r>
      <w:r>
        <w:rPr>
          <w:szCs w:val="24"/>
        </w:rPr>
        <w:t>”</w:t>
      </w:r>
      <w:r w:rsidRPr="001B7C41">
        <w:rPr>
          <w:szCs w:val="24"/>
        </w:rPr>
        <w:t xml:space="preserve"> </w:t>
      </w:r>
      <w:r>
        <w:rPr>
          <w:szCs w:val="24"/>
        </w:rPr>
        <w:t xml:space="preserve"> A</w:t>
      </w:r>
      <w:r w:rsidRPr="001B7C41">
        <w:rPr>
          <w:szCs w:val="24"/>
        </w:rPr>
        <w:t xml:space="preserve">ll </w:t>
      </w:r>
      <w:r>
        <w:rPr>
          <w:szCs w:val="24"/>
        </w:rPr>
        <w:t>p</w:t>
      </w:r>
      <w:r w:rsidR="00C86E52">
        <w:rPr>
          <w:szCs w:val="24"/>
        </w:rPr>
        <w:t>olicie</w:t>
      </w:r>
      <w:r w:rsidR="007E056E">
        <w:rPr>
          <w:szCs w:val="24"/>
        </w:rPr>
        <w:t xml:space="preserve">s and future </w:t>
      </w:r>
      <w:r w:rsidR="00C86E52">
        <w:rPr>
          <w:szCs w:val="24"/>
        </w:rPr>
        <w:t>plans</w:t>
      </w:r>
      <w:r w:rsidR="007E056E">
        <w:rPr>
          <w:szCs w:val="24"/>
        </w:rPr>
        <w:t xml:space="preserve"> </w:t>
      </w:r>
      <w:r w:rsidRPr="001B7C41">
        <w:rPr>
          <w:szCs w:val="24"/>
        </w:rPr>
        <w:t>for the school</w:t>
      </w:r>
      <w:r w:rsidR="007E056E">
        <w:rPr>
          <w:szCs w:val="24"/>
        </w:rPr>
        <w:t xml:space="preserve">, including our growth, are </w:t>
      </w:r>
      <w:r w:rsidRPr="001B7C41">
        <w:rPr>
          <w:szCs w:val="24"/>
        </w:rPr>
        <w:t xml:space="preserve">closely </w:t>
      </w:r>
      <w:r w:rsidR="002D4DBE">
        <w:rPr>
          <w:szCs w:val="24"/>
        </w:rPr>
        <w:t>align</w:t>
      </w:r>
      <w:r w:rsidR="007E056E">
        <w:rPr>
          <w:szCs w:val="24"/>
        </w:rPr>
        <w:t>ed</w:t>
      </w:r>
      <w:r w:rsidR="002D4DBE">
        <w:rPr>
          <w:szCs w:val="24"/>
        </w:rPr>
        <w:t xml:space="preserve"> with</w:t>
      </w:r>
      <w:r w:rsidRPr="001B7C41">
        <w:rPr>
          <w:szCs w:val="24"/>
        </w:rPr>
        <w:t xml:space="preserve"> </w:t>
      </w:r>
      <w:r w:rsidR="00C86E52">
        <w:rPr>
          <w:szCs w:val="24"/>
        </w:rPr>
        <w:t>our</w:t>
      </w:r>
      <w:r w:rsidRPr="001B7C41">
        <w:rPr>
          <w:szCs w:val="24"/>
        </w:rPr>
        <w:t xml:space="preserve"> mission statement. </w:t>
      </w:r>
    </w:p>
    <w:p w:rsidR="00A80532" w:rsidRDefault="00A80532" w:rsidP="0048617D">
      <w:pPr>
        <w:ind w:firstLine="720"/>
      </w:pPr>
    </w:p>
    <w:p w:rsidR="005B3F43" w:rsidRDefault="0048617D" w:rsidP="004702AC">
      <w:r>
        <w:t xml:space="preserve">As a multi-campus school from the start, Mystic Valley </w:t>
      </w:r>
      <w:r w:rsidR="00E82331">
        <w:t xml:space="preserve">has </w:t>
      </w:r>
      <w:r>
        <w:t>worked to develop a unique educational experience characterized by a strong distinguishable culture.</w:t>
      </w:r>
      <w:r w:rsidR="00B45A3E">
        <w:t xml:space="preserve"> </w:t>
      </w:r>
      <w:r w:rsidR="006720C9">
        <w:t xml:space="preserve">Teaching </w:t>
      </w:r>
      <w:r>
        <w:t xml:space="preserve">at Mystic Valley </w:t>
      </w:r>
      <w:r w:rsidR="00B45A3E">
        <w:t>requires</w:t>
      </w:r>
      <w:r w:rsidR="00815521">
        <w:t xml:space="preserve"> </w:t>
      </w:r>
      <w:r w:rsidR="00B45A3E">
        <w:t xml:space="preserve">not only a commitment to being </w:t>
      </w:r>
      <w:r w:rsidR="006720C9">
        <w:t xml:space="preserve">among </w:t>
      </w:r>
      <w:r w:rsidR="00B45A3E">
        <w:t>the best in</w:t>
      </w:r>
      <w:r w:rsidR="00815521">
        <w:t xml:space="preserve"> </w:t>
      </w:r>
      <w:r w:rsidR="006720C9">
        <w:t xml:space="preserve">your </w:t>
      </w:r>
      <w:r w:rsidR="00B45A3E">
        <w:t xml:space="preserve">area of expertise, but also a commitment to a particular philosophy of education.  </w:t>
      </w:r>
    </w:p>
    <w:p w:rsidR="005B3F43" w:rsidRDefault="005B3F43" w:rsidP="0048617D">
      <w:pPr>
        <w:ind w:firstLine="720"/>
      </w:pPr>
    </w:p>
    <w:p w:rsidR="006720C9" w:rsidRDefault="00B45A3E" w:rsidP="004702AC">
      <w:r>
        <w:t>As described earlier, MVRCS</w:t>
      </w:r>
      <w:r w:rsidR="008B02F4">
        <w:t>’</w:t>
      </w:r>
      <w:r>
        <w:t xml:space="preserve"> curriculum is content focused</w:t>
      </w:r>
      <w:r w:rsidR="00A51195">
        <w:t xml:space="preserve">, </w:t>
      </w:r>
      <w:r>
        <w:t>teacher directed</w:t>
      </w:r>
      <w:r w:rsidR="00A51195" w:rsidRPr="00A51195">
        <w:t xml:space="preserve"> </w:t>
      </w:r>
      <w:r w:rsidR="00A51195">
        <w:t xml:space="preserve">and </w:t>
      </w:r>
      <w:r w:rsidR="00F639F5">
        <w:t>mastery</w:t>
      </w:r>
      <w:r w:rsidR="00A51195">
        <w:t xml:space="preserve"> oriented</w:t>
      </w:r>
      <w:r>
        <w:t>.</w:t>
      </w:r>
      <w:r w:rsidR="00A51195">
        <w:t xml:space="preserve">  </w:t>
      </w:r>
      <w:r w:rsidR="00F6492B">
        <w:t>Only teachers who are in concert with this approach are hired</w:t>
      </w:r>
      <w:r w:rsidR="009D699E">
        <w:t xml:space="preserve">.  Once employed, new </w:t>
      </w:r>
      <w:r w:rsidR="005962E6">
        <w:lastRenderedPageBreak/>
        <w:t xml:space="preserve">and returning </w:t>
      </w:r>
      <w:r w:rsidR="009D699E">
        <w:t xml:space="preserve">teachers are </w:t>
      </w:r>
      <w:r w:rsidR="00F6492B">
        <w:t>provided</w:t>
      </w:r>
      <w:r w:rsidR="009D699E">
        <w:t xml:space="preserve"> ongoing</w:t>
      </w:r>
      <w:r w:rsidR="00F6492B">
        <w:t xml:space="preserve"> training</w:t>
      </w:r>
      <w:r w:rsidR="009D699E">
        <w:t xml:space="preserve"> in </w:t>
      </w:r>
      <w:r w:rsidR="00835183">
        <w:t xml:space="preserve">curricular content and school philosophy through readings of Core Knowledge founder E.D. Hirsch and others.  </w:t>
      </w:r>
    </w:p>
    <w:p w:rsidR="00C475A3" w:rsidRDefault="00C475A3" w:rsidP="0048617D">
      <w:pPr>
        <w:ind w:firstLine="720"/>
      </w:pPr>
    </w:p>
    <w:p w:rsidR="001861E7" w:rsidRDefault="002B1133" w:rsidP="004702AC">
      <w:r>
        <w:t>Our one-school identity is further developed through school uniforms, sports, activities and traditions</w:t>
      </w:r>
      <w:r w:rsidR="00DC3EDC">
        <w:t xml:space="preserve">. </w:t>
      </w:r>
      <w:r w:rsidR="00C475A3">
        <w:t>In addition, we create opportunities for students to traverse the various campuses through a centralized athletic facility</w:t>
      </w:r>
      <w:r w:rsidR="004702AC">
        <w:t xml:space="preserve"> and</w:t>
      </w:r>
      <w:r w:rsidR="00C475A3">
        <w:t xml:space="preserve"> </w:t>
      </w:r>
      <w:r w:rsidR="004702AC">
        <w:t xml:space="preserve">a Student Action Service </w:t>
      </w:r>
      <w:r w:rsidR="00C475A3">
        <w:t>program that sends high school students to the elementary campus for reading and other activities.</w:t>
      </w:r>
    </w:p>
    <w:p w:rsidR="00C475A3" w:rsidRDefault="00C475A3" w:rsidP="0048617D">
      <w:pPr>
        <w:ind w:firstLine="720"/>
      </w:pPr>
    </w:p>
    <w:p w:rsidR="00C475A3" w:rsidRDefault="00C475A3" w:rsidP="004702AC">
      <w:r>
        <w:t>These intentional approaches</w:t>
      </w:r>
      <w:r w:rsidRPr="005962E6">
        <w:t xml:space="preserve"> </w:t>
      </w:r>
      <w:r>
        <w:t>to program, pedagogy and educational philosophical</w:t>
      </w:r>
      <w:r w:rsidR="00DC3EDC">
        <w:t xml:space="preserve"> have</w:t>
      </w:r>
      <w:r>
        <w:t xml:space="preserve"> been essential to creating and maintaining a single school culture that transcends physical location. </w:t>
      </w:r>
      <w:r w:rsidR="00DC3EDC">
        <w:t xml:space="preserve"> </w:t>
      </w:r>
      <w:r w:rsidR="001D796C">
        <w:t xml:space="preserve">We believe that the success we have seen at maintaining our culture through </w:t>
      </w:r>
      <w:r w:rsidR="00D54F08">
        <w:t xml:space="preserve">the </w:t>
      </w:r>
      <w:r w:rsidR="001D796C">
        <w:t>rapid growth</w:t>
      </w:r>
      <w:r w:rsidR="00D54F08">
        <w:t xml:space="preserve"> of our first 14 years will continue if our enrollment increase request is accepted. </w:t>
      </w:r>
      <w:r w:rsidR="001D796C">
        <w:t xml:space="preserve">   </w:t>
      </w:r>
      <w:r w:rsidR="00DC3EDC">
        <w:t xml:space="preserve"> </w:t>
      </w:r>
    </w:p>
    <w:p w:rsidR="00C475A3" w:rsidRDefault="00C475A3" w:rsidP="0048617D">
      <w:pPr>
        <w:ind w:firstLine="720"/>
      </w:pPr>
    </w:p>
    <w:p w:rsidR="00B243C4" w:rsidRDefault="00B243C4" w:rsidP="00D54F08">
      <w:pPr>
        <w:ind w:firstLine="720"/>
      </w:pPr>
    </w:p>
    <w:p w:rsidR="00B243C4" w:rsidRDefault="009F7722" w:rsidP="00B243C4">
      <w:pPr>
        <w:rPr>
          <w:b/>
        </w:rPr>
      </w:pPr>
      <w:r>
        <w:rPr>
          <w:b/>
        </w:rPr>
        <w:t>Section G:  Enrollment,</w:t>
      </w:r>
      <w:r w:rsidR="00B243C4" w:rsidRPr="00F91A93">
        <w:rPr>
          <w:b/>
        </w:rPr>
        <w:t xml:space="preserve"> Recruitment</w:t>
      </w:r>
      <w:r>
        <w:rPr>
          <w:b/>
        </w:rPr>
        <w:t>, and Retention</w:t>
      </w:r>
      <w:r w:rsidR="00B243C4" w:rsidRPr="00F91A93">
        <w:rPr>
          <w:b/>
        </w:rPr>
        <w:t>:</w:t>
      </w:r>
    </w:p>
    <w:p w:rsidR="00B243C4" w:rsidRDefault="00B243C4" w:rsidP="00B243C4">
      <w:pPr>
        <w:rPr>
          <w:b/>
        </w:rPr>
      </w:pPr>
    </w:p>
    <w:p w:rsidR="00B243C4" w:rsidRDefault="00B243C4" w:rsidP="00B243C4">
      <w:r>
        <w:t>As indicated in our request, the primary purpose for asking for an increase in enrollment from 1,500 to 1,900 is to address the overwhelming demand from our sending district as evidenced in our wait list numbers and available capacity under the NSS cap scenario within our sending district (per the above chart in Section A).</w:t>
      </w:r>
    </w:p>
    <w:p w:rsidR="00B243C4" w:rsidRDefault="00B243C4" w:rsidP="00B243C4"/>
    <w:p w:rsidR="00B243C4" w:rsidRDefault="00B243C4" w:rsidP="00B243C4">
      <w:r>
        <w:t>Per recent state regulations, we will follow the Recruitment and Re</w:t>
      </w:r>
      <w:r w:rsidR="001975C9">
        <w:t xml:space="preserve">tention Plan which we submitted as part of our Annual Report for the 2011 school year.  In summary, we plan to continue our approach in advertising in local papers in multiple languages to provide an overview of the school and extend an invitation for parents to come to one of several open houses that we conduct in the fall.  We also plan to work with </w:t>
      </w:r>
      <w:r w:rsidR="00D63A71">
        <w:t>local and state agenc</w:t>
      </w:r>
      <w:r w:rsidR="001975C9">
        <w:t xml:space="preserve">ies within our sending district to target </w:t>
      </w:r>
      <w:r w:rsidR="00D63A71">
        <w:t>all potential students within the sending district.</w:t>
      </w:r>
    </w:p>
    <w:p w:rsidR="0013288C" w:rsidRDefault="0013288C" w:rsidP="00B243C4"/>
    <w:tbl>
      <w:tblPr>
        <w:tblW w:w="9558" w:type="dxa"/>
        <w:tblLayout w:type="fixed"/>
        <w:tblLook w:val="01E0" w:firstRow="1" w:lastRow="1" w:firstColumn="1" w:lastColumn="1" w:noHBand="0" w:noVBand="0"/>
      </w:tblPr>
      <w:tblGrid>
        <w:gridCol w:w="1603"/>
        <w:gridCol w:w="2555"/>
        <w:gridCol w:w="3150"/>
        <w:gridCol w:w="2250"/>
      </w:tblGrid>
      <w:tr w:rsidR="00A426C8" w:rsidRPr="00A4073A" w:rsidTr="00A426C8">
        <w:trPr>
          <w:trHeight w:val="449"/>
        </w:trPr>
        <w:tc>
          <w:tcPr>
            <w:tcW w:w="9558"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A426C8" w:rsidRPr="00A4073A" w:rsidRDefault="00A426C8" w:rsidP="00A426C8">
            <w:pPr>
              <w:jc w:val="center"/>
              <w:rPr>
                <w:b/>
              </w:rPr>
            </w:pPr>
            <w:r w:rsidRPr="00A4073A">
              <w:rPr>
                <w:b/>
              </w:rPr>
              <w:t>Recruitment Plan – Report on Implementation</w:t>
            </w:r>
          </w:p>
        </w:tc>
      </w:tr>
      <w:tr w:rsidR="00A426C8" w:rsidRPr="00A4073A" w:rsidTr="00A426C8">
        <w:trPr>
          <w:trHeight w:val="449"/>
        </w:trPr>
        <w:tc>
          <w:tcPr>
            <w:tcW w:w="1603" w:type="dxa"/>
            <w:tcBorders>
              <w:top w:val="single" w:sz="4" w:space="0" w:color="auto"/>
              <w:left w:val="single" w:sz="4" w:space="0" w:color="auto"/>
              <w:bottom w:val="single" w:sz="4" w:space="0" w:color="auto"/>
              <w:right w:val="single" w:sz="4" w:space="0" w:color="auto"/>
            </w:tcBorders>
            <w:shd w:val="clear" w:color="auto" w:fill="E0E0E0"/>
            <w:vAlign w:val="center"/>
          </w:tcPr>
          <w:p w:rsidR="00A426C8" w:rsidRPr="00A4073A" w:rsidRDefault="00A426C8" w:rsidP="00A426C8">
            <w:pPr>
              <w:jc w:val="center"/>
              <w:rPr>
                <w:b/>
              </w:rPr>
            </w:pPr>
            <w:r w:rsidRPr="00A4073A">
              <w:rPr>
                <w:b/>
              </w:rPr>
              <w:t>Group</w:t>
            </w:r>
          </w:p>
        </w:tc>
        <w:tc>
          <w:tcPr>
            <w:tcW w:w="2555" w:type="dxa"/>
            <w:tcBorders>
              <w:top w:val="single" w:sz="4" w:space="0" w:color="auto"/>
              <w:left w:val="single" w:sz="4" w:space="0" w:color="auto"/>
              <w:bottom w:val="single" w:sz="4" w:space="0" w:color="auto"/>
              <w:right w:val="single" w:sz="4" w:space="0" w:color="auto"/>
            </w:tcBorders>
            <w:shd w:val="clear" w:color="auto" w:fill="E0E0E0"/>
            <w:vAlign w:val="center"/>
          </w:tcPr>
          <w:p w:rsidR="00A426C8" w:rsidRPr="00A4073A" w:rsidRDefault="00A426C8" w:rsidP="00A426C8">
            <w:pPr>
              <w:jc w:val="center"/>
              <w:rPr>
                <w:b/>
              </w:rPr>
            </w:pPr>
            <w:r w:rsidRPr="00A4073A">
              <w:rPr>
                <w:b/>
              </w:rPr>
              <w:t>Strategy</w:t>
            </w:r>
          </w:p>
        </w:tc>
        <w:tc>
          <w:tcPr>
            <w:tcW w:w="3150" w:type="dxa"/>
            <w:tcBorders>
              <w:top w:val="single" w:sz="4" w:space="0" w:color="auto"/>
              <w:left w:val="single" w:sz="4" w:space="0" w:color="auto"/>
              <w:bottom w:val="single" w:sz="4" w:space="0" w:color="auto"/>
              <w:right w:val="single" w:sz="4" w:space="0" w:color="auto"/>
            </w:tcBorders>
            <w:shd w:val="clear" w:color="auto" w:fill="E0E0E0"/>
            <w:vAlign w:val="center"/>
          </w:tcPr>
          <w:p w:rsidR="00A426C8" w:rsidRPr="00A4073A" w:rsidRDefault="00A426C8" w:rsidP="00A426C8">
            <w:pPr>
              <w:keepNext/>
              <w:keepLines/>
              <w:spacing w:before="200"/>
              <w:jc w:val="center"/>
              <w:outlineLvl w:val="1"/>
              <w:rPr>
                <w:b/>
              </w:rPr>
            </w:pPr>
            <w:bookmarkStart w:id="2" w:name="_Toc331511965"/>
            <w:r w:rsidRPr="00A4073A">
              <w:rPr>
                <w:b/>
              </w:rPr>
              <w:t>Evidence of Implementation</w:t>
            </w:r>
            <w:bookmarkEnd w:id="2"/>
            <w:r w:rsidRPr="00A4073A">
              <w:rPr>
                <w:b/>
              </w:rPr>
              <w:t xml:space="preserve">  </w:t>
            </w:r>
          </w:p>
          <w:p w:rsidR="00A426C8" w:rsidRPr="00A4073A" w:rsidRDefault="00A426C8" w:rsidP="00A426C8">
            <w:pPr>
              <w:keepNext/>
              <w:keepLines/>
              <w:spacing w:before="200"/>
              <w:jc w:val="center"/>
              <w:outlineLvl w:val="1"/>
              <w:rPr>
                <w:bCs/>
                <w:color w:val="4F81BD"/>
              </w:rPr>
            </w:pPr>
            <w:bookmarkStart w:id="3" w:name="_Toc331511966"/>
            <w:r w:rsidRPr="00A4073A">
              <w:t xml:space="preserve">Provide evidence that each strategy was implemented as described in the 2011-12 </w:t>
            </w:r>
            <w:proofErr w:type="gramStart"/>
            <w:r w:rsidRPr="00A4073A">
              <w:t>plan</w:t>
            </w:r>
            <w:proofErr w:type="gramEnd"/>
            <w:r w:rsidRPr="00A4073A">
              <w:t>.</w:t>
            </w:r>
            <w:bookmarkEnd w:id="3"/>
          </w:p>
        </w:tc>
        <w:tc>
          <w:tcPr>
            <w:tcW w:w="2250" w:type="dxa"/>
            <w:tcBorders>
              <w:top w:val="single" w:sz="4" w:space="0" w:color="auto"/>
              <w:left w:val="single" w:sz="4" w:space="0" w:color="auto"/>
              <w:bottom w:val="single" w:sz="4" w:space="0" w:color="auto"/>
              <w:right w:val="single" w:sz="4" w:space="0" w:color="auto"/>
            </w:tcBorders>
            <w:shd w:val="clear" w:color="auto" w:fill="E0E0E0"/>
            <w:vAlign w:val="center"/>
          </w:tcPr>
          <w:p w:rsidR="00A426C8" w:rsidRPr="00A4073A" w:rsidRDefault="00A426C8" w:rsidP="00A426C8">
            <w:pPr>
              <w:jc w:val="center"/>
              <w:rPr>
                <w:b/>
              </w:rPr>
            </w:pPr>
            <w:r w:rsidRPr="00A4073A">
              <w:rPr>
                <w:b/>
              </w:rPr>
              <w:t>Proposed strategy changes (if applicable) for SY12-13</w:t>
            </w:r>
          </w:p>
        </w:tc>
      </w:tr>
      <w:tr w:rsidR="00A426C8" w:rsidRPr="00A4073A" w:rsidTr="00A426C8">
        <w:trPr>
          <w:trHeight w:hRule="exact" w:val="1810"/>
        </w:trPr>
        <w:tc>
          <w:tcPr>
            <w:tcW w:w="1603" w:type="dxa"/>
            <w:tcBorders>
              <w:top w:val="single" w:sz="4" w:space="0" w:color="auto"/>
              <w:left w:val="single" w:sz="4" w:space="0" w:color="auto"/>
              <w:bottom w:val="single" w:sz="4" w:space="0" w:color="auto"/>
              <w:right w:val="single" w:sz="4" w:space="0" w:color="auto"/>
            </w:tcBorders>
          </w:tcPr>
          <w:p w:rsidR="00A426C8" w:rsidRPr="00A4073A" w:rsidRDefault="00A426C8" w:rsidP="00A426C8">
            <w:pPr>
              <w:spacing w:before="240"/>
              <w:rPr>
                <w:b/>
              </w:rPr>
            </w:pPr>
            <w:r w:rsidRPr="00A4073A">
              <w:rPr>
                <w:b/>
              </w:rPr>
              <w:t>Demographic Group:</w:t>
            </w:r>
          </w:p>
          <w:p w:rsidR="00A426C8" w:rsidRPr="00A4073A" w:rsidRDefault="00A426C8" w:rsidP="00A426C8">
            <w:r w:rsidRPr="00A4073A">
              <w:t>A. Special education students</w:t>
            </w:r>
          </w:p>
          <w:p w:rsidR="00A426C8" w:rsidRPr="00A4073A" w:rsidRDefault="00A426C8" w:rsidP="00A426C8"/>
        </w:tc>
        <w:tc>
          <w:tcPr>
            <w:tcW w:w="2555" w:type="dxa"/>
            <w:tcBorders>
              <w:top w:val="single" w:sz="4" w:space="0" w:color="auto"/>
              <w:left w:val="single" w:sz="4" w:space="0" w:color="auto"/>
              <w:bottom w:val="single" w:sz="4" w:space="0" w:color="auto"/>
              <w:right w:val="single" w:sz="4" w:space="0" w:color="auto"/>
            </w:tcBorders>
          </w:tcPr>
          <w:p w:rsidR="00A426C8" w:rsidRPr="00A4073A" w:rsidRDefault="00A426C8" w:rsidP="00A426C8">
            <w:pPr>
              <w:pStyle w:val="ListParagraph"/>
              <w:tabs>
                <w:tab w:val="left" w:pos="377"/>
              </w:tabs>
              <w:spacing w:after="0"/>
              <w:ind w:left="0"/>
              <w:rPr>
                <w:rFonts w:ascii="Times New Roman" w:hAnsi="Times New Roman"/>
              </w:rPr>
            </w:pPr>
            <w:r w:rsidRPr="00A4073A">
              <w:rPr>
                <w:rFonts w:ascii="Times New Roman" w:hAnsi="Times New Roman"/>
              </w:rPr>
              <w:t>MVRCS will advertise the school’s open ho</w:t>
            </w:r>
            <w:r>
              <w:rPr>
                <w:rFonts w:ascii="Times New Roman" w:hAnsi="Times New Roman"/>
              </w:rPr>
              <w:t>u</w:t>
            </w:r>
            <w:r w:rsidRPr="00A4073A">
              <w:rPr>
                <w:rFonts w:ascii="Times New Roman" w:hAnsi="Times New Roman"/>
              </w:rPr>
              <w:t>ses at local health departments in all sending districts as well as hospital pediatric departments in sending districts</w:t>
            </w:r>
            <w:r>
              <w:rPr>
                <w:rFonts w:ascii="Times New Roman" w:hAnsi="Times New Roman"/>
              </w:rPr>
              <w:t>.</w:t>
            </w:r>
          </w:p>
        </w:tc>
        <w:tc>
          <w:tcPr>
            <w:tcW w:w="3150" w:type="dxa"/>
            <w:tcBorders>
              <w:top w:val="single" w:sz="4" w:space="0" w:color="auto"/>
              <w:left w:val="single" w:sz="4" w:space="0" w:color="auto"/>
              <w:bottom w:val="single" w:sz="4" w:space="0" w:color="auto"/>
              <w:right w:val="single" w:sz="4" w:space="0" w:color="auto"/>
            </w:tcBorders>
          </w:tcPr>
          <w:p w:rsidR="00A426C8" w:rsidRPr="00A4073A" w:rsidRDefault="00A426C8" w:rsidP="00A426C8">
            <w:pPr>
              <w:pStyle w:val="ListParagraph"/>
              <w:tabs>
                <w:tab w:val="left" w:pos="348"/>
              </w:tabs>
              <w:spacing w:after="0"/>
              <w:ind w:left="0"/>
              <w:rPr>
                <w:rFonts w:ascii="Times New Roman" w:hAnsi="Times New Roman"/>
              </w:rPr>
            </w:pPr>
            <w:r w:rsidRPr="00A4073A">
              <w:rPr>
                <w:rFonts w:ascii="Times New Roman" w:hAnsi="Times New Roman"/>
              </w:rPr>
              <w:t xml:space="preserve">Mystic Valley’s </w:t>
            </w:r>
            <w:r>
              <w:rPr>
                <w:rFonts w:ascii="Times New Roman" w:hAnsi="Times New Roman"/>
              </w:rPr>
              <w:t>Special Education</w:t>
            </w:r>
            <w:r w:rsidRPr="00A4073A">
              <w:rPr>
                <w:rFonts w:ascii="Times New Roman" w:hAnsi="Times New Roman"/>
              </w:rPr>
              <w:t xml:space="preserve"> enrollment has increased to 15%</w:t>
            </w:r>
            <w:r>
              <w:rPr>
                <w:rFonts w:ascii="Times New Roman" w:hAnsi="Times New Roman"/>
              </w:rPr>
              <w:t>,</w:t>
            </w:r>
            <w:r w:rsidRPr="00A4073A">
              <w:rPr>
                <w:rFonts w:ascii="Times New Roman" w:hAnsi="Times New Roman"/>
              </w:rPr>
              <w:t xml:space="preserve"> which is equal to or greater than any one of its sending districts that have filed a report</w:t>
            </w:r>
            <w:r>
              <w:rPr>
                <w:rFonts w:ascii="Times New Roman" w:hAnsi="Times New Roman"/>
              </w:rPr>
              <w:t>.</w:t>
            </w:r>
          </w:p>
        </w:tc>
        <w:tc>
          <w:tcPr>
            <w:tcW w:w="2250"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rsidRPr="00A4073A">
              <w:t>Mystic Valley intends to continue adhering to its current plan for recruitment.</w:t>
            </w:r>
          </w:p>
        </w:tc>
      </w:tr>
      <w:tr w:rsidR="00A426C8" w:rsidRPr="00A4073A" w:rsidTr="00A426C8">
        <w:trPr>
          <w:trHeight w:hRule="exact" w:val="2683"/>
        </w:trPr>
        <w:tc>
          <w:tcPr>
            <w:tcW w:w="1603" w:type="dxa"/>
            <w:tcBorders>
              <w:top w:val="single" w:sz="4" w:space="0" w:color="auto"/>
              <w:left w:val="single" w:sz="4" w:space="0" w:color="auto"/>
              <w:bottom w:val="single" w:sz="4" w:space="0" w:color="auto"/>
              <w:right w:val="single" w:sz="4" w:space="0" w:color="auto"/>
            </w:tcBorders>
          </w:tcPr>
          <w:p w:rsidR="00A426C8" w:rsidRPr="00A4073A" w:rsidRDefault="00A426C8" w:rsidP="00A426C8">
            <w:pPr>
              <w:spacing w:before="240"/>
            </w:pPr>
            <w:r w:rsidRPr="00A4073A">
              <w:rPr>
                <w:b/>
              </w:rPr>
              <w:lastRenderedPageBreak/>
              <w:t>Demographic Group:</w:t>
            </w:r>
            <w:r w:rsidRPr="00A4073A">
              <w:t xml:space="preserve"> </w:t>
            </w:r>
          </w:p>
          <w:p w:rsidR="00A426C8" w:rsidRPr="00A4073A" w:rsidRDefault="00A426C8" w:rsidP="00A426C8">
            <w:pPr>
              <w:spacing w:before="240"/>
              <w:rPr>
                <w:b/>
              </w:rPr>
            </w:pPr>
            <w:r w:rsidRPr="00A4073A">
              <w:t>B. Limited English-proficient students</w:t>
            </w:r>
          </w:p>
        </w:tc>
        <w:tc>
          <w:tcPr>
            <w:tcW w:w="2555" w:type="dxa"/>
            <w:tcBorders>
              <w:top w:val="single" w:sz="4" w:space="0" w:color="auto"/>
              <w:left w:val="single" w:sz="4" w:space="0" w:color="auto"/>
              <w:bottom w:val="single" w:sz="4" w:space="0" w:color="auto"/>
              <w:right w:val="single" w:sz="4" w:space="0" w:color="auto"/>
            </w:tcBorders>
          </w:tcPr>
          <w:p w:rsidR="00A426C8" w:rsidRPr="00A4073A" w:rsidRDefault="00A426C8" w:rsidP="00A426C8">
            <w:pPr>
              <w:pStyle w:val="ListParagraph"/>
              <w:spacing w:after="0"/>
              <w:ind w:left="0"/>
              <w:rPr>
                <w:rFonts w:ascii="Times New Roman" w:hAnsi="Times New Roman"/>
              </w:rPr>
            </w:pPr>
            <w:r w:rsidRPr="00A4073A">
              <w:rPr>
                <w:rFonts w:ascii="Times New Roman" w:hAnsi="Times New Roman"/>
              </w:rPr>
              <w:t xml:space="preserve">Information regarding school open houses will be translated into the following languages and advertised </w:t>
            </w:r>
            <w:r>
              <w:rPr>
                <w:rFonts w:ascii="Times New Roman" w:hAnsi="Times New Roman"/>
              </w:rPr>
              <w:t>in</w:t>
            </w:r>
            <w:r w:rsidRPr="00A4073A">
              <w:rPr>
                <w:rFonts w:ascii="Times New Roman" w:hAnsi="Times New Roman"/>
              </w:rPr>
              <w:t xml:space="preserve"> newspapers for those groups. </w:t>
            </w:r>
          </w:p>
          <w:p w:rsidR="00A426C8" w:rsidRPr="00A4073A" w:rsidRDefault="00A426C8" w:rsidP="00A426C8">
            <w:pPr>
              <w:pStyle w:val="ListParagraph"/>
              <w:spacing w:after="0"/>
              <w:ind w:left="360"/>
              <w:rPr>
                <w:rFonts w:ascii="Times New Roman" w:hAnsi="Times New Roman"/>
              </w:rPr>
            </w:pPr>
            <w:r w:rsidRPr="00A4073A">
              <w:rPr>
                <w:rFonts w:ascii="Times New Roman" w:hAnsi="Times New Roman"/>
                <w:i/>
              </w:rPr>
              <w:t xml:space="preserve">El </w:t>
            </w:r>
            <w:proofErr w:type="spellStart"/>
            <w:r w:rsidRPr="00A4073A">
              <w:rPr>
                <w:rFonts w:ascii="Times New Roman" w:hAnsi="Times New Roman"/>
                <w:i/>
              </w:rPr>
              <w:t>Planeta</w:t>
            </w:r>
            <w:proofErr w:type="spellEnd"/>
            <w:r w:rsidRPr="00A4073A">
              <w:rPr>
                <w:rFonts w:ascii="Times New Roman" w:hAnsi="Times New Roman"/>
              </w:rPr>
              <w:t xml:space="preserve"> (Spanish)</w:t>
            </w:r>
          </w:p>
          <w:p w:rsidR="00A426C8" w:rsidRPr="00A4073A" w:rsidRDefault="00A426C8" w:rsidP="00A426C8">
            <w:pPr>
              <w:pStyle w:val="ListParagraph"/>
              <w:spacing w:after="0"/>
              <w:ind w:left="360"/>
              <w:rPr>
                <w:rFonts w:ascii="Times New Roman" w:hAnsi="Times New Roman"/>
              </w:rPr>
            </w:pPr>
            <w:proofErr w:type="spellStart"/>
            <w:r w:rsidRPr="00A4073A">
              <w:rPr>
                <w:rFonts w:ascii="Times New Roman" w:hAnsi="Times New Roman"/>
                <w:i/>
              </w:rPr>
              <w:t>Tieng</w:t>
            </w:r>
            <w:proofErr w:type="spellEnd"/>
            <w:r w:rsidRPr="00A4073A">
              <w:rPr>
                <w:rFonts w:ascii="Times New Roman" w:hAnsi="Times New Roman"/>
                <w:i/>
              </w:rPr>
              <w:t xml:space="preserve"> </w:t>
            </w:r>
            <w:proofErr w:type="spellStart"/>
            <w:r w:rsidRPr="00A4073A">
              <w:rPr>
                <w:rFonts w:ascii="Times New Roman" w:hAnsi="Times New Roman"/>
                <w:i/>
              </w:rPr>
              <w:t>Chuong</w:t>
            </w:r>
            <w:proofErr w:type="spellEnd"/>
            <w:r w:rsidRPr="00A4073A">
              <w:rPr>
                <w:rFonts w:ascii="Times New Roman" w:hAnsi="Times New Roman"/>
              </w:rPr>
              <w:t xml:space="preserve"> (Vietnamese)</w:t>
            </w:r>
          </w:p>
          <w:p w:rsidR="00A426C8" w:rsidRPr="00A4073A" w:rsidRDefault="00A426C8" w:rsidP="00A426C8">
            <w:pPr>
              <w:pStyle w:val="ListParagraph"/>
              <w:spacing w:after="0"/>
              <w:ind w:left="360"/>
              <w:rPr>
                <w:rFonts w:ascii="Times New Roman" w:hAnsi="Times New Roman"/>
              </w:rPr>
            </w:pPr>
            <w:r w:rsidRPr="00A4073A">
              <w:rPr>
                <w:rFonts w:ascii="Times New Roman" w:hAnsi="Times New Roman"/>
                <w:i/>
              </w:rPr>
              <w:t>The Epoch Times</w:t>
            </w:r>
            <w:r w:rsidRPr="00A4073A">
              <w:rPr>
                <w:rFonts w:ascii="Times New Roman" w:hAnsi="Times New Roman"/>
              </w:rPr>
              <w:t xml:space="preserve"> (Chinese)</w:t>
            </w:r>
          </w:p>
        </w:tc>
        <w:tc>
          <w:tcPr>
            <w:tcW w:w="3150" w:type="dxa"/>
            <w:tcBorders>
              <w:top w:val="single" w:sz="4" w:space="0" w:color="auto"/>
              <w:left w:val="single" w:sz="4" w:space="0" w:color="auto"/>
              <w:bottom w:val="single" w:sz="4" w:space="0" w:color="auto"/>
              <w:right w:val="single" w:sz="4" w:space="0" w:color="auto"/>
            </w:tcBorders>
          </w:tcPr>
          <w:p w:rsidR="00A426C8" w:rsidRDefault="00A426C8" w:rsidP="00A426C8">
            <w:pPr>
              <w:pStyle w:val="ListParagraph"/>
              <w:spacing w:after="0"/>
              <w:ind w:left="0"/>
              <w:rPr>
                <w:rFonts w:ascii="Times New Roman" w:hAnsi="Times New Roman"/>
              </w:rPr>
            </w:pPr>
            <w:r>
              <w:rPr>
                <w:rFonts w:ascii="Times New Roman" w:hAnsi="Times New Roman"/>
              </w:rPr>
              <w:t>Mystic Valley advertised in all three local foreign-language publications in September and October, 2011.</w:t>
            </w:r>
          </w:p>
          <w:p w:rsidR="00A426C8" w:rsidRPr="00A4073A" w:rsidRDefault="00A426C8" w:rsidP="00A426C8">
            <w:pPr>
              <w:pStyle w:val="ListParagraph"/>
              <w:spacing w:after="0"/>
              <w:ind w:left="0"/>
              <w:rPr>
                <w:rFonts w:ascii="Times New Roman" w:hAnsi="Times New Roman"/>
              </w:rPr>
            </w:pPr>
            <w:r>
              <w:rPr>
                <w:rFonts w:ascii="Times New Roman" w:hAnsi="Times New Roman"/>
              </w:rPr>
              <w:t>Additionally,</w:t>
            </w:r>
            <w:r w:rsidRPr="00A4073A">
              <w:rPr>
                <w:rFonts w:ascii="Times New Roman" w:hAnsi="Times New Roman"/>
              </w:rPr>
              <w:t xml:space="preserve"> </w:t>
            </w:r>
            <w:r>
              <w:rPr>
                <w:rFonts w:ascii="Times New Roman" w:hAnsi="Times New Roman"/>
              </w:rPr>
              <w:t xml:space="preserve">you may find a video of our yearly lottery at the following link: </w:t>
            </w:r>
            <w:r w:rsidRPr="00A4073A">
              <w:rPr>
                <w:rFonts w:ascii="Times New Roman" w:hAnsi="Times New Roman"/>
              </w:rPr>
              <w:t>http://www.youtube.com/watch?v=24QVX7pTWbs&amp;feature=youtu.be</w:t>
            </w:r>
            <w:r>
              <w:rPr>
                <w:rFonts w:ascii="Times New Roman" w:hAnsi="Times New Roman"/>
              </w:rPr>
              <w:t>.</w:t>
            </w:r>
          </w:p>
        </w:tc>
        <w:tc>
          <w:tcPr>
            <w:tcW w:w="2250" w:type="dxa"/>
            <w:tcBorders>
              <w:top w:val="single" w:sz="4" w:space="0" w:color="auto"/>
              <w:left w:val="single" w:sz="4" w:space="0" w:color="auto"/>
              <w:bottom w:val="single" w:sz="4" w:space="0" w:color="auto"/>
              <w:right w:val="single" w:sz="4" w:space="0" w:color="auto"/>
            </w:tcBorders>
          </w:tcPr>
          <w:p w:rsidR="00A426C8" w:rsidRPr="00A4073A" w:rsidRDefault="00A426C8" w:rsidP="00A426C8">
            <w:pPr>
              <w:pStyle w:val="ListParagraph"/>
              <w:spacing w:before="100" w:beforeAutospacing="1" w:after="0"/>
              <w:ind w:left="0"/>
              <w:rPr>
                <w:rFonts w:ascii="Times New Roman" w:hAnsi="Times New Roman"/>
              </w:rPr>
            </w:pPr>
            <w:r w:rsidRPr="00A4073A">
              <w:rPr>
                <w:rFonts w:ascii="Times New Roman" w:hAnsi="Times New Roman"/>
              </w:rPr>
              <w:t>Mystic Valley will c</w:t>
            </w:r>
            <w:r>
              <w:rPr>
                <w:rFonts w:ascii="Times New Roman" w:hAnsi="Times New Roman"/>
              </w:rPr>
              <w:t>ontinue to advertise in foreign-</w:t>
            </w:r>
            <w:r w:rsidRPr="00A4073A">
              <w:rPr>
                <w:rFonts w:ascii="Times New Roman" w:hAnsi="Times New Roman"/>
              </w:rPr>
              <w:t>language newspapers.</w:t>
            </w:r>
          </w:p>
        </w:tc>
      </w:tr>
      <w:tr w:rsidR="00A426C8" w:rsidRPr="00A4073A" w:rsidTr="00A426C8">
        <w:trPr>
          <w:trHeight w:hRule="exact" w:val="1612"/>
        </w:trPr>
        <w:tc>
          <w:tcPr>
            <w:tcW w:w="1603" w:type="dxa"/>
            <w:tcBorders>
              <w:top w:val="single" w:sz="4" w:space="0" w:color="auto"/>
              <w:left w:val="single" w:sz="4" w:space="0" w:color="auto"/>
              <w:bottom w:val="single" w:sz="4" w:space="0" w:color="auto"/>
              <w:right w:val="single" w:sz="4" w:space="0" w:color="auto"/>
            </w:tcBorders>
          </w:tcPr>
          <w:p w:rsidR="00A426C8" w:rsidRDefault="00A426C8" w:rsidP="00A426C8">
            <w:pPr>
              <w:spacing w:before="240" w:beforeAutospacing="1"/>
            </w:pPr>
            <w:r w:rsidRPr="00A4073A">
              <w:rPr>
                <w:b/>
              </w:rPr>
              <w:t>Demographic Group:</w:t>
            </w:r>
            <w:r w:rsidRPr="00A4073A">
              <w:t xml:space="preserve"> </w:t>
            </w:r>
          </w:p>
          <w:p w:rsidR="00A426C8" w:rsidRPr="00A4073A" w:rsidRDefault="00A426C8" w:rsidP="00A426C8">
            <w:pPr>
              <w:spacing w:before="240" w:beforeAutospacing="1"/>
              <w:rPr>
                <w:b/>
              </w:rPr>
            </w:pPr>
            <w:r w:rsidRPr="00A4073A">
              <w:t>C. Students eligible for free lunch</w:t>
            </w:r>
          </w:p>
        </w:tc>
        <w:tc>
          <w:tcPr>
            <w:tcW w:w="2555" w:type="dxa"/>
            <w:tcBorders>
              <w:top w:val="single" w:sz="4" w:space="0" w:color="auto"/>
              <w:left w:val="single" w:sz="4" w:space="0" w:color="auto"/>
              <w:bottom w:val="single" w:sz="4" w:space="0" w:color="auto"/>
              <w:right w:val="single" w:sz="4" w:space="0" w:color="auto"/>
            </w:tcBorders>
          </w:tcPr>
          <w:p w:rsidR="00A426C8" w:rsidRPr="00A4073A" w:rsidRDefault="00A426C8" w:rsidP="00A426C8">
            <w:pPr>
              <w:pStyle w:val="ListParagraph"/>
              <w:spacing w:after="0"/>
              <w:ind w:left="0"/>
              <w:rPr>
                <w:rFonts w:ascii="Times New Roman" w:hAnsi="Times New Roman"/>
              </w:rPr>
            </w:pPr>
            <w:r w:rsidRPr="00A4073A">
              <w:rPr>
                <w:rFonts w:ascii="Times New Roman" w:hAnsi="Times New Roman"/>
              </w:rPr>
              <w:t>Mystic Valley will target special advertising to the social services departments in our lowest income sending districts</w:t>
            </w:r>
            <w:r>
              <w:rPr>
                <w:rFonts w:ascii="Times New Roman" w:hAnsi="Times New Roman"/>
              </w:rPr>
              <w:t>, Malden and</w:t>
            </w:r>
            <w:r w:rsidRPr="00A4073A">
              <w:rPr>
                <w:rFonts w:ascii="Times New Roman" w:hAnsi="Times New Roman"/>
              </w:rPr>
              <w:t xml:space="preserve"> Everett</w:t>
            </w:r>
            <w:r>
              <w:rPr>
                <w:rFonts w:ascii="Times New Roman" w:hAnsi="Times New Roman"/>
              </w:rPr>
              <w:t>.</w:t>
            </w:r>
          </w:p>
        </w:tc>
        <w:tc>
          <w:tcPr>
            <w:tcW w:w="3150" w:type="dxa"/>
            <w:tcBorders>
              <w:top w:val="single" w:sz="4" w:space="0" w:color="auto"/>
              <w:left w:val="single" w:sz="4" w:space="0" w:color="auto"/>
              <w:bottom w:val="single" w:sz="4" w:space="0" w:color="auto"/>
              <w:right w:val="single" w:sz="4" w:space="0" w:color="auto"/>
            </w:tcBorders>
          </w:tcPr>
          <w:p w:rsidR="00A426C8" w:rsidRPr="00A4073A" w:rsidRDefault="00A426C8" w:rsidP="00A426C8">
            <w:pPr>
              <w:pStyle w:val="ListParagraph"/>
              <w:spacing w:after="0"/>
              <w:ind w:left="0"/>
              <w:rPr>
                <w:rFonts w:ascii="Times New Roman" w:hAnsi="Times New Roman"/>
              </w:rPr>
            </w:pPr>
            <w:r>
              <w:rPr>
                <w:rFonts w:ascii="Times New Roman" w:hAnsi="Times New Roman"/>
              </w:rPr>
              <w:t xml:space="preserve">The school delivered informational pamphlets to social services offices in Malden and Everett in </w:t>
            </w:r>
          </w:p>
        </w:tc>
        <w:tc>
          <w:tcPr>
            <w:tcW w:w="2250"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t>Mystic Valley will continue to deliver informational pamphlets to social services offices in Malden and Everett.</w:t>
            </w:r>
          </w:p>
        </w:tc>
      </w:tr>
      <w:tr w:rsidR="00A426C8" w:rsidRPr="00A4073A" w:rsidTr="00A426C8">
        <w:trPr>
          <w:trHeight w:hRule="exact" w:val="1540"/>
        </w:trPr>
        <w:tc>
          <w:tcPr>
            <w:tcW w:w="1603" w:type="dxa"/>
            <w:tcBorders>
              <w:top w:val="single" w:sz="4" w:space="0" w:color="auto"/>
              <w:left w:val="single" w:sz="4" w:space="0" w:color="auto"/>
              <w:bottom w:val="single" w:sz="4" w:space="0" w:color="auto"/>
              <w:right w:val="single" w:sz="4" w:space="0" w:color="auto"/>
            </w:tcBorders>
          </w:tcPr>
          <w:p w:rsidR="00A426C8" w:rsidRDefault="00A426C8" w:rsidP="00A426C8">
            <w:r w:rsidRPr="00A4073A">
              <w:rPr>
                <w:b/>
              </w:rPr>
              <w:t>Demographic Group:</w:t>
            </w:r>
            <w:r w:rsidRPr="00A4073A">
              <w:t xml:space="preserve"> </w:t>
            </w:r>
          </w:p>
          <w:p w:rsidR="00A426C8" w:rsidRPr="00A4073A" w:rsidRDefault="00A426C8" w:rsidP="00A426C8">
            <w:pPr>
              <w:rPr>
                <w:b/>
              </w:rPr>
            </w:pPr>
            <w:r w:rsidRPr="00A4073A">
              <w:t>D. Students eligible for reduced price lunch</w:t>
            </w:r>
          </w:p>
        </w:tc>
        <w:tc>
          <w:tcPr>
            <w:tcW w:w="2555"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rsidRPr="00A4073A">
              <w:t>Mystic Valley will target special advertising to the social services departments in our lowest income sending districts</w:t>
            </w:r>
            <w:r>
              <w:t>, Malden and</w:t>
            </w:r>
            <w:r w:rsidRPr="00A4073A">
              <w:t xml:space="preserve"> Everett</w:t>
            </w:r>
            <w:r>
              <w:t>.</w:t>
            </w:r>
          </w:p>
        </w:tc>
        <w:tc>
          <w:tcPr>
            <w:tcW w:w="3150"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t>The school delivered informational pamphlets to social services offices in Malden and Everett in</w:t>
            </w:r>
          </w:p>
        </w:tc>
        <w:tc>
          <w:tcPr>
            <w:tcW w:w="2250"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t>Mystic Valley will continue to deliver informational pamphlets to social services offices in Malden and Everett.</w:t>
            </w:r>
          </w:p>
        </w:tc>
      </w:tr>
      <w:tr w:rsidR="00A426C8" w:rsidRPr="00A4073A" w:rsidTr="00A426C8">
        <w:trPr>
          <w:trHeight w:hRule="exact" w:val="1612"/>
        </w:trPr>
        <w:tc>
          <w:tcPr>
            <w:tcW w:w="1603" w:type="dxa"/>
            <w:tcBorders>
              <w:top w:val="single" w:sz="4" w:space="0" w:color="auto"/>
              <w:left w:val="single" w:sz="4" w:space="0" w:color="auto"/>
              <w:bottom w:val="single" w:sz="4" w:space="0" w:color="auto"/>
              <w:right w:val="single" w:sz="4" w:space="0" w:color="auto"/>
            </w:tcBorders>
          </w:tcPr>
          <w:p w:rsidR="00A426C8" w:rsidRDefault="00A426C8" w:rsidP="00A426C8">
            <w:pPr>
              <w:spacing w:before="100" w:beforeAutospacing="1"/>
            </w:pPr>
            <w:r w:rsidRPr="00A4073A">
              <w:rPr>
                <w:b/>
              </w:rPr>
              <w:t>Demographic Group:</w:t>
            </w:r>
            <w:r w:rsidRPr="00A4073A">
              <w:t xml:space="preserve"> </w:t>
            </w:r>
          </w:p>
          <w:p w:rsidR="00A426C8" w:rsidRPr="00A4073A" w:rsidRDefault="00A426C8" w:rsidP="00A426C8">
            <w:pPr>
              <w:spacing w:before="100" w:beforeAutospacing="1"/>
              <w:rPr>
                <w:b/>
              </w:rPr>
            </w:pPr>
            <w:r w:rsidRPr="00A4073A">
              <w:t>E. Students who are sub-proficient</w:t>
            </w:r>
          </w:p>
        </w:tc>
        <w:tc>
          <w:tcPr>
            <w:tcW w:w="2555"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rsidRPr="00A4073A">
              <w:t>Mystic Valley takes students at the kindergarten level through a lottery and</w:t>
            </w:r>
            <w:r>
              <w:t>,</w:t>
            </w:r>
            <w:r w:rsidRPr="00A4073A">
              <w:t xml:space="preserve"> therefore</w:t>
            </w:r>
            <w:r>
              <w:t>,</w:t>
            </w:r>
            <w:r w:rsidRPr="00A4073A">
              <w:t xml:space="preserve"> does not have any means to identify students as sub proficient</w:t>
            </w:r>
            <w:r>
              <w:t xml:space="preserve">. </w:t>
            </w:r>
          </w:p>
        </w:tc>
        <w:tc>
          <w:tcPr>
            <w:tcW w:w="3150"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t>The school currently attracts over 30% of the eligible kindergarten applicants from Malden and Everett.</w:t>
            </w:r>
          </w:p>
        </w:tc>
        <w:tc>
          <w:tcPr>
            <w:tcW w:w="2250"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t>Mystic Valley will continue to monitor the percentage of eligible applicants from Malden and Everett.</w:t>
            </w:r>
          </w:p>
        </w:tc>
      </w:tr>
      <w:tr w:rsidR="00A426C8" w:rsidRPr="00A4073A" w:rsidTr="00A426C8">
        <w:trPr>
          <w:trHeight w:hRule="exact" w:val="1729"/>
        </w:trPr>
        <w:tc>
          <w:tcPr>
            <w:tcW w:w="1603" w:type="dxa"/>
            <w:tcBorders>
              <w:top w:val="single" w:sz="4" w:space="0" w:color="auto"/>
              <w:left w:val="single" w:sz="4" w:space="0" w:color="auto"/>
              <w:bottom w:val="single" w:sz="4" w:space="0" w:color="auto"/>
              <w:right w:val="single" w:sz="4" w:space="0" w:color="auto"/>
            </w:tcBorders>
          </w:tcPr>
          <w:p w:rsidR="00A426C8" w:rsidRDefault="00A426C8" w:rsidP="00A426C8">
            <w:r w:rsidRPr="00A4073A">
              <w:rPr>
                <w:b/>
              </w:rPr>
              <w:t>Demographic Group:</w:t>
            </w:r>
            <w:r w:rsidRPr="00A4073A">
              <w:t xml:space="preserve"> </w:t>
            </w:r>
          </w:p>
          <w:p w:rsidR="00A426C8" w:rsidRPr="00A4073A" w:rsidRDefault="00A426C8" w:rsidP="00A426C8">
            <w:pPr>
              <w:rPr>
                <w:b/>
              </w:rPr>
            </w:pPr>
            <w:r w:rsidRPr="00A4073A">
              <w:t>F. Students at risk of dropping out of school</w:t>
            </w:r>
          </w:p>
        </w:tc>
        <w:tc>
          <w:tcPr>
            <w:tcW w:w="2555"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t>Not applicable, as Mystic Valley does not accept applicants after grade five.</w:t>
            </w:r>
          </w:p>
        </w:tc>
        <w:tc>
          <w:tcPr>
            <w:tcW w:w="3150"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t>N/A</w:t>
            </w:r>
          </w:p>
        </w:tc>
        <w:tc>
          <w:tcPr>
            <w:tcW w:w="2250"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t>No changes.</w:t>
            </w:r>
          </w:p>
        </w:tc>
      </w:tr>
      <w:tr w:rsidR="00A426C8" w:rsidRPr="00A4073A" w:rsidTr="00A426C8">
        <w:trPr>
          <w:trHeight w:hRule="exact" w:val="1900"/>
        </w:trPr>
        <w:tc>
          <w:tcPr>
            <w:tcW w:w="1603" w:type="dxa"/>
            <w:tcBorders>
              <w:top w:val="single" w:sz="4" w:space="0" w:color="auto"/>
              <w:left w:val="single" w:sz="4" w:space="0" w:color="auto"/>
              <w:bottom w:val="single" w:sz="4" w:space="0" w:color="auto"/>
              <w:right w:val="single" w:sz="4" w:space="0" w:color="auto"/>
            </w:tcBorders>
          </w:tcPr>
          <w:p w:rsidR="00A426C8" w:rsidRDefault="00A426C8" w:rsidP="00A426C8">
            <w:pPr>
              <w:spacing w:before="100" w:beforeAutospacing="1"/>
            </w:pPr>
            <w:r w:rsidRPr="00A4073A">
              <w:rPr>
                <w:b/>
              </w:rPr>
              <w:t>Demographic Group:</w:t>
            </w:r>
            <w:r w:rsidRPr="00A4073A">
              <w:t xml:space="preserve"> </w:t>
            </w:r>
          </w:p>
          <w:p w:rsidR="00A426C8" w:rsidRPr="00A4073A" w:rsidRDefault="00A426C8" w:rsidP="00A426C8">
            <w:pPr>
              <w:spacing w:before="100" w:beforeAutospacing="1"/>
              <w:rPr>
                <w:b/>
              </w:rPr>
            </w:pPr>
            <w:r w:rsidRPr="00A4073A">
              <w:t>G. Students who have dropped out of school</w:t>
            </w:r>
          </w:p>
        </w:tc>
        <w:tc>
          <w:tcPr>
            <w:tcW w:w="2555"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t>Not applicable, as Mystic Valley does not accept applicants after grade five.</w:t>
            </w:r>
          </w:p>
        </w:tc>
        <w:tc>
          <w:tcPr>
            <w:tcW w:w="3150"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t>N/A</w:t>
            </w:r>
          </w:p>
        </w:tc>
        <w:tc>
          <w:tcPr>
            <w:tcW w:w="2250"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t>No changes.</w:t>
            </w:r>
          </w:p>
        </w:tc>
      </w:tr>
      <w:tr w:rsidR="00A426C8" w:rsidRPr="00A4073A" w:rsidTr="00A426C8">
        <w:trPr>
          <w:trHeight w:hRule="exact" w:val="2548"/>
        </w:trPr>
        <w:tc>
          <w:tcPr>
            <w:tcW w:w="1603" w:type="dxa"/>
            <w:tcBorders>
              <w:top w:val="single" w:sz="4" w:space="0" w:color="auto"/>
              <w:left w:val="single" w:sz="4" w:space="0" w:color="auto"/>
              <w:bottom w:val="single" w:sz="4" w:space="0" w:color="auto"/>
              <w:right w:val="single" w:sz="4" w:space="0" w:color="auto"/>
            </w:tcBorders>
          </w:tcPr>
          <w:p w:rsidR="00A426C8" w:rsidRDefault="00A426C8" w:rsidP="00A426C8">
            <w:r w:rsidRPr="00A4073A">
              <w:rPr>
                <w:b/>
              </w:rPr>
              <w:lastRenderedPageBreak/>
              <w:t>Demographic Group(s):</w:t>
            </w:r>
            <w:r w:rsidRPr="00A4073A">
              <w:t xml:space="preserve"> </w:t>
            </w:r>
          </w:p>
          <w:p w:rsidR="00A426C8" w:rsidRPr="00A4073A" w:rsidRDefault="00A426C8" w:rsidP="00A426C8">
            <w:pPr>
              <w:rPr>
                <w:b/>
              </w:rPr>
            </w:pPr>
            <w:r w:rsidRPr="00A4073A">
              <w:t>H. Other subgroups of students who should be targeted to eliminate the achievement gap</w:t>
            </w:r>
            <w:r>
              <w:t>.</w:t>
            </w:r>
          </w:p>
        </w:tc>
        <w:tc>
          <w:tcPr>
            <w:tcW w:w="2555"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t>See Group E.</w:t>
            </w:r>
          </w:p>
        </w:tc>
        <w:tc>
          <w:tcPr>
            <w:tcW w:w="3150"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t>See Group E.</w:t>
            </w:r>
          </w:p>
        </w:tc>
        <w:tc>
          <w:tcPr>
            <w:tcW w:w="2250" w:type="dxa"/>
            <w:tcBorders>
              <w:top w:val="single" w:sz="4" w:space="0" w:color="auto"/>
              <w:left w:val="single" w:sz="4" w:space="0" w:color="auto"/>
              <w:bottom w:val="single" w:sz="4" w:space="0" w:color="auto"/>
              <w:right w:val="single" w:sz="4" w:space="0" w:color="auto"/>
            </w:tcBorders>
          </w:tcPr>
          <w:p w:rsidR="00A426C8" w:rsidRPr="00A4073A" w:rsidRDefault="00A426C8" w:rsidP="00A426C8">
            <w:r>
              <w:t>See Group E.</w:t>
            </w:r>
          </w:p>
        </w:tc>
      </w:tr>
    </w:tbl>
    <w:p w:rsidR="0013288C" w:rsidRDefault="0013288C" w:rsidP="0013288C">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735"/>
        <w:gridCol w:w="965"/>
        <w:gridCol w:w="3779"/>
        <w:gridCol w:w="1639"/>
      </w:tblGrid>
      <w:tr w:rsidR="00A426C8" w:rsidRPr="00A4073A" w:rsidTr="00A426C8">
        <w:trPr>
          <w:jc w:val="center"/>
        </w:trPr>
        <w:tc>
          <w:tcPr>
            <w:tcW w:w="5000" w:type="pct"/>
            <w:gridSpan w:val="5"/>
            <w:shd w:val="clear" w:color="auto" w:fill="E6E6E6"/>
            <w:vAlign w:val="center"/>
          </w:tcPr>
          <w:p w:rsidR="00A426C8" w:rsidRPr="00A4073A" w:rsidRDefault="00A426C8" w:rsidP="00A426C8">
            <w:pPr>
              <w:pStyle w:val="SOS1"/>
              <w:spacing w:before="80" w:after="0"/>
              <w:rPr>
                <w:rFonts w:ascii="Times New Roman" w:hAnsi="Times New Roman"/>
                <w:color w:val="auto"/>
                <w:sz w:val="22"/>
                <w:szCs w:val="22"/>
              </w:rPr>
            </w:pPr>
            <w:bookmarkStart w:id="4" w:name="_Toc331511968"/>
            <w:r w:rsidRPr="00A4073A">
              <w:rPr>
                <w:rFonts w:ascii="Times New Roman" w:hAnsi="Times New Roman"/>
                <w:color w:val="auto"/>
                <w:sz w:val="22"/>
                <w:szCs w:val="22"/>
              </w:rPr>
              <w:t>Student Retention Goal</w:t>
            </w:r>
            <w:bookmarkEnd w:id="4"/>
          </w:p>
        </w:tc>
      </w:tr>
      <w:tr w:rsidR="00A426C8" w:rsidRPr="00A4073A" w:rsidTr="00A426C8">
        <w:trPr>
          <w:jc w:val="center"/>
        </w:trPr>
        <w:tc>
          <w:tcPr>
            <w:tcW w:w="1667" w:type="pct"/>
            <w:gridSpan w:val="2"/>
            <w:shd w:val="clear" w:color="auto" w:fill="E6E6E6"/>
            <w:vAlign w:val="center"/>
          </w:tcPr>
          <w:p w:rsidR="00A426C8" w:rsidRPr="00A4073A" w:rsidRDefault="00A426C8" w:rsidP="00A426C8">
            <w:pPr>
              <w:pStyle w:val="SOS1"/>
              <w:spacing w:before="80" w:after="0"/>
              <w:rPr>
                <w:rFonts w:ascii="Times New Roman" w:hAnsi="Times New Roman"/>
                <w:color w:val="auto"/>
                <w:sz w:val="22"/>
                <w:szCs w:val="22"/>
              </w:rPr>
            </w:pPr>
            <w:bookmarkStart w:id="5" w:name="_Toc331511969"/>
            <w:r w:rsidRPr="00A4073A">
              <w:rPr>
                <w:rFonts w:ascii="Times New Roman" w:hAnsi="Times New Roman"/>
                <w:color w:val="auto"/>
                <w:sz w:val="22"/>
                <w:szCs w:val="22"/>
              </w:rPr>
              <w:t>Goal for studen</w:t>
            </w:r>
            <w:r>
              <w:rPr>
                <w:rFonts w:ascii="Times New Roman" w:hAnsi="Times New Roman"/>
                <w:color w:val="auto"/>
                <w:sz w:val="22"/>
                <w:szCs w:val="22"/>
              </w:rPr>
              <w:t>t retention (during SY2011-12): 85%</w:t>
            </w:r>
            <w:bookmarkEnd w:id="5"/>
          </w:p>
        </w:tc>
        <w:tc>
          <w:tcPr>
            <w:tcW w:w="3333" w:type="pct"/>
            <w:gridSpan w:val="3"/>
            <w:shd w:val="clear" w:color="auto" w:fill="E6E6E6"/>
            <w:vAlign w:val="center"/>
          </w:tcPr>
          <w:p w:rsidR="00A426C8" w:rsidRPr="00A4073A" w:rsidRDefault="00A426C8" w:rsidP="00A426C8">
            <w:pPr>
              <w:pStyle w:val="SOS1"/>
              <w:spacing w:before="80" w:after="0"/>
              <w:rPr>
                <w:rFonts w:ascii="Times New Roman" w:hAnsi="Times New Roman"/>
                <w:color w:val="auto"/>
                <w:sz w:val="22"/>
                <w:szCs w:val="22"/>
              </w:rPr>
            </w:pPr>
            <w:bookmarkStart w:id="6" w:name="_Toc331511970"/>
            <w:r w:rsidRPr="00A4073A">
              <w:rPr>
                <w:rFonts w:ascii="Times New Roman" w:hAnsi="Times New Roman"/>
                <w:color w:val="auto"/>
                <w:sz w:val="22"/>
                <w:szCs w:val="22"/>
              </w:rPr>
              <w:t>Ac</w:t>
            </w:r>
            <w:r>
              <w:rPr>
                <w:rFonts w:ascii="Times New Roman" w:hAnsi="Times New Roman"/>
                <w:color w:val="auto"/>
                <w:sz w:val="22"/>
                <w:szCs w:val="22"/>
              </w:rPr>
              <w:t>tual student retention SY2011-12: 97%</w:t>
            </w:r>
            <w:bookmarkEnd w:id="6"/>
          </w:p>
        </w:tc>
      </w:tr>
      <w:tr w:rsidR="00A426C8" w:rsidRPr="00A4073A" w:rsidTr="00A426C8">
        <w:trPr>
          <w:trHeight w:val="395"/>
          <w:jc w:val="center"/>
        </w:trPr>
        <w:tc>
          <w:tcPr>
            <w:tcW w:w="761" w:type="pct"/>
            <w:shd w:val="clear" w:color="auto" w:fill="E6E6E6"/>
            <w:vAlign w:val="center"/>
          </w:tcPr>
          <w:p w:rsidR="00A426C8" w:rsidRPr="00A4073A" w:rsidRDefault="00A426C8" w:rsidP="00A426C8">
            <w:pPr>
              <w:jc w:val="center"/>
              <w:rPr>
                <w:b/>
              </w:rPr>
            </w:pPr>
            <w:r w:rsidRPr="00A4073A">
              <w:rPr>
                <w:b/>
              </w:rPr>
              <w:t>Group</w:t>
            </w:r>
          </w:p>
        </w:tc>
        <w:tc>
          <w:tcPr>
            <w:tcW w:w="1410" w:type="pct"/>
            <w:gridSpan w:val="2"/>
            <w:shd w:val="clear" w:color="auto" w:fill="E6E6E6"/>
            <w:vAlign w:val="center"/>
          </w:tcPr>
          <w:p w:rsidR="00A426C8" w:rsidRPr="00A4073A" w:rsidRDefault="00A426C8" w:rsidP="00A426C8">
            <w:pPr>
              <w:jc w:val="center"/>
              <w:rPr>
                <w:b/>
              </w:rPr>
            </w:pPr>
            <w:r w:rsidRPr="00A4073A">
              <w:rPr>
                <w:b/>
              </w:rPr>
              <w:t>Goal/Strategy</w:t>
            </w:r>
          </w:p>
        </w:tc>
        <w:tc>
          <w:tcPr>
            <w:tcW w:w="1973" w:type="pct"/>
            <w:shd w:val="clear" w:color="auto" w:fill="E6E6E6"/>
            <w:vAlign w:val="center"/>
          </w:tcPr>
          <w:p w:rsidR="00A426C8" w:rsidRPr="00A4073A" w:rsidRDefault="00A426C8" w:rsidP="00A426C8">
            <w:pPr>
              <w:jc w:val="center"/>
              <w:rPr>
                <w:b/>
              </w:rPr>
            </w:pPr>
            <w:r w:rsidRPr="00A4073A">
              <w:rPr>
                <w:b/>
              </w:rPr>
              <w:t>Strategy Implementation</w:t>
            </w:r>
          </w:p>
          <w:p w:rsidR="00A426C8" w:rsidRPr="00A4073A" w:rsidRDefault="00A426C8" w:rsidP="00A426C8">
            <w:pPr>
              <w:jc w:val="center"/>
              <w:rPr>
                <w:b/>
              </w:rPr>
            </w:pPr>
            <w:r w:rsidRPr="00A4073A">
              <w:t xml:space="preserve">Provide evidence that each strategy was implemented as described in the 2011-12 </w:t>
            </w:r>
            <w:proofErr w:type="gramStart"/>
            <w:r w:rsidRPr="00A4073A">
              <w:t>plan</w:t>
            </w:r>
            <w:proofErr w:type="gramEnd"/>
            <w:r w:rsidRPr="00A4073A">
              <w:t>.</w:t>
            </w:r>
          </w:p>
        </w:tc>
        <w:tc>
          <w:tcPr>
            <w:tcW w:w="856" w:type="pct"/>
            <w:shd w:val="clear" w:color="auto" w:fill="E6E6E6"/>
            <w:vAlign w:val="center"/>
          </w:tcPr>
          <w:p w:rsidR="00A426C8" w:rsidRPr="00A4073A" w:rsidRDefault="00A426C8" w:rsidP="00A426C8">
            <w:pPr>
              <w:jc w:val="center"/>
              <w:rPr>
                <w:b/>
              </w:rPr>
            </w:pPr>
            <w:r w:rsidRPr="00A4073A">
              <w:rPr>
                <w:b/>
              </w:rPr>
              <w:t>Proposed strategy changes (if applicable) for SY12-13</w:t>
            </w:r>
          </w:p>
        </w:tc>
      </w:tr>
      <w:tr w:rsidR="00A426C8" w:rsidRPr="00A4073A" w:rsidTr="00A426C8">
        <w:trPr>
          <w:trHeight w:val="1097"/>
          <w:jc w:val="center"/>
        </w:trPr>
        <w:tc>
          <w:tcPr>
            <w:tcW w:w="761" w:type="pct"/>
          </w:tcPr>
          <w:p w:rsidR="00A426C8" w:rsidRPr="00A4073A" w:rsidRDefault="00A426C8" w:rsidP="00A426C8">
            <w:r w:rsidRPr="00A4073A">
              <w:t>A. Special Education</w:t>
            </w:r>
          </w:p>
        </w:tc>
        <w:tc>
          <w:tcPr>
            <w:tcW w:w="1410" w:type="pct"/>
            <w:gridSpan w:val="2"/>
          </w:tcPr>
          <w:p w:rsidR="00A426C8" w:rsidRPr="00A4073A" w:rsidRDefault="00A426C8" w:rsidP="00A426C8">
            <w:r w:rsidRPr="00A4073A">
              <w:t xml:space="preserve">Mystic Valley </w:t>
            </w:r>
            <w:r>
              <w:t>identifies, through a variety of methods, students with diverse learning needs. In addition, the school will use Direct Instruction strategies to improve students’ reading and oral fluency.</w:t>
            </w:r>
          </w:p>
        </w:tc>
        <w:tc>
          <w:tcPr>
            <w:tcW w:w="1973" w:type="pct"/>
          </w:tcPr>
          <w:p w:rsidR="00A426C8" w:rsidRDefault="00A426C8" w:rsidP="00A426C8">
            <w:r>
              <w:t>Diverse learners are accommodated through close teacher interaction and continual collaboration with the school’s extensive Special Education Dept. as well as with a number of external consultants.</w:t>
            </w:r>
          </w:p>
          <w:p w:rsidR="00A426C8" w:rsidRPr="00A4073A" w:rsidRDefault="00A426C8" w:rsidP="00A426C8">
            <w:r>
              <w:t>Test records indicate that the use of Direct Instruction is effective.</w:t>
            </w:r>
          </w:p>
        </w:tc>
        <w:tc>
          <w:tcPr>
            <w:tcW w:w="856" w:type="pct"/>
          </w:tcPr>
          <w:p w:rsidR="00A426C8" w:rsidRPr="00A4073A" w:rsidRDefault="00A426C8" w:rsidP="00A426C8">
            <w:r>
              <w:t>No change needed.</w:t>
            </w:r>
          </w:p>
        </w:tc>
      </w:tr>
      <w:tr w:rsidR="00A426C8" w:rsidRPr="00A4073A" w:rsidTr="00A426C8">
        <w:trPr>
          <w:jc w:val="center"/>
        </w:trPr>
        <w:tc>
          <w:tcPr>
            <w:tcW w:w="761" w:type="pct"/>
          </w:tcPr>
          <w:p w:rsidR="00A426C8" w:rsidRPr="00A4073A" w:rsidRDefault="00A426C8" w:rsidP="00A426C8">
            <w:r w:rsidRPr="00A4073A">
              <w:t>B. Limited English-proficient students</w:t>
            </w:r>
          </w:p>
        </w:tc>
        <w:tc>
          <w:tcPr>
            <w:tcW w:w="1410" w:type="pct"/>
            <w:gridSpan w:val="2"/>
          </w:tcPr>
          <w:p w:rsidR="00A426C8" w:rsidRPr="00A4073A" w:rsidRDefault="00A426C8" w:rsidP="00A426C8">
            <w:r>
              <w:t>The school will provide training on limited English-proficient students’ needs at regular professional development meetings.</w:t>
            </w:r>
          </w:p>
        </w:tc>
        <w:tc>
          <w:tcPr>
            <w:tcW w:w="1973" w:type="pct"/>
          </w:tcPr>
          <w:p w:rsidR="00A426C8" w:rsidRPr="00A4073A" w:rsidRDefault="00A426C8" w:rsidP="00A426C8">
            <w:r w:rsidRPr="00A4073A">
              <w:t xml:space="preserve">The Direct Instruction method of teaching reading is used in every classroom in Mystic Valley’s lower school. It has proven to be a very effective means of teaching students </w:t>
            </w:r>
            <w:r>
              <w:t>with limited English-proficiency.</w:t>
            </w:r>
          </w:p>
        </w:tc>
        <w:tc>
          <w:tcPr>
            <w:tcW w:w="856" w:type="pct"/>
          </w:tcPr>
          <w:p w:rsidR="00A426C8" w:rsidRPr="00A4073A" w:rsidRDefault="00A426C8" w:rsidP="00A426C8">
            <w:r w:rsidRPr="00A4073A">
              <w:t>No change needed</w:t>
            </w:r>
            <w:r>
              <w:t>.</w:t>
            </w:r>
          </w:p>
        </w:tc>
      </w:tr>
      <w:tr w:rsidR="00A426C8" w:rsidRPr="00A4073A" w:rsidTr="00A426C8">
        <w:trPr>
          <w:trHeight w:val="1025"/>
          <w:jc w:val="center"/>
        </w:trPr>
        <w:tc>
          <w:tcPr>
            <w:tcW w:w="761" w:type="pct"/>
          </w:tcPr>
          <w:p w:rsidR="00A426C8" w:rsidRPr="00A4073A" w:rsidRDefault="00A426C8" w:rsidP="00A426C8">
            <w:r w:rsidRPr="00A4073A">
              <w:t>C &amp;D. Students eligible for free or reduced lunch</w:t>
            </w:r>
          </w:p>
        </w:tc>
        <w:tc>
          <w:tcPr>
            <w:tcW w:w="1410" w:type="pct"/>
            <w:gridSpan w:val="2"/>
          </w:tcPr>
          <w:p w:rsidR="00A426C8" w:rsidRPr="00A4073A" w:rsidRDefault="00A426C8" w:rsidP="00A426C8">
            <w:r w:rsidRPr="00A4073A">
              <w:t xml:space="preserve">Mystic Valley </w:t>
            </w:r>
            <w:r>
              <w:t xml:space="preserve">identifies, through a variety of methods, students with diverse learning needs. The needs of students eligible for free or reduced lunch would be addressed through academic criteria, similar to Special Education strategies that are in place. </w:t>
            </w:r>
          </w:p>
        </w:tc>
        <w:tc>
          <w:tcPr>
            <w:tcW w:w="1973" w:type="pct"/>
          </w:tcPr>
          <w:p w:rsidR="00A426C8" w:rsidRPr="00A4073A" w:rsidRDefault="00A426C8" w:rsidP="00A426C8">
            <w:r w:rsidRPr="00A4073A">
              <w:t>The Direct Instruction method of teaching reading is used in every classroom in Mystic Valley’s lower school. It has proven to be a very effective means of teaching students of every background</w:t>
            </w:r>
          </w:p>
        </w:tc>
        <w:tc>
          <w:tcPr>
            <w:tcW w:w="856" w:type="pct"/>
          </w:tcPr>
          <w:p w:rsidR="00A426C8" w:rsidRPr="00A4073A" w:rsidRDefault="00A426C8" w:rsidP="00A426C8">
            <w:r w:rsidRPr="00A4073A">
              <w:t>No change needed</w:t>
            </w:r>
            <w:r>
              <w:t>.</w:t>
            </w:r>
          </w:p>
        </w:tc>
      </w:tr>
      <w:tr w:rsidR="00A426C8" w:rsidRPr="00A4073A" w:rsidTr="00A426C8">
        <w:trPr>
          <w:trHeight w:val="1070"/>
          <w:jc w:val="center"/>
        </w:trPr>
        <w:tc>
          <w:tcPr>
            <w:tcW w:w="761" w:type="pct"/>
          </w:tcPr>
          <w:p w:rsidR="00A426C8" w:rsidRPr="00A4073A" w:rsidRDefault="00A426C8" w:rsidP="00A426C8">
            <w:r w:rsidRPr="00A4073A">
              <w:lastRenderedPageBreak/>
              <w:t>E. Students who are sub-proficient</w:t>
            </w:r>
          </w:p>
        </w:tc>
        <w:tc>
          <w:tcPr>
            <w:tcW w:w="1410" w:type="pct"/>
            <w:gridSpan w:val="2"/>
          </w:tcPr>
          <w:p w:rsidR="00A426C8" w:rsidRPr="00A4073A" w:rsidRDefault="00A426C8" w:rsidP="00A426C8">
            <w:r w:rsidRPr="00A4073A">
              <w:t>Mystic Valley will implement DI programs specifically designed to help students from disadvantaged and limited English backgrounds as well as those with special needs.</w:t>
            </w:r>
          </w:p>
        </w:tc>
        <w:tc>
          <w:tcPr>
            <w:tcW w:w="1973" w:type="pct"/>
          </w:tcPr>
          <w:p w:rsidR="00A426C8" w:rsidRPr="00A4073A" w:rsidRDefault="00A426C8" w:rsidP="00A426C8">
            <w:r w:rsidRPr="00A4073A">
              <w:t>The Direct Instruction method of teaching reading is used in every classroom in Mystic Valley’s lower school. It has proven to be a very effective means of teaching students of every background</w:t>
            </w:r>
          </w:p>
        </w:tc>
        <w:tc>
          <w:tcPr>
            <w:tcW w:w="856" w:type="pct"/>
          </w:tcPr>
          <w:p w:rsidR="00A426C8" w:rsidRPr="00A4073A" w:rsidRDefault="00A426C8" w:rsidP="00A426C8">
            <w:r w:rsidRPr="00A4073A">
              <w:t>No change needed</w:t>
            </w:r>
            <w:r>
              <w:t>.</w:t>
            </w:r>
          </w:p>
        </w:tc>
      </w:tr>
      <w:tr w:rsidR="00A426C8" w:rsidRPr="00A4073A" w:rsidTr="00A426C8">
        <w:trPr>
          <w:trHeight w:val="530"/>
          <w:jc w:val="center"/>
        </w:trPr>
        <w:tc>
          <w:tcPr>
            <w:tcW w:w="761" w:type="pct"/>
          </w:tcPr>
          <w:p w:rsidR="00A426C8" w:rsidRPr="00A4073A" w:rsidRDefault="00A426C8" w:rsidP="00A426C8">
            <w:r w:rsidRPr="00A4073A">
              <w:t>F. Students at risk of dropping out</w:t>
            </w:r>
          </w:p>
        </w:tc>
        <w:tc>
          <w:tcPr>
            <w:tcW w:w="1410" w:type="pct"/>
            <w:gridSpan w:val="2"/>
          </w:tcPr>
          <w:p w:rsidR="00A426C8" w:rsidRDefault="00A426C8" w:rsidP="00A426C8">
            <w:r>
              <w:t>The school will maintain frequent contact with students at risk and their families/guardians.</w:t>
            </w:r>
          </w:p>
          <w:p w:rsidR="00A426C8" w:rsidRPr="00A4073A" w:rsidRDefault="00A426C8" w:rsidP="00A426C8">
            <w:r>
              <w:t>Mystic Valley will issue Academic Achievement Plans for all students who score below 80% in any academic subject area.</w:t>
            </w:r>
          </w:p>
        </w:tc>
        <w:tc>
          <w:tcPr>
            <w:tcW w:w="1973" w:type="pct"/>
          </w:tcPr>
          <w:p w:rsidR="00A426C8" w:rsidRDefault="00A426C8" w:rsidP="00A426C8">
            <w:r>
              <w:t>Individual meetings with students.</w:t>
            </w:r>
          </w:p>
          <w:p w:rsidR="00A426C8" w:rsidRDefault="00A426C8" w:rsidP="00A426C8">
            <w:r>
              <w:t>Group meetings with students, parents, and staff.</w:t>
            </w:r>
          </w:p>
          <w:p w:rsidR="00A426C8" w:rsidRDefault="00A426C8" w:rsidP="00A426C8">
            <w:r>
              <w:t>Tutoring.</w:t>
            </w:r>
          </w:p>
          <w:p w:rsidR="00A426C8" w:rsidRDefault="00A426C8" w:rsidP="00A426C8">
            <w:r>
              <w:t>After-school help.</w:t>
            </w:r>
          </w:p>
          <w:p w:rsidR="00A426C8" w:rsidRDefault="00A426C8" w:rsidP="00A426C8">
            <w:r>
              <w:t>Before-school help.</w:t>
            </w:r>
          </w:p>
          <w:p w:rsidR="00A426C8" w:rsidRDefault="00A426C8" w:rsidP="00A426C8">
            <w:r>
              <w:t>A variety of other academic support methods as needed.</w:t>
            </w:r>
          </w:p>
          <w:p w:rsidR="00A426C8" w:rsidRPr="00A4073A" w:rsidRDefault="00A426C8" w:rsidP="00A426C8"/>
        </w:tc>
        <w:tc>
          <w:tcPr>
            <w:tcW w:w="856" w:type="pct"/>
          </w:tcPr>
          <w:p w:rsidR="00A426C8" w:rsidRPr="00A4073A" w:rsidRDefault="00A426C8" w:rsidP="00A426C8">
            <w:r>
              <w:t>No change needed.</w:t>
            </w:r>
          </w:p>
        </w:tc>
      </w:tr>
      <w:tr w:rsidR="00A426C8" w:rsidRPr="00A4073A" w:rsidTr="00A426C8">
        <w:trPr>
          <w:jc w:val="center"/>
        </w:trPr>
        <w:tc>
          <w:tcPr>
            <w:tcW w:w="761" w:type="pct"/>
          </w:tcPr>
          <w:p w:rsidR="00A426C8" w:rsidRPr="00A4073A" w:rsidRDefault="00A426C8" w:rsidP="00A426C8">
            <w:r w:rsidRPr="00A4073A">
              <w:t>G. Students who have dropped out of school</w:t>
            </w:r>
          </w:p>
        </w:tc>
        <w:tc>
          <w:tcPr>
            <w:tcW w:w="1410" w:type="pct"/>
            <w:gridSpan w:val="2"/>
          </w:tcPr>
          <w:p w:rsidR="00A426C8" w:rsidRPr="00A4073A" w:rsidRDefault="00A426C8" w:rsidP="00A426C8">
            <w:r>
              <w:t>Mystic Valley will develop a plan, in collaboration with students and parents, to assist the student in earning his/her GED.</w:t>
            </w:r>
          </w:p>
        </w:tc>
        <w:tc>
          <w:tcPr>
            <w:tcW w:w="1973" w:type="pct"/>
          </w:tcPr>
          <w:p w:rsidR="00A426C8" w:rsidRDefault="00A426C8" w:rsidP="00A426C8">
            <w:r>
              <w:t>Mystic Valley worked with the one student and his parents to formulate a plan in helping him earn his GED.</w:t>
            </w:r>
          </w:p>
          <w:p w:rsidR="00A426C8" w:rsidRPr="00A4073A" w:rsidRDefault="00A426C8" w:rsidP="00A426C8">
            <w:r>
              <w:t>Mystic Valley communicated with the student and his parents frequently after he dropped out to ensure he followed the plan.</w:t>
            </w:r>
          </w:p>
        </w:tc>
        <w:tc>
          <w:tcPr>
            <w:tcW w:w="856" w:type="pct"/>
          </w:tcPr>
          <w:p w:rsidR="00A426C8" w:rsidRPr="00A4073A" w:rsidRDefault="00A426C8" w:rsidP="00A426C8">
            <w:r>
              <w:t>Develop a strategy to better support parents at the beginning of this process.</w:t>
            </w:r>
          </w:p>
        </w:tc>
      </w:tr>
      <w:tr w:rsidR="00A426C8" w:rsidRPr="00A4073A" w:rsidTr="00A426C8">
        <w:trPr>
          <w:trHeight w:val="962"/>
          <w:jc w:val="center"/>
        </w:trPr>
        <w:tc>
          <w:tcPr>
            <w:tcW w:w="761" w:type="pct"/>
          </w:tcPr>
          <w:p w:rsidR="00A426C8" w:rsidRPr="00A4073A" w:rsidRDefault="00A426C8" w:rsidP="00A426C8">
            <w:r w:rsidRPr="00A4073A">
              <w:t>H. Other subgroups of students who should be targeted to eliminate the achievement gap</w:t>
            </w:r>
          </w:p>
        </w:tc>
        <w:tc>
          <w:tcPr>
            <w:tcW w:w="1410" w:type="pct"/>
            <w:gridSpan w:val="2"/>
          </w:tcPr>
          <w:p w:rsidR="00A426C8" w:rsidRPr="00A4073A" w:rsidRDefault="00A426C8" w:rsidP="00A426C8">
            <w:r w:rsidRPr="00A4073A">
              <w:t>Mystic Valley</w:t>
            </w:r>
            <w:r>
              <w:t xml:space="preserve">’s strong content-based curricula have been proven to be effective in significantly reducing achievement gaps in students belonging to other subgroups. </w:t>
            </w:r>
          </w:p>
        </w:tc>
        <w:tc>
          <w:tcPr>
            <w:tcW w:w="1973" w:type="pct"/>
          </w:tcPr>
          <w:p w:rsidR="00A426C8" w:rsidRPr="00A4073A" w:rsidRDefault="00A426C8" w:rsidP="00A426C8">
            <w:r>
              <w:t>External test results support the success of Mystic Valley’s academic programs.</w:t>
            </w:r>
          </w:p>
        </w:tc>
        <w:tc>
          <w:tcPr>
            <w:tcW w:w="856" w:type="pct"/>
          </w:tcPr>
          <w:p w:rsidR="00A426C8" w:rsidRPr="00A4073A" w:rsidRDefault="00A426C8" w:rsidP="00A426C8">
            <w:r>
              <w:t>No change needed.</w:t>
            </w:r>
          </w:p>
        </w:tc>
      </w:tr>
    </w:tbl>
    <w:p w:rsidR="0013288C" w:rsidRDefault="0013288C" w:rsidP="0013288C">
      <w:pPr>
        <w:rPr>
          <w:b/>
        </w:rPr>
      </w:pPr>
    </w:p>
    <w:p w:rsidR="00244089" w:rsidRDefault="00D420B4" w:rsidP="00B243C4">
      <w:r>
        <w:t xml:space="preserve">At MVRCS, parents take a very active role in the education of their children.  </w:t>
      </w:r>
      <w:r w:rsidR="00A5518F">
        <w:t xml:space="preserve">We </w:t>
      </w:r>
      <w:r w:rsidR="00B33DD8">
        <w:t xml:space="preserve">solicit parent feedback through surveying their </w:t>
      </w:r>
      <w:r w:rsidR="00CB335D">
        <w:t xml:space="preserve">level of </w:t>
      </w:r>
      <w:r w:rsidR="00B33DD8">
        <w:t>satisfaction</w:t>
      </w:r>
      <w:r w:rsidR="00CB335D">
        <w:t xml:space="preserve"> on a variety of measures</w:t>
      </w:r>
      <w:r w:rsidR="00B33DD8">
        <w:t>.  The results from this year showed</w:t>
      </w:r>
      <w:r w:rsidR="00CB335D">
        <w:t xml:space="preserve"> among other things,</w:t>
      </w:r>
      <w:r w:rsidR="00B33DD8">
        <w:t xml:space="preserve"> that our parents </w:t>
      </w:r>
      <w:r w:rsidR="00CB335D">
        <w:t xml:space="preserve">rate </w:t>
      </w:r>
      <w:r w:rsidR="00B33DD8">
        <w:t xml:space="preserve">our curriculum </w:t>
      </w:r>
      <w:proofErr w:type="gramStart"/>
      <w:r w:rsidR="00B33DD8">
        <w:t>a 9.04</w:t>
      </w:r>
      <w:proofErr w:type="gramEnd"/>
      <w:r w:rsidR="00B33DD8">
        <w:t xml:space="preserve"> out of 10</w:t>
      </w:r>
      <w:r w:rsidR="00244089">
        <w:t xml:space="preserve"> and over 97% said they would recommend Mystic Valley to their friends.  </w:t>
      </w:r>
    </w:p>
    <w:p w:rsidR="00244089" w:rsidRDefault="00244089" w:rsidP="00B243C4"/>
    <w:p w:rsidR="00A5518F" w:rsidRDefault="00D420B4" w:rsidP="00B243C4">
      <w:r>
        <w:t>Parents are encouraged to participate in Parent Advisory Council and/or our Parent Teacher Organization.  The school is very proactive with parents in communicating what goes on in the classroom by posting weekly assignments in advance so parents and students can plan accordingly.  The school sends out bi weekly progress reports to the parents of students who have an 80 or less on a grade.  Academic Concern meetings are scheduled</w:t>
      </w:r>
      <w:r w:rsidR="00A426C8">
        <w:t xml:space="preserve"> </w:t>
      </w:r>
      <w:r>
        <w:t>when necessary so that parents can become part of the solution to get their child back on track.</w:t>
      </w:r>
      <w:r w:rsidR="00D63A71">
        <w:t xml:space="preserve">  The school provides </w:t>
      </w:r>
      <w:r w:rsidR="00D63A71">
        <w:lastRenderedPageBreak/>
        <w:t xml:space="preserve">several options for students to receive additional instruction in the courses </w:t>
      </w:r>
      <w:r w:rsidR="00A5518F">
        <w:t xml:space="preserve">with which </w:t>
      </w:r>
      <w:r w:rsidR="00D63A71">
        <w:t>they are struggling.</w:t>
      </w:r>
    </w:p>
    <w:p w:rsidR="00A5518F" w:rsidRDefault="00A5518F" w:rsidP="00B243C4"/>
    <w:p w:rsidR="00D420B4" w:rsidRDefault="00D420B4" w:rsidP="00B243C4">
      <w:r>
        <w:t xml:space="preserve">Per our charter, new students are admitted into grades K through 5.  A child must be </w:t>
      </w:r>
      <w:r w:rsidR="00A426C8">
        <w:t>five</w:t>
      </w:r>
      <w:r>
        <w:t xml:space="preserve"> years old by August 1 in order to be accepted into Kindergarten.</w:t>
      </w:r>
    </w:p>
    <w:p w:rsidR="00B243C4" w:rsidRDefault="00B243C4" w:rsidP="00B243C4"/>
    <w:p w:rsidR="00B243C4" w:rsidRDefault="00AC4E18" w:rsidP="00B243C4">
      <w:pPr>
        <w:rPr>
          <w:b/>
        </w:rPr>
      </w:pPr>
      <w:r>
        <w:rPr>
          <w:b/>
        </w:rPr>
        <w:t>Section H</w:t>
      </w:r>
      <w:r w:rsidR="00B243C4" w:rsidRPr="00F91A93">
        <w:rPr>
          <w:b/>
        </w:rPr>
        <w:t>:  Capacity</w:t>
      </w:r>
    </w:p>
    <w:p w:rsidR="00B243C4" w:rsidRDefault="00B243C4" w:rsidP="00B243C4">
      <w:pPr>
        <w:rPr>
          <w:b/>
        </w:rPr>
      </w:pPr>
    </w:p>
    <w:p w:rsidR="00B243C4" w:rsidRDefault="005A16EC" w:rsidP="00A426C8">
      <w:r>
        <w:t>The enrollment increase from 1,500 to 1,900</w:t>
      </w:r>
      <w:r w:rsidR="00FB0514">
        <w:t>, if approved, will be implemented over a 12 year period (see Exhibit 2</w:t>
      </w:r>
      <w:r w:rsidR="00A426C8">
        <w:t>,</w:t>
      </w:r>
      <w:r w:rsidR="00FB0514">
        <w:t xml:space="preserve"> “Projected Enrollment of Students”).  The first year</w:t>
      </w:r>
      <w:r w:rsidR="008250C8">
        <w:t xml:space="preserve"> will show the largest increase, but will still be a modest </w:t>
      </w:r>
      <w:r w:rsidR="00FB0514">
        <w:t>47 students.  This slow expansion reflects the Board of Trustees</w:t>
      </w:r>
      <w:r w:rsidR="00A426C8">
        <w:t>’</w:t>
      </w:r>
      <w:r w:rsidR="00FB0514">
        <w:t xml:space="preserve"> desire to</w:t>
      </w:r>
      <w:r w:rsidR="00484873">
        <w:t xml:space="preserve"> </w:t>
      </w:r>
      <w:r w:rsidR="00FB0514">
        <w:t>grow</w:t>
      </w:r>
      <w:r w:rsidR="00484873">
        <w:t xml:space="preserve"> commensurate with the yearly </w:t>
      </w:r>
      <w:r w:rsidR="005245C1">
        <w:t>progression</w:t>
      </w:r>
      <w:r w:rsidR="00484873">
        <w:t xml:space="preserve"> of our full Kindergarten classes</w:t>
      </w:r>
      <w:r w:rsidR="005245C1">
        <w:t xml:space="preserve"> through the subsequent grades</w:t>
      </w:r>
      <w:r w:rsidR="00484873">
        <w:t xml:space="preserve">.  </w:t>
      </w:r>
      <w:r w:rsidR="00763D13">
        <w:t xml:space="preserve">In order to accommodate our growth to 1500 students, our Board of Trustees developed a strategic plan with regards to our </w:t>
      </w:r>
      <w:r w:rsidR="00B243C4">
        <w:t>infrastructure</w:t>
      </w:r>
      <w:r w:rsidR="00763D13">
        <w:t xml:space="preserve">.  Both our administrative structure and facilities (see </w:t>
      </w:r>
      <w:r w:rsidR="00A426C8">
        <w:t>S</w:t>
      </w:r>
      <w:r w:rsidR="00763D13">
        <w:t xml:space="preserve">ection I below) will be in place by the </w:t>
      </w:r>
      <w:r w:rsidR="00A426C8">
        <w:t>f</w:t>
      </w:r>
      <w:r w:rsidR="00763D13">
        <w:t xml:space="preserve">all of 2013 to </w:t>
      </w:r>
      <w:r w:rsidR="00B243C4">
        <w:t>accommodate the additional natural enrollment growth.</w:t>
      </w:r>
    </w:p>
    <w:p w:rsidR="00B243C4" w:rsidRDefault="00B243C4" w:rsidP="00B243C4"/>
    <w:p w:rsidR="00B243C4" w:rsidRDefault="006F43BB" w:rsidP="00B243C4">
      <w:r>
        <w:t>With regards to our fiduciary responsibi</w:t>
      </w:r>
      <w:r w:rsidR="00506F24">
        <w:t>li</w:t>
      </w:r>
      <w:r>
        <w:t>ty, w</w:t>
      </w:r>
      <w:r w:rsidR="00B243C4">
        <w:t xml:space="preserve">e </w:t>
      </w:r>
      <w:r w:rsidR="00506F24">
        <w:t>have worked hard to</w:t>
      </w:r>
      <w:r w:rsidR="00B243C4">
        <w:t xml:space="preserve"> </w:t>
      </w:r>
      <w:r w:rsidR="00046177">
        <w:t>manage</w:t>
      </w:r>
      <w:r w:rsidR="00B243C4">
        <w:t xml:space="preserve"> public funds effectively and responsibly</w:t>
      </w:r>
      <w:r w:rsidR="00046177">
        <w:t>.  E</w:t>
      </w:r>
      <w:r w:rsidR="00B243C4">
        <w:t xml:space="preserve">vidence </w:t>
      </w:r>
      <w:r w:rsidR="00046177">
        <w:t xml:space="preserve">can be found through </w:t>
      </w:r>
      <w:r w:rsidR="00B243C4">
        <w:t>comparisons of financial data from the reports that the Charter School Office completed this year where they compared key financial components of the school to other ch</w:t>
      </w:r>
      <w:r w:rsidR="00D420B4">
        <w:t>arter schools within the state.</w:t>
      </w:r>
      <w:r w:rsidR="00B243C4">
        <w:t xml:space="preserve">  Mystic </w:t>
      </w:r>
      <w:r w:rsidR="00A426C8">
        <w:t>V</w:t>
      </w:r>
      <w:r w:rsidR="00B243C4">
        <w:t>alley Regional Charter School was at or near the top in all of the areas measured.</w:t>
      </w:r>
    </w:p>
    <w:p w:rsidR="00D420B4" w:rsidRDefault="00D420B4" w:rsidP="00B243C4"/>
    <w:p w:rsidR="00D420B4" w:rsidRDefault="00D420B4" w:rsidP="00B243C4">
      <w:r>
        <w:t xml:space="preserve">The </w:t>
      </w:r>
      <w:r w:rsidR="00A426C8">
        <w:t>b</w:t>
      </w:r>
      <w:r>
        <w:t>oard performs an annual evaluation of the sch</w:t>
      </w:r>
      <w:r w:rsidR="00AC4E18">
        <w:t>ool leader and oversees the deve</w:t>
      </w:r>
      <w:r>
        <w:t>l</w:t>
      </w:r>
      <w:r w:rsidR="00AC4E18">
        <w:t>o</w:t>
      </w:r>
      <w:r>
        <w:t>pment of the</w:t>
      </w:r>
      <w:r w:rsidR="00AC4E18">
        <w:t xml:space="preserve"> </w:t>
      </w:r>
      <w:r w:rsidR="00A426C8">
        <w:t>a</w:t>
      </w:r>
      <w:r w:rsidR="00AC4E18">
        <w:t xml:space="preserve">nnual </w:t>
      </w:r>
      <w:r w:rsidR="00A426C8">
        <w:t>b</w:t>
      </w:r>
      <w:r w:rsidR="00AC4E18">
        <w:t xml:space="preserve">udget.  The </w:t>
      </w:r>
      <w:r w:rsidR="00A426C8">
        <w:t>a</w:t>
      </w:r>
      <w:r w:rsidR="00AC4E18">
        <w:t xml:space="preserve">nnual </w:t>
      </w:r>
      <w:r w:rsidR="00A426C8">
        <w:t>b</w:t>
      </w:r>
      <w:r w:rsidR="00AC4E18">
        <w:t xml:space="preserve">udget is put together by the </w:t>
      </w:r>
      <w:r w:rsidR="00A426C8">
        <w:t>b</w:t>
      </w:r>
      <w:r w:rsidR="00AC4E18">
        <w:t xml:space="preserve">oard </w:t>
      </w:r>
      <w:r w:rsidR="00A426C8">
        <w:t>t</w:t>
      </w:r>
      <w:r w:rsidR="00AC4E18">
        <w:t xml:space="preserve">reasurer and </w:t>
      </w:r>
      <w:r w:rsidR="00A426C8">
        <w:t>s</w:t>
      </w:r>
      <w:r w:rsidR="00AC4E18">
        <w:t xml:space="preserve">chool </w:t>
      </w:r>
      <w:r w:rsidR="00A426C8">
        <w:t>b</w:t>
      </w:r>
      <w:r w:rsidR="00AC4E18">
        <w:t xml:space="preserve">usiness </w:t>
      </w:r>
      <w:r w:rsidR="00A426C8">
        <w:t>m</w:t>
      </w:r>
      <w:r w:rsidR="00AC4E18">
        <w:t xml:space="preserve">anager with input from various parts of the school community.  The </w:t>
      </w:r>
      <w:r w:rsidR="00A426C8">
        <w:t>b</w:t>
      </w:r>
      <w:r w:rsidR="00AC4E18">
        <w:t>oard monitors the school finances on a monthly basis by reviewing monthly financial statements at scheduled board meetings</w:t>
      </w:r>
      <w:r>
        <w:t xml:space="preserve"> </w:t>
      </w:r>
    </w:p>
    <w:p w:rsidR="00B243C4" w:rsidRDefault="00B243C4" w:rsidP="00B243C4"/>
    <w:p w:rsidR="00B243C4" w:rsidRDefault="00AC4E18" w:rsidP="00B243C4">
      <w:pPr>
        <w:rPr>
          <w:b/>
        </w:rPr>
      </w:pPr>
      <w:r>
        <w:rPr>
          <w:b/>
        </w:rPr>
        <w:t>Section I</w:t>
      </w:r>
      <w:r w:rsidR="00B243C4" w:rsidRPr="00BE677B">
        <w:rPr>
          <w:b/>
        </w:rPr>
        <w:t>:  Facilities</w:t>
      </w:r>
      <w:r>
        <w:rPr>
          <w:b/>
        </w:rPr>
        <w:t xml:space="preserve"> and Transportation</w:t>
      </w:r>
    </w:p>
    <w:p w:rsidR="00B243C4" w:rsidRDefault="00B243C4" w:rsidP="00B243C4">
      <w:pPr>
        <w:rPr>
          <w:b/>
        </w:rPr>
      </w:pPr>
    </w:p>
    <w:p w:rsidR="00806CF8" w:rsidRDefault="00806CF8" w:rsidP="00B243C4">
      <w:r>
        <w:t>In November</w:t>
      </w:r>
      <w:r w:rsidR="00A426C8">
        <w:t>,</w:t>
      </w:r>
      <w:r>
        <w:t xml:space="preserve"> 2011, we completed construction of a new school facility at 576 Eastern Avenue and moved our Kindergarten students from 770 Salem Street to our new facility.  Earlier this month, we were informed by the Malden Redevelopment Authority that we are the recommended </w:t>
      </w:r>
      <w:r w:rsidR="00713D0D">
        <w:t xml:space="preserve">buyer </w:t>
      </w:r>
      <w:r>
        <w:t xml:space="preserve">to purchase the Emerson School Building at 230 Highland Avenue.  </w:t>
      </w:r>
      <w:r w:rsidR="005245C1">
        <w:t xml:space="preserve">This building is strategically located </w:t>
      </w:r>
      <w:r w:rsidR="00A426C8">
        <w:t>two</w:t>
      </w:r>
      <w:r w:rsidR="005245C1">
        <w:t xml:space="preserve"> blocks from our </w:t>
      </w:r>
      <w:r w:rsidR="00A426C8">
        <w:t>h</w:t>
      </w:r>
      <w:r w:rsidR="005245C1">
        <w:t xml:space="preserve">igh </w:t>
      </w:r>
      <w:r w:rsidR="00A426C8">
        <w:t>s</w:t>
      </w:r>
      <w:r w:rsidR="005245C1">
        <w:t xml:space="preserve">chool.  </w:t>
      </w:r>
      <w:r>
        <w:t>We expect to close on that property in September</w:t>
      </w:r>
      <w:r w:rsidR="00A426C8">
        <w:t>,</w:t>
      </w:r>
      <w:r>
        <w:t xml:space="preserve"> 2012.  Upon completion of that purchase, we anticipate the ability to house the amount of students as indicated below:</w:t>
      </w:r>
    </w:p>
    <w:p w:rsidR="00806CF8" w:rsidRDefault="00806CF8" w:rsidP="00B243C4"/>
    <w:p w:rsidR="00806CF8" w:rsidRDefault="00806CF8" w:rsidP="00B243C4">
      <w:r>
        <w:tab/>
      </w:r>
      <w:r>
        <w:tab/>
        <w:t>770 Salem St/30 Laurel St.</w:t>
      </w:r>
      <w:r>
        <w:tab/>
      </w:r>
      <w:r>
        <w:tab/>
        <w:t>1,050 students</w:t>
      </w:r>
    </w:p>
    <w:p w:rsidR="00806CF8" w:rsidRDefault="00806CF8" w:rsidP="00B243C4">
      <w:r>
        <w:tab/>
      </w:r>
      <w:r>
        <w:tab/>
        <w:t>576 Eastern Avenue</w:t>
      </w:r>
      <w:r>
        <w:tab/>
      </w:r>
      <w:r>
        <w:tab/>
      </w:r>
      <w:r>
        <w:tab/>
        <w:t xml:space="preserve">   150 students</w:t>
      </w:r>
    </w:p>
    <w:p w:rsidR="00806CF8" w:rsidRDefault="00806CF8" w:rsidP="00B243C4">
      <w:r>
        <w:tab/>
      </w:r>
      <w:r>
        <w:tab/>
        <w:t>306 Highland Avenue</w:t>
      </w:r>
      <w:r>
        <w:tab/>
      </w:r>
      <w:r>
        <w:tab/>
      </w:r>
      <w:r>
        <w:tab/>
        <w:t xml:space="preserve">   400 students</w:t>
      </w:r>
    </w:p>
    <w:p w:rsidR="00806CF8" w:rsidRDefault="00806CF8" w:rsidP="00B243C4">
      <w:r>
        <w:tab/>
      </w:r>
      <w:r>
        <w:tab/>
        <w:t>230 Highland Avenue</w:t>
      </w:r>
      <w:r>
        <w:tab/>
      </w:r>
      <w:r>
        <w:tab/>
      </w:r>
      <w:r>
        <w:tab/>
        <w:t xml:space="preserve">   300 students</w:t>
      </w:r>
    </w:p>
    <w:p w:rsidR="00806CF8" w:rsidRDefault="00806CF8" w:rsidP="00B243C4"/>
    <w:p w:rsidR="00B243C4" w:rsidRDefault="00806CF8" w:rsidP="00806CF8">
      <w:r>
        <w:tab/>
      </w:r>
      <w:r>
        <w:tab/>
      </w:r>
      <w:r>
        <w:tab/>
      </w:r>
      <w:r w:rsidR="00A426C8">
        <w:tab/>
      </w:r>
      <w:r w:rsidR="00A426C8">
        <w:tab/>
      </w:r>
      <w:r w:rsidR="00A426C8">
        <w:tab/>
      </w:r>
      <w:r w:rsidR="00A426C8">
        <w:tab/>
      </w:r>
      <w:r>
        <w:t>Total students:  1,900</w:t>
      </w:r>
    </w:p>
    <w:p w:rsidR="00AC4E18" w:rsidRDefault="00CA22A2" w:rsidP="00B243C4">
      <w:r>
        <w:lastRenderedPageBreak/>
        <w:t xml:space="preserve">We provide school transportation to qualifying students who reside within the sending district via a contract with </w:t>
      </w:r>
      <w:proofErr w:type="spellStart"/>
      <w:r>
        <w:t>Vocell</w:t>
      </w:r>
      <w:proofErr w:type="spellEnd"/>
      <w:r>
        <w:t xml:space="preserve"> Bus Company, located in Malden, MA.  </w:t>
      </w:r>
      <w:proofErr w:type="spellStart"/>
      <w:r>
        <w:t>Vocell</w:t>
      </w:r>
      <w:proofErr w:type="spellEnd"/>
      <w:r>
        <w:t xml:space="preserve"> has buses that are designed to handle physically challenged students.</w:t>
      </w:r>
    </w:p>
    <w:p w:rsidR="00B243C4" w:rsidRDefault="00B243C4" w:rsidP="00B243C4"/>
    <w:p w:rsidR="00B243C4" w:rsidRDefault="00CA22A2" w:rsidP="00B243C4">
      <w:pPr>
        <w:rPr>
          <w:b/>
        </w:rPr>
      </w:pPr>
      <w:r>
        <w:rPr>
          <w:b/>
        </w:rPr>
        <w:t>Section J</w:t>
      </w:r>
      <w:r w:rsidR="00B243C4" w:rsidRPr="00522933">
        <w:rPr>
          <w:b/>
        </w:rPr>
        <w:t>:  School Finances</w:t>
      </w:r>
    </w:p>
    <w:p w:rsidR="00B243C4" w:rsidRDefault="00B243C4" w:rsidP="00B243C4">
      <w:pPr>
        <w:rPr>
          <w:b/>
        </w:rPr>
      </w:pPr>
    </w:p>
    <w:p w:rsidR="00B243C4" w:rsidRDefault="00B243C4" w:rsidP="00B243C4">
      <w:r>
        <w:t>We have the capacity to obtain additional financing</w:t>
      </w:r>
      <w:r w:rsidR="00CA22A2">
        <w:t xml:space="preserve"> as part of our capital plan</w:t>
      </w:r>
      <w:r>
        <w:t xml:space="preserve"> to </w:t>
      </w:r>
      <w:r w:rsidR="00263A64">
        <w:t>implement the facility plan described above.</w:t>
      </w:r>
      <w:r>
        <w:t xml:space="preserve">  Staff levels will continue to be monitored and addressed on an annual basis as part of our regular budget development process.  We anticipate the need to expand our school staff over the next several years as our school enrollment continues to increase</w:t>
      </w:r>
      <w:r w:rsidR="00263A64">
        <w:t xml:space="preserve"> (primarily teachers and instructional assistants)</w:t>
      </w:r>
      <w:r>
        <w:t>.</w:t>
      </w:r>
      <w:r w:rsidR="00263A64">
        <w:t xml:space="preserve">  Our </w:t>
      </w:r>
      <w:r w:rsidR="008A5ABF">
        <w:t xml:space="preserve">current </w:t>
      </w:r>
      <w:r w:rsidR="00713D0D">
        <w:t>s</w:t>
      </w:r>
      <w:r w:rsidR="00263A64">
        <w:t xml:space="preserve">chool </w:t>
      </w:r>
      <w:r w:rsidR="00713D0D">
        <w:t>a</w:t>
      </w:r>
      <w:r w:rsidR="00263A64">
        <w:t xml:space="preserve">dministration </w:t>
      </w:r>
      <w:r w:rsidR="00713D0D">
        <w:t>t</w:t>
      </w:r>
      <w:r w:rsidR="00263A64">
        <w:t>eam has the capacity to supervise the additional teachers and to maintain the school culture we have developed over the life of our school.</w:t>
      </w:r>
      <w:r>
        <w:t xml:space="preserve">  We believe that the additional tuition that comes with the increased enrollment will cover the expected increase in expenses attributed to the proposed increase in enrollment.</w:t>
      </w:r>
    </w:p>
    <w:p w:rsidR="00B243C4" w:rsidRDefault="00B243C4" w:rsidP="00B243C4"/>
    <w:p w:rsidR="00B243C4" w:rsidRDefault="00B243C4" w:rsidP="00B243C4">
      <w:r>
        <w:t>We believe that that the projected sources of revenue from tuition (as long as we remain close to the current model of tuition flow to charter schools) will be adequate to ensure the fiscal viability of the school.</w:t>
      </w:r>
    </w:p>
    <w:p w:rsidR="00B243C4" w:rsidRDefault="00B243C4" w:rsidP="00B243C4"/>
    <w:p w:rsidR="00B243C4" w:rsidRDefault="00CA22A2" w:rsidP="00B243C4">
      <w:pPr>
        <w:rPr>
          <w:b/>
        </w:rPr>
      </w:pPr>
      <w:r>
        <w:rPr>
          <w:b/>
        </w:rPr>
        <w:t>Section K</w:t>
      </w:r>
      <w:r w:rsidR="00B243C4">
        <w:rPr>
          <w:b/>
        </w:rPr>
        <w:t>:  Action Plan for Implementation</w:t>
      </w:r>
    </w:p>
    <w:p w:rsidR="00B243C4" w:rsidRDefault="00B243C4" w:rsidP="00B243C4">
      <w:pPr>
        <w:rPr>
          <w:b/>
        </w:rPr>
      </w:pPr>
    </w:p>
    <w:p w:rsidR="00B243C4" w:rsidRDefault="00B243C4" w:rsidP="00B243C4">
      <w:r>
        <w:t>As indicated in our chart titled “Projected Enrollment of Students,</w:t>
      </w:r>
      <w:r w:rsidR="00713D0D">
        <w:t>”</w:t>
      </w:r>
      <w:r>
        <w:t xml:space="preserve"> implementation of the additional students (over our current maximum enrollment of 1,500 students) would not take effect until the FY13 school year and will occur over several years.  We would stage the expansion slowly by increasing the size of the incoming K</w:t>
      </w:r>
      <w:r w:rsidR="00713D0D">
        <w:t>indergarten</w:t>
      </w:r>
      <w:r>
        <w:t xml:space="preserve"> classes</w:t>
      </w:r>
      <w:r w:rsidR="00713D0D">
        <w:t>,</w:t>
      </w:r>
      <w:r>
        <w:t xml:space="preserve"> which will continue to increase our enrollment at a very manageable pace.  It is the school’s belief that </w:t>
      </w:r>
      <w:r w:rsidR="0043612F">
        <w:t xml:space="preserve">with the building of our </w:t>
      </w:r>
      <w:r>
        <w:t xml:space="preserve">new Eastern Avenue facility </w:t>
      </w:r>
      <w:r w:rsidR="0043612F">
        <w:t xml:space="preserve">along with the purchasing of the former Emerson School on Highland Avenue, we </w:t>
      </w:r>
      <w:r>
        <w:t xml:space="preserve">will serve </w:t>
      </w:r>
      <w:r w:rsidR="0043612F">
        <w:t xml:space="preserve">our additional </w:t>
      </w:r>
      <w:r w:rsidR="00CA22A2">
        <w:t>students</w:t>
      </w:r>
      <w:r w:rsidR="0043612F">
        <w:t xml:space="preserve"> by the </w:t>
      </w:r>
      <w:r w:rsidR="00CA22A2">
        <w:t>201</w:t>
      </w:r>
      <w:r w:rsidR="0043612F">
        <w:t>3</w:t>
      </w:r>
      <w:r w:rsidR="00713D0D">
        <w:t>-</w:t>
      </w:r>
      <w:r w:rsidR="00CA22A2">
        <w:t>201</w:t>
      </w:r>
      <w:r w:rsidR="0043612F">
        <w:t>4</w:t>
      </w:r>
      <w:r w:rsidR="00CA22A2">
        <w:t xml:space="preserve"> school year.</w:t>
      </w:r>
    </w:p>
    <w:p w:rsidR="00D63A71" w:rsidRDefault="00D63A71" w:rsidP="00B243C4"/>
    <w:p w:rsidR="00D63A71" w:rsidRDefault="00D63A71" w:rsidP="00B243C4">
      <w:r>
        <w:t>Below is a summary of the proposed strategies that would lead to a successful implementation:</w:t>
      </w:r>
    </w:p>
    <w:p w:rsidR="00D63A71" w:rsidRDefault="00D63A71" w:rsidP="00B243C4"/>
    <w:p w:rsidR="00D63A71" w:rsidRDefault="002560C7" w:rsidP="00713D0D">
      <w:r>
        <w:t>Incorporate an additional classroom (Teacher and Instructional Assistant) as follows:</w:t>
      </w:r>
    </w:p>
    <w:p w:rsidR="002560C7" w:rsidRDefault="00713D0D" w:rsidP="002560C7">
      <w:r>
        <w:tab/>
      </w:r>
      <w:r w:rsidR="002560C7">
        <w:t>K – FY 2012</w:t>
      </w:r>
    </w:p>
    <w:p w:rsidR="002560C7" w:rsidRDefault="002560C7" w:rsidP="002560C7">
      <w:r>
        <w:tab/>
        <w:t>1</w:t>
      </w:r>
      <w:r w:rsidRPr="002560C7">
        <w:rPr>
          <w:vertAlign w:val="superscript"/>
        </w:rPr>
        <w:t>st</w:t>
      </w:r>
      <w:r>
        <w:t xml:space="preserve"> – FY 2013</w:t>
      </w:r>
    </w:p>
    <w:p w:rsidR="002560C7" w:rsidRDefault="002560C7" w:rsidP="002560C7">
      <w:r>
        <w:tab/>
        <w:t>2</w:t>
      </w:r>
      <w:r w:rsidRPr="002560C7">
        <w:rPr>
          <w:vertAlign w:val="superscript"/>
        </w:rPr>
        <w:t>nd</w:t>
      </w:r>
      <w:r>
        <w:t xml:space="preserve"> – FY2014</w:t>
      </w:r>
    </w:p>
    <w:p w:rsidR="002560C7" w:rsidRDefault="002560C7" w:rsidP="002560C7"/>
    <w:p w:rsidR="002560C7" w:rsidRDefault="002560C7" w:rsidP="00713D0D">
      <w:r>
        <w:t xml:space="preserve">As you can see, this proposed timeline provides a minor addition of resources that can be easily managed by the </w:t>
      </w:r>
      <w:r w:rsidR="00713D0D">
        <w:t>a</w:t>
      </w:r>
      <w:r>
        <w:t xml:space="preserve">ssistant </w:t>
      </w:r>
      <w:r w:rsidR="00713D0D">
        <w:t>s</w:t>
      </w:r>
      <w:r>
        <w:t xml:space="preserve">chool </w:t>
      </w:r>
      <w:r w:rsidR="00713D0D">
        <w:t>d</w:t>
      </w:r>
      <w:r>
        <w:t xml:space="preserve">irector for the </w:t>
      </w:r>
      <w:r w:rsidR="00713D0D">
        <w:t>l</w:t>
      </w:r>
      <w:r>
        <w:t xml:space="preserve">ower </w:t>
      </w:r>
      <w:r w:rsidR="00713D0D">
        <w:t>s</w:t>
      </w:r>
      <w:r>
        <w:t xml:space="preserve">chool and the appropriate </w:t>
      </w:r>
      <w:r w:rsidR="00713D0D">
        <w:t>l</w:t>
      </w:r>
      <w:r>
        <w:t xml:space="preserve">ead </w:t>
      </w:r>
      <w:r w:rsidR="00713D0D">
        <w:t>t</w:t>
      </w:r>
      <w:r>
        <w:t>eacher for each grade.</w:t>
      </w:r>
      <w:r w:rsidR="0054270B">
        <w:t xml:space="preserve">  Beyond 2014, the school would monitor and address the additional staffing needs to address the rolling increase of students.</w:t>
      </w:r>
    </w:p>
    <w:p w:rsidR="0054270B" w:rsidRDefault="0054270B" w:rsidP="002560C7">
      <w:pPr>
        <w:ind w:left="1440"/>
      </w:pPr>
    </w:p>
    <w:p w:rsidR="00713D0D" w:rsidRDefault="00713D0D" w:rsidP="00B243C4"/>
    <w:p w:rsidR="00713D0D" w:rsidRDefault="00713D0D" w:rsidP="00B243C4"/>
    <w:p w:rsidR="00B243C4" w:rsidRDefault="00B243C4" w:rsidP="00B243C4"/>
    <w:p w:rsidR="00B243C4" w:rsidRDefault="00B243C4" w:rsidP="00B243C4">
      <w:pPr>
        <w:rPr>
          <w:b/>
        </w:rPr>
      </w:pPr>
      <w:r>
        <w:rPr>
          <w:b/>
        </w:rPr>
        <w:lastRenderedPageBreak/>
        <w:t>Compliance</w:t>
      </w:r>
    </w:p>
    <w:p w:rsidR="00B243C4" w:rsidRDefault="00B243C4" w:rsidP="00B243C4">
      <w:pPr>
        <w:rPr>
          <w:b/>
        </w:rPr>
      </w:pPr>
    </w:p>
    <w:p w:rsidR="00B243C4" w:rsidRDefault="00B243C4" w:rsidP="00B243C4">
      <w:r w:rsidRPr="007E5BB9">
        <w:t>Mystic Valley Regional Charter School has an approved Account</w:t>
      </w:r>
      <w:r>
        <w:t>ability Plan on file with the Charter School Office.</w:t>
      </w:r>
    </w:p>
    <w:p w:rsidR="00B243C4" w:rsidRDefault="00B243C4" w:rsidP="00B243C4"/>
    <w:p w:rsidR="00B243C4" w:rsidRDefault="00B243C4" w:rsidP="00B243C4">
      <w:r>
        <w:t xml:space="preserve">The </w:t>
      </w:r>
      <w:r w:rsidR="00713D0D">
        <w:t>s</w:t>
      </w:r>
      <w:r>
        <w:t xml:space="preserve">chool has been active in working to disseminate its best practices.  Some of the examples are that we have hosted a </w:t>
      </w:r>
      <w:r w:rsidR="00713D0D">
        <w:t>l</w:t>
      </w:r>
      <w:r>
        <w:t xml:space="preserve">egislative and </w:t>
      </w:r>
      <w:r w:rsidR="00713D0D">
        <w:t>d</w:t>
      </w:r>
      <w:r>
        <w:t xml:space="preserve">istrict </w:t>
      </w:r>
      <w:r w:rsidR="00713D0D">
        <w:t>s</w:t>
      </w:r>
      <w:r>
        <w:t xml:space="preserve">chool </w:t>
      </w:r>
      <w:r w:rsidR="00713D0D">
        <w:t>a</w:t>
      </w:r>
      <w:r>
        <w:t xml:space="preserve">dministration </w:t>
      </w:r>
      <w:r w:rsidR="00713D0D">
        <w:t>meeting</w:t>
      </w:r>
      <w:r>
        <w:t xml:space="preserve"> (in each of the last two school years) where </w:t>
      </w:r>
      <w:r w:rsidR="00713D0D">
        <w:t xml:space="preserve">the school has </w:t>
      </w:r>
      <w:r>
        <w:t xml:space="preserve">invited personnel from each of our sending districts to come to our school and learn </w:t>
      </w:r>
      <w:r w:rsidR="00713D0D">
        <w:t>about us</w:t>
      </w:r>
      <w:r>
        <w:t xml:space="preserve">.  Dr. </w:t>
      </w:r>
      <w:r w:rsidR="00713D0D">
        <w:t xml:space="preserve">Joseph </w:t>
      </w:r>
      <w:proofErr w:type="spellStart"/>
      <w:r>
        <w:t>McCleary</w:t>
      </w:r>
      <w:proofErr w:type="spellEnd"/>
      <w:r>
        <w:t xml:space="preserve">, our </w:t>
      </w:r>
      <w:r w:rsidR="00713D0D">
        <w:t>former s</w:t>
      </w:r>
      <w:r>
        <w:t xml:space="preserve">chool </w:t>
      </w:r>
      <w:r w:rsidR="00713D0D">
        <w:t>d</w:t>
      </w:r>
      <w:r>
        <w:t xml:space="preserve">irector, hosted various </w:t>
      </w:r>
      <w:r w:rsidR="00713D0D">
        <w:t>s</w:t>
      </w:r>
      <w:r>
        <w:t xml:space="preserve">chool </w:t>
      </w:r>
      <w:r w:rsidR="00713D0D">
        <w:t>a</w:t>
      </w:r>
      <w:r>
        <w:t xml:space="preserve">dministrators from our sending districts </w:t>
      </w:r>
      <w:r w:rsidR="00713D0D">
        <w:t>and</w:t>
      </w:r>
      <w:r>
        <w:t xml:space="preserve"> met with some</w:t>
      </w:r>
      <w:r w:rsidR="00713D0D">
        <w:t xml:space="preserve"> of them</w:t>
      </w:r>
      <w:r>
        <w:t xml:space="preserve"> </w:t>
      </w:r>
      <w:r w:rsidR="00713D0D">
        <w:t xml:space="preserve">in </w:t>
      </w:r>
      <w:r>
        <w:t xml:space="preserve">their </w:t>
      </w:r>
      <w:r w:rsidR="00713D0D">
        <w:t xml:space="preserve">respective </w:t>
      </w:r>
      <w:r>
        <w:t>districts to discuss effective school operations.  Numerous teachers from other schools have accepted invitations to learn more about our best practices through collaboration with our teachers and administrators.</w:t>
      </w:r>
    </w:p>
    <w:p w:rsidR="00B243C4" w:rsidRDefault="00B243C4" w:rsidP="00B243C4"/>
    <w:p w:rsidR="00B243C4" w:rsidRDefault="00B243C4" w:rsidP="00B243C4">
      <w:r>
        <w:t xml:space="preserve">We identify and assess special student populations when students initially enroll into our school by conducting a comprehensive screening process to determine ability in </w:t>
      </w:r>
      <w:r w:rsidR="00713D0D">
        <w:t>m</w:t>
      </w:r>
      <w:r>
        <w:t>ath and English for assignment to a like</w:t>
      </w:r>
      <w:r w:rsidR="00713D0D">
        <w:t>-</w:t>
      </w:r>
      <w:r>
        <w:t xml:space="preserve">kind ability group for those subjects.  If any additional services are required, we engage our </w:t>
      </w:r>
      <w:r w:rsidR="00713D0D">
        <w:t>s</w:t>
      </w:r>
      <w:r>
        <w:t xml:space="preserve">pecial </w:t>
      </w:r>
      <w:r w:rsidR="00713D0D">
        <w:t>e</w:t>
      </w:r>
      <w:r>
        <w:t xml:space="preserve">ducation </w:t>
      </w:r>
      <w:r w:rsidR="00713D0D">
        <w:t>d</w:t>
      </w:r>
      <w:r>
        <w:t xml:space="preserve">irector or other </w:t>
      </w:r>
      <w:r w:rsidR="00713D0D">
        <w:t>a</w:t>
      </w:r>
      <w:r>
        <w:t xml:space="preserve">dministrative team member (where appropriate) to develop plans to serve special student populations.  These activities also are in </w:t>
      </w:r>
      <w:r w:rsidR="00713D0D">
        <w:t xml:space="preserve">effect </w:t>
      </w:r>
      <w:r>
        <w:t>across the entire school body and parent community.  Recently (April</w:t>
      </w:r>
      <w:r w:rsidR="00713D0D">
        <w:t xml:space="preserve">, </w:t>
      </w:r>
      <w:r>
        <w:t>2011)</w:t>
      </w:r>
      <w:r w:rsidR="00713D0D">
        <w:t>,</w:t>
      </w:r>
      <w:r>
        <w:t xml:space="preserve"> we received notice from DESE that the school is in full compliance with all Special Education regulations and requirements.</w:t>
      </w:r>
    </w:p>
    <w:p w:rsidR="00B243C4" w:rsidRDefault="00B243C4" w:rsidP="00B243C4"/>
    <w:p w:rsidR="00B243C4" w:rsidRDefault="00B243C4" w:rsidP="00B243C4">
      <w:r>
        <w:t xml:space="preserve">The </w:t>
      </w:r>
      <w:r w:rsidR="00713D0D">
        <w:t>s</w:t>
      </w:r>
      <w:r>
        <w:t>chool maintains an enrollment process that is open, fair, and in accordance with charter school statute and regulations.</w:t>
      </w:r>
    </w:p>
    <w:p w:rsidR="00200FF7" w:rsidRDefault="00200FF7" w:rsidP="00200FF7"/>
    <w:sectPr w:rsidR="00200FF7" w:rsidSect="00596F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E2" w:rsidRDefault="008B0AE2" w:rsidP="00DA29CF">
      <w:r>
        <w:separator/>
      </w:r>
    </w:p>
  </w:endnote>
  <w:endnote w:type="continuationSeparator" w:id="0">
    <w:p w:rsidR="008B0AE2" w:rsidRDefault="008B0AE2" w:rsidP="00DA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CF" w:rsidRDefault="00EA7B39">
    <w:pPr>
      <w:pStyle w:val="Footer"/>
      <w:jc w:val="right"/>
    </w:pPr>
    <w:r>
      <w:fldChar w:fldCharType="begin"/>
    </w:r>
    <w:r>
      <w:instrText xml:space="preserve"> PAGE   \* MERGEFORMAT </w:instrText>
    </w:r>
    <w:r>
      <w:fldChar w:fldCharType="separate"/>
    </w:r>
    <w:r>
      <w:rPr>
        <w:noProof/>
      </w:rPr>
      <w:t>1</w:t>
    </w:r>
    <w:r>
      <w:rPr>
        <w:noProof/>
      </w:rPr>
      <w:fldChar w:fldCharType="end"/>
    </w:r>
  </w:p>
  <w:p w:rsidR="00DA29CF" w:rsidRDefault="00DA2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E2" w:rsidRDefault="008B0AE2" w:rsidP="00DA29CF">
      <w:r>
        <w:separator/>
      </w:r>
    </w:p>
  </w:footnote>
  <w:footnote w:type="continuationSeparator" w:id="0">
    <w:p w:rsidR="008B0AE2" w:rsidRDefault="008B0AE2" w:rsidP="00DA2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35F"/>
    <w:multiLevelType w:val="hybridMultilevel"/>
    <w:tmpl w:val="55A861A4"/>
    <w:lvl w:ilvl="0" w:tplc="0D4221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A5E32C0"/>
    <w:multiLevelType w:val="hybridMultilevel"/>
    <w:tmpl w:val="FAC0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FF7"/>
    <w:rsid w:val="000127B0"/>
    <w:rsid w:val="00046177"/>
    <w:rsid w:val="00060E31"/>
    <w:rsid w:val="00091E8F"/>
    <w:rsid w:val="000C6DC4"/>
    <w:rsid w:val="00106922"/>
    <w:rsid w:val="00114008"/>
    <w:rsid w:val="0011431F"/>
    <w:rsid w:val="00131101"/>
    <w:rsid w:val="0013288C"/>
    <w:rsid w:val="00135A89"/>
    <w:rsid w:val="001861E7"/>
    <w:rsid w:val="00191600"/>
    <w:rsid w:val="001975C9"/>
    <w:rsid w:val="001D5B49"/>
    <w:rsid w:val="001D796C"/>
    <w:rsid w:val="001E76F9"/>
    <w:rsid w:val="001F1082"/>
    <w:rsid w:val="00200FF7"/>
    <w:rsid w:val="00206C5F"/>
    <w:rsid w:val="00215DE9"/>
    <w:rsid w:val="00244089"/>
    <w:rsid w:val="002560C7"/>
    <w:rsid w:val="00263A64"/>
    <w:rsid w:val="002A1E61"/>
    <w:rsid w:val="002B1133"/>
    <w:rsid w:val="002C7643"/>
    <w:rsid w:val="002D4DBE"/>
    <w:rsid w:val="00365EE6"/>
    <w:rsid w:val="0037532D"/>
    <w:rsid w:val="003F0ECF"/>
    <w:rsid w:val="0040670B"/>
    <w:rsid w:val="00425623"/>
    <w:rsid w:val="00436036"/>
    <w:rsid w:val="0043612F"/>
    <w:rsid w:val="004702AC"/>
    <w:rsid w:val="00484873"/>
    <w:rsid w:val="0048617D"/>
    <w:rsid w:val="004B3161"/>
    <w:rsid w:val="004E3C43"/>
    <w:rsid w:val="00506F24"/>
    <w:rsid w:val="005245C1"/>
    <w:rsid w:val="0053387A"/>
    <w:rsid w:val="0054270B"/>
    <w:rsid w:val="00544FAA"/>
    <w:rsid w:val="00577709"/>
    <w:rsid w:val="005962E6"/>
    <w:rsid w:val="00596F10"/>
    <w:rsid w:val="005A16EC"/>
    <w:rsid w:val="005B3F43"/>
    <w:rsid w:val="005E557F"/>
    <w:rsid w:val="005F7EE8"/>
    <w:rsid w:val="006720C9"/>
    <w:rsid w:val="00687FD5"/>
    <w:rsid w:val="006C4EFA"/>
    <w:rsid w:val="006E74EF"/>
    <w:rsid w:val="006F43BB"/>
    <w:rsid w:val="00713D0D"/>
    <w:rsid w:val="00763D13"/>
    <w:rsid w:val="007E056E"/>
    <w:rsid w:val="00806CF8"/>
    <w:rsid w:val="00810183"/>
    <w:rsid w:val="00815521"/>
    <w:rsid w:val="008250C8"/>
    <w:rsid w:val="00835183"/>
    <w:rsid w:val="00837E73"/>
    <w:rsid w:val="00867097"/>
    <w:rsid w:val="008723A1"/>
    <w:rsid w:val="008867DD"/>
    <w:rsid w:val="0089625D"/>
    <w:rsid w:val="008A5ABF"/>
    <w:rsid w:val="008B02F4"/>
    <w:rsid w:val="008B0AE2"/>
    <w:rsid w:val="008F77AF"/>
    <w:rsid w:val="00905A57"/>
    <w:rsid w:val="00940936"/>
    <w:rsid w:val="009D4BE2"/>
    <w:rsid w:val="009D699E"/>
    <w:rsid w:val="009F7722"/>
    <w:rsid w:val="00A0063E"/>
    <w:rsid w:val="00A426C8"/>
    <w:rsid w:val="00A438AE"/>
    <w:rsid w:val="00A51195"/>
    <w:rsid w:val="00A5518F"/>
    <w:rsid w:val="00A80532"/>
    <w:rsid w:val="00AB35EA"/>
    <w:rsid w:val="00AB7D75"/>
    <w:rsid w:val="00AC4E18"/>
    <w:rsid w:val="00AF438A"/>
    <w:rsid w:val="00B20FA3"/>
    <w:rsid w:val="00B2359B"/>
    <w:rsid w:val="00B243C4"/>
    <w:rsid w:val="00B25077"/>
    <w:rsid w:val="00B2603C"/>
    <w:rsid w:val="00B33DD8"/>
    <w:rsid w:val="00B42D5D"/>
    <w:rsid w:val="00B45A3E"/>
    <w:rsid w:val="00BC1EB1"/>
    <w:rsid w:val="00BC31B8"/>
    <w:rsid w:val="00BF0873"/>
    <w:rsid w:val="00C04FC2"/>
    <w:rsid w:val="00C475A3"/>
    <w:rsid w:val="00C86E52"/>
    <w:rsid w:val="00CA22A2"/>
    <w:rsid w:val="00CB335D"/>
    <w:rsid w:val="00CB590C"/>
    <w:rsid w:val="00CC59B8"/>
    <w:rsid w:val="00CC6267"/>
    <w:rsid w:val="00CD29B8"/>
    <w:rsid w:val="00D420B4"/>
    <w:rsid w:val="00D54F08"/>
    <w:rsid w:val="00D63A71"/>
    <w:rsid w:val="00D7036E"/>
    <w:rsid w:val="00D973CA"/>
    <w:rsid w:val="00DA29CF"/>
    <w:rsid w:val="00DC3333"/>
    <w:rsid w:val="00DC3EDC"/>
    <w:rsid w:val="00E113CA"/>
    <w:rsid w:val="00E134F4"/>
    <w:rsid w:val="00E43E38"/>
    <w:rsid w:val="00E82331"/>
    <w:rsid w:val="00EA69A0"/>
    <w:rsid w:val="00EA6FA4"/>
    <w:rsid w:val="00EA7B39"/>
    <w:rsid w:val="00EB03E8"/>
    <w:rsid w:val="00EB3673"/>
    <w:rsid w:val="00EE2C15"/>
    <w:rsid w:val="00F35B79"/>
    <w:rsid w:val="00F47886"/>
    <w:rsid w:val="00F60109"/>
    <w:rsid w:val="00F639F5"/>
    <w:rsid w:val="00F6492B"/>
    <w:rsid w:val="00F80C0C"/>
    <w:rsid w:val="00F84560"/>
    <w:rsid w:val="00F928FC"/>
    <w:rsid w:val="00F969D4"/>
    <w:rsid w:val="00FB0514"/>
    <w:rsid w:val="00FD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FF7"/>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S1">
    <w:name w:val="SOS 1"/>
    <w:basedOn w:val="Normal"/>
    <w:qFormat/>
    <w:rsid w:val="00060E31"/>
    <w:pPr>
      <w:spacing w:before="240" w:after="120"/>
      <w:jc w:val="center"/>
      <w:outlineLvl w:val="1"/>
    </w:pPr>
    <w:rPr>
      <w:rFonts w:ascii="Cambria" w:hAnsi="Cambria"/>
      <w:b/>
      <w:color w:val="1F497D"/>
      <w:sz w:val="28"/>
      <w:szCs w:val="28"/>
    </w:rPr>
  </w:style>
  <w:style w:type="paragraph" w:styleId="BalloonText">
    <w:name w:val="Balloon Text"/>
    <w:basedOn w:val="Normal"/>
    <w:link w:val="BalloonTextChar"/>
    <w:uiPriority w:val="99"/>
    <w:semiHidden/>
    <w:unhideWhenUsed/>
    <w:rsid w:val="005E557F"/>
    <w:rPr>
      <w:rFonts w:ascii="Tahoma" w:hAnsi="Tahoma"/>
      <w:sz w:val="16"/>
      <w:szCs w:val="16"/>
    </w:rPr>
  </w:style>
  <w:style w:type="character" w:customStyle="1" w:styleId="BalloonTextChar">
    <w:name w:val="Balloon Text Char"/>
    <w:link w:val="BalloonText"/>
    <w:uiPriority w:val="99"/>
    <w:semiHidden/>
    <w:rsid w:val="005E557F"/>
    <w:rPr>
      <w:rFonts w:ascii="Tahoma" w:eastAsia="Times New Roman" w:hAnsi="Tahoma" w:cs="Tahoma"/>
      <w:sz w:val="16"/>
      <w:szCs w:val="16"/>
    </w:rPr>
  </w:style>
  <w:style w:type="character" w:styleId="CommentReference">
    <w:name w:val="annotation reference"/>
    <w:uiPriority w:val="99"/>
    <w:semiHidden/>
    <w:unhideWhenUsed/>
    <w:rsid w:val="00F84560"/>
    <w:rPr>
      <w:sz w:val="16"/>
      <w:szCs w:val="16"/>
    </w:rPr>
  </w:style>
  <w:style w:type="paragraph" w:styleId="CommentText">
    <w:name w:val="annotation text"/>
    <w:basedOn w:val="Normal"/>
    <w:link w:val="CommentTextChar"/>
    <w:uiPriority w:val="99"/>
    <w:semiHidden/>
    <w:unhideWhenUsed/>
    <w:rsid w:val="00F84560"/>
    <w:rPr>
      <w:sz w:val="20"/>
    </w:rPr>
  </w:style>
  <w:style w:type="character" w:customStyle="1" w:styleId="CommentTextChar">
    <w:name w:val="Comment Text Char"/>
    <w:link w:val="CommentText"/>
    <w:uiPriority w:val="99"/>
    <w:semiHidden/>
    <w:rsid w:val="00F84560"/>
    <w:rPr>
      <w:rFonts w:eastAsia="Times New Roman"/>
    </w:rPr>
  </w:style>
  <w:style w:type="paragraph" w:styleId="CommentSubject">
    <w:name w:val="annotation subject"/>
    <w:basedOn w:val="CommentText"/>
    <w:next w:val="CommentText"/>
    <w:link w:val="CommentSubjectChar"/>
    <w:uiPriority w:val="99"/>
    <w:semiHidden/>
    <w:unhideWhenUsed/>
    <w:rsid w:val="00F84560"/>
    <w:rPr>
      <w:b/>
      <w:bCs/>
    </w:rPr>
  </w:style>
  <w:style w:type="character" w:customStyle="1" w:styleId="CommentSubjectChar">
    <w:name w:val="Comment Subject Char"/>
    <w:link w:val="CommentSubject"/>
    <w:uiPriority w:val="99"/>
    <w:semiHidden/>
    <w:rsid w:val="00F84560"/>
    <w:rPr>
      <w:rFonts w:eastAsia="Times New Roman"/>
      <w:b/>
      <w:bCs/>
    </w:rPr>
  </w:style>
  <w:style w:type="paragraph" w:styleId="Revision">
    <w:name w:val="Revision"/>
    <w:hidden/>
    <w:uiPriority w:val="99"/>
    <w:semiHidden/>
    <w:rsid w:val="00EB3673"/>
    <w:rPr>
      <w:rFonts w:eastAsia="Times New Roman"/>
      <w:sz w:val="24"/>
    </w:rPr>
  </w:style>
  <w:style w:type="paragraph" w:styleId="ListParagraph">
    <w:name w:val="List Paragraph"/>
    <w:basedOn w:val="Normal"/>
    <w:uiPriority w:val="34"/>
    <w:qFormat/>
    <w:rsid w:val="004702AC"/>
    <w:pPr>
      <w:spacing w:after="200" w:line="252" w:lineRule="auto"/>
      <w:ind w:left="720"/>
      <w:contextualSpacing/>
    </w:pPr>
    <w:rPr>
      <w:rFonts w:ascii="Cambria" w:hAnsi="Cambria"/>
      <w:sz w:val="22"/>
      <w:szCs w:val="22"/>
      <w:lang w:bidi="en-US"/>
    </w:rPr>
  </w:style>
  <w:style w:type="paragraph" w:styleId="Header">
    <w:name w:val="header"/>
    <w:basedOn w:val="Normal"/>
    <w:link w:val="HeaderChar"/>
    <w:uiPriority w:val="99"/>
    <w:semiHidden/>
    <w:unhideWhenUsed/>
    <w:rsid w:val="00DA29CF"/>
    <w:pPr>
      <w:tabs>
        <w:tab w:val="center" w:pos="4680"/>
        <w:tab w:val="right" w:pos="9360"/>
      </w:tabs>
    </w:pPr>
  </w:style>
  <w:style w:type="character" w:customStyle="1" w:styleId="HeaderChar">
    <w:name w:val="Header Char"/>
    <w:basedOn w:val="DefaultParagraphFont"/>
    <w:link w:val="Header"/>
    <w:uiPriority w:val="99"/>
    <w:semiHidden/>
    <w:rsid w:val="00DA29CF"/>
    <w:rPr>
      <w:rFonts w:eastAsia="Times New Roman"/>
      <w:sz w:val="24"/>
    </w:rPr>
  </w:style>
  <w:style w:type="paragraph" w:styleId="Footer">
    <w:name w:val="footer"/>
    <w:basedOn w:val="Normal"/>
    <w:link w:val="FooterChar"/>
    <w:uiPriority w:val="99"/>
    <w:unhideWhenUsed/>
    <w:rsid w:val="00DA29CF"/>
    <w:pPr>
      <w:tabs>
        <w:tab w:val="center" w:pos="4680"/>
        <w:tab w:val="right" w:pos="9360"/>
      </w:tabs>
    </w:pPr>
  </w:style>
  <w:style w:type="character" w:customStyle="1" w:styleId="FooterChar">
    <w:name w:val="Footer Char"/>
    <w:basedOn w:val="DefaultParagraphFont"/>
    <w:link w:val="Footer"/>
    <w:uiPriority w:val="99"/>
    <w:rsid w:val="00DA29CF"/>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FF7"/>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S1">
    <w:name w:val="SOS 1"/>
    <w:basedOn w:val="Normal"/>
    <w:qFormat/>
    <w:rsid w:val="00060E31"/>
    <w:pPr>
      <w:spacing w:before="240" w:after="120"/>
      <w:jc w:val="center"/>
      <w:outlineLvl w:val="1"/>
    </w:pPr>
    <w:rPr>
      <w:rFonts w:ascii="Cambria" w:hAnsi="Cambria"/>
      <w:b/>
      <w:color w:val="1F497D"/>
      <w:sz w:val="28"/>
      <w:szCs w:val="28"/>
    </w:rPr>
  </w:style>
  <w:style w:type="paragraph" w:styleId="BalloonText">
    <w:name w:val="Balloon Text"/>
    <w:basedOn w:val="Normal"/>
    <w:link w:val="BalloonTextChar"/>
    <w:uiPriority w:val="99"/>
    <w:semiHidden/>
    <w:unhideWhenUsed/>
    <w:rsid w:val="005E557F"/>
    <w:rPr>
      <w:rFonts w:ascii="Tahoma" w:hAnsi="Tahoma"/>
      <w:sz w:val="16"/>
      <w:szCs w:val="16"/>
    </w:rPr>
  </w:style>
  <w:style w:type="character" w:customStyle="1" w:styleId="BalloonTextChar">
    <w:name w:val="Balloon Text Char"/>
    <w:link w:val="BalloonText"/>
    <w:uiPriority w:val="99"/>
    <w:semiHidden/>
    <w:rsid w:val="005E557F"/>
    <w:rPr>
      <w:rFonts w:ascii="Tahoma" w:eastAsia="Times New Roman" w:hAnsi="Tahoma" w:cs="Tahoma"/>
      <w:sz w:val="16"/>
      <w:szCs w:val="16"/>
    </w:rPr>
  </w:style>
  <w:style w:type="character" w:styleId="CommentReference">
    <w:name w:val="annotation reference"/>
    <w:uiPriority w:val="99"/>
    <w:semiHidden/>
    <w:unhideWhenUsed/>
    <w:rsid w:val="00F84560"/>
    <w:rPr>
      <w:sz w:val="16"/>
      <w:szCs w:val="16"/>
    </w:rPr>
  </w:style>
  <w:style w:type="paragraph" w:styleId="CommentText">
    <w:name w:val="annotation text"/>
    <w:basedOn w:val="Normal"/>
    <w:link w:val="CommentTextChar"/>
    <w:uiPriority w:val="99"/>
    <w:semiHidden/>
    <w:unhideWhenUsed/>
    <w:rsid w:val="00F84560"/>
    <w:rPr>
      <w:sz w:val="20"/>
    </w:rPr>
  </w:style>
  <w:style w:type="character" w:customStyle="1" w:styleId="CommentTextChar">
    <w:name w:val="Comment Text Char"/>
    <w:link w:val="CommentText"/>
    <w:uiPriority w:val="99"/>
    <w:semiHidden/>
    <w:rsid w:val="00F84560"/>
    <w:rPr>
      <w:rFonts w:eastAsia="Times New Roman"/>
    </w:rPr>
  </w:style>
  <w:style w:type="paragraph" w:styleId="CommentSubject">
    <w:name w:val="annotation subject"/>
    <w:basedOn w:val="CommentText"/>
    <w:next w:val="CommentText"/>
    <w:link w:val="CommentSubjectChar"/>
    <w:uiPriority w:val="99"/>
    <w:semiHidden/>
    <w:unhideWhenUsed/>
    <w:rsid w:val="00F84560"/>
    <w:rPr>
      <w:b/>
      <w:bCs/>
    </w:rPr>
  </w:style>
  <w:style w:type="character" w:customStyle="1" w:styleId="CommentSubjectChar">
    <w:name w:val="Comment Subject Char"/>
    <w:link w:val="CommentSubject"/>
    <w:uiPriority w:val="99"/>
    <w:semiHidden/>
    <w:rsid w:val="00F84560"/>
    <w:rPr>
      <w:rFonts w:eastAsia="Times New Roman"/>
      <w:b/>
      <w:bCs/>
    </w:rPr>
  </w:style>
  <w:style w:type="paragraph" w:styleId="Revision">
    <w:name w:val="Revision"/>
    <w:hidden/>
    <w:uiPriority w:val="99"/>
    <w:semiHidden/>
    <w:rsid w:val="00EB3673"/>
    <w:rPr>
      <w:rFonts w:eastAsia="Times New Roman"/>
      <w:sz w:val="24"/>
    </w:rPr>
  </w:style>
  <w:style w:type="paragraph" w:styleId="ListParagraph">
    <w:name w:val="List Paragraph"/>
    <w:basedOn w:val="Normal"/>
    <w:uiPriority w:val="34"/>
    <w:qFormat/>
    <w:rsid w:val="004702AC"/>
    <w:pPr>
      <w:spacing w:after="200" w:line="252" w:lineRule="auto"/>
      <w:ind w:left="720"/>
      <w:contextualSpacing/>
    </w:pPr>
    <w:rPr>
      <w:rFonts w:ascii="Cambria" w:hAnsi="Cambria"/>
      <w:sz w:val="22"/>
      <w:szCs w:val="22"/>
      <w:lang w:bidi="en-US"/>
    </w:rPr>
  </w:style>
  <w:style w:type="paragraph" w:styleId="Header">
    <w:name w:val="header"/>
    <w:basedOn w:val="Normal"/>
    <w:link w:val="HeaderChar"/>
    <w:uiPriority w:val="99"/>
    <w:semiHidden/>
    <w:unhideWhenUsed/>
    <w:rsid w:val="00DA29CF"/>
    <w:pPr>
      <w:tabs>
        <w:tab w:val="center" w:pos="4680"/>
        <w:tab w:val="right" w:pos="9360"/>
      </w:tabs>
    </w:pPr>
  </w:style>
  <w:style w:type="character" w:customStyle="1" w:styleId="HeaderChar">
    <w:name w:val="Header Char"/>
    <w:basedOn w:val="DefaultParagraphFont"/>
    <w:link w:val="Header"/>
    <w:uiPriority w:val="99"/>
    <w:semiHidden/>
    <w:rsid w:val="00DA29CF"/>
    <w:rPr>
      <w:rFonts w:eastAsia="Times New Roman"/>
      <w:sz w:val="24"/>
    </w:rPr>
  </w:style>
  <w:style w:type="paragraph" w:styleId="Footer">
    <w:name w:val="footer"/>
    <w:basedOn w:val="Normal"/>
    <w:link w:val="FooterChar"/>
    <w:uiPriority w:val="99"/>
    <w:unhideWhenUsed/>
    <w:rsid w:val="00DA29CF"/>
    <w:pPr>
      <w:tabs>
        <w:tab w:val="center" w:pos="4680"/>
        <w:tab w:val="right" w:pos="9360"/>
      </w:tabs>
    </w:pPr>
  </w:style>
  <w:style w:type="character" w:customStyle="1" w:styleId="FooterChar">
    <w:name w:val="Footer Char"/>
    <w:basedOn w:val="DefaultParagraphFont"/>
    <w:link w:val="Footer"/>
    <w:uiPriority w:val="99"/>
    <w:rsid w:val="00DA29CF"/>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4782</Words>
  <Characters>27259</Characters>
  <Application>Microsoft Office Word</Application>
  <DocSecurity>4</DocSecurity>
  <Lines>2096</Lines>
  <Paragraphs>1456</Paragraphs>
  <ScaleCrop>false</ScaleCrop>
  <HeadingPairs>
    <vt:vector size="2" baseType="variant">
      <vt:variant>
        <vt:lpstr>Title</vt:lpstr>
      </vt:variant>
      <vt:variant>
        <vt:i4>1</vt:i4>
      </vt:variant>
    </vt:vector>
  </HeadingPairs>
  <TitlesOfParts>
    <vt:vector size="1" baseType="lpstr">
      <vt:lpstr>Board of Elementary and Secondary Education, Mystic Valley Request for Review, Amendment Review Analysis, May 2013</vt:lpstr>
    </vt:vector>
  </TitlesOfParts>
  <Company>Acer</Company>
  <LinksUpToDate>false</LinksUpToDate>
  <CharactersWithSpaces>30585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Mystic Valley Request for Review, Amendment Review Analysis 1, May 2013</dc:title>
  <dc:creator>ese</dc:creator>
  <cp:lastModifiedBy>ESE</cp:lastModifiedBy>
  <cp:revision>2</cp:revision>
  <cp:lastPrinted>2013-05-10T17:43:00Z</cp:lastPrinted>
  <dcterms:created xsi:type="dcterms:W3CDTF">2013-05-16T16:33:00Z</dcterms:created>
  <dcterms:modified xsi:type="dcterms:W3CDTF">2013-05-16T16:33:00Z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tadate">
    <vt:lpwstr>May 16 2013</vt:lpwstr>
  </property>
</Properties>
</file>