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B6" w:rsidRDefault="00031CCA" w:rsidP="00B861E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31CCA">
        <w:rPr>
          <w:b/>
          <w:sz w:val="28"/>
          <w:szCs w:val="28"/>
        </w:rPr>
        <w:t xml:space="preserve">PROPOSED </w:t>
      </w:r>
    </w:p>
    <w:p w:rsidR="00B861EA" w:rsidRPr="00031CCA" w:rsidRDefault="00F261B6" w:rsidP="00B861EA">
      <w:pPr>
        <w:jc w:val="center"/>
        <w:rPr>
          <w:b/>
          <w:szCs w:val="28"/>
        </w:rPr>
      </w:pPr>
      <w:r>
        <w:rPr>
          <w:b/>
          <w:sz w:val="28"/>
          <w:szCs w:val="28"/>
        </w:rPr>
        <w:t>Massachusett</w:t>
      </w:r>
      <w:r w:rsidR="003A529E">
        <w:rPr>
          <w:b/>
          <w:sz w:val="28"/>
          <w:szCs w:val="28"/>
        </w:rPr>
        <w:t>s Virtual Academy at Greenfield</w:t>
      </w:r>
      <w:r>
        <w:rPr>
          <w:b/>
          <w:sz w:val="28"/>
          <w:szCs w:val="28"/>
        </w:rPr>
        <w:t xml:space="preserve"> </w:t>
      </w:r>
      <w:r w:rsidR="005975D1" w:rsidRPr="00F261B6">
        <w:rPr>
          <w:b/>
          <w:sz w:val="28"/>
          <w:szCs w:val="28"/>
        </w:rPr>
        <w:t>Commonwealth</w:t>
      </w:r>
      <w:r w:rsidR="00031CCA" w:rsidRPr="00F261B6">
        <w:rPr>
          <w:b/>
          <w:sz w:val="28"/>
          <w:szCs w:val="28"/>
        </w:rPr>
        <w:t xml:space="preserve"> </w:t>
      </w:r>
      <w:r w:rsidR="005975D1" w:rsidRPr="00F261B6">
        <w:rPr>
          <w:b/>
          <w:sz w:val="28"/>
          <w:szCs w:val="28"/>
        </w:rPr>
        <w:t>Virtual School</w:t>
      </w:r>
    </w:p>
    <w:p w:rsidR="00031CCA" w:rsidRPr="00031CCA" w:rsidRDefault="00031CCA" w:rsidP="00B861EA">
      <w:pPr>
        <w:jc w:val="center"/>
        <w:rPr>
          <w:b/>
          <w:sz w:val="12"/>
        </w:rPr>
      </w:pPr>
    </w:p>
    <w:p w:rsidR="00B861EA" w:rsidRDefault="00B861EA" w:rsidP="00B861EA">
      <w:pPr>
        <w:jc w:val="center"/>
        <w:rPr>
          <w:sz w:val="16"/>
          <w:szCs w:val="16"/>
        </w:rPr>
      </w:pPr>
      <w:r>
        <w:rPr>
          <w:b/>
        </w:rPr>
        <w:t>EXECUTIVE SUMMARY</w:t>
      </w:r>
      <w:r w:rsidR="00C45FF5">
        <w:rPr>
          <w:b/>
        </w:rPr>
        <w:t xml:space="preserve"> </w:t>
      </w:r>
      <w:r w:rsidR="00EF5813">
        <w:rPr>
          <w:sz w:val="16"/>
          <w:szCs w:val="16"/>
        </w:rPr>
        <w:t>4.24.2013</w:t>
      </w:r>
    </w:p>
    <w:p w:rsidR="00031CCA" w:rsidRPr="00031CCA" w:rsidRDefault="00031CCA" w:rsidP="00B861EA">
      <w:pPr>
        <w:jc w:val="center"/>
        <w:rPr>
          <w:sz w:val="12"/>
          <w:szCs w:val="16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9000"/>
      </w:tblGrid>
      <w:tr w:rsidR="00B861EA" w:rsidRPr="00031CCA" w:rsidTr="00031CCA">
        <w:trPr>
          <w:jc w:val="center"/>
        </w:trPr>
        <w:tc>
          <w:tcPr>
            <w:tcW w:w="180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861EA" w:rsidRPr="00031CCA" w:rsidRDefault="005975D1" w:rsidP="00744C6B">
            <w:pPr>
              <w:jc w:val="center"/>
              <w:rPr>
                <w:b/>
                <w:sz w:val="22"/>
              </w:rPr>
            </w:pPr>
            <w:r w:rsidRPr="00031CCA">
              <w:rPr>
                <w:b/>
                <w:sz w:val="22"/>
              </w:rPr>
              <w:t>Will Convert</w:t>
            </w:r>
          </w:p>
        </w:tc>
        <w:tc>
          <w:tcPr>
            <w:tcW w:w="900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861EA" w:rsidRPr="00031CCA" w:rsidRDefault="005975D1" w:rsidP="00B861EA">
            <w:pPr>
              <w:rPr>
                <w:sz w:val="22"/>
              </w:rPr>
            </w:pPr>
            <w:r w:rsidRPr="00031CCA">
              <w:rPr>
                <w:sz w:val="22"/>
              </w:rPr>
              <w:t>July 1, 2013</w:t>
            </w:r>
          </w:p>
        </w:tc>
      </w:tr>
      <w:tr w:rsidR="00EA2898" w:rsidRPr="00031CCA" w:rsidTr="00031CCA">
        <w:trPr>
          <w:jc w:val="center"/>
        </w:trPr>
        <w:tc>
          <w:tcPr>
            <w:tcW w:w="180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A2898" w:rsidRPr="00031CCA" w:rsidRDefault="00EF5813" w:rsidP="00744C6B">
            <w:pPr>
              <w:jc w:val="center"/>
              <w:rPr>
                <w:b/>
                <w:sz w:val="22"/>
              </w:rPr>
            </w:pPr>
            <w:r w:rsidRPr="00031CCA">
              <w:rPr>
                <w:b/>
                <w:sz w:val="22"/>
              </w:rPr>
              <w:t xml:space="preserve">Founder </w:t>
            </w:r>
            <w:r w:rsidR="00EA2898" w:rsidRPr="00031CCA">
              <w:rPr>
                <w:b/>
                <w:sz w:val="22"/>
              </w:rPr>
              <w:t>Entit</w:t>
            </w:r>
            <w:r w:rsidRPr="00031CCA">
              <w:rPr>
                <w:b/>
                <w:sz w:val="22"/>
              </w:rPr>
              <w:t>y</w:t>
            </w:r>
          </w:p>
        </w:tc>
        <w:tc>
          <w:tcPr>
            <w:tcW w:w="900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A2898" w:rsidRPr="00031CCA" w:rsidRDefault="00EF5813" w:rsidP="005975D1">
            <w:pPr>
              <w:rPr>
                <w:sz w:val="22"/>
              </w:rPr>
            </w:pPr>
            <w:r w:rsidRPr="00031CCA">
              <w:rPr>
                <w:sz w:val="22"/>
              </w:rPr>
              <w:t>Greenfield School Committee</w:t>
            </w:r>
          </w:p>
        </w:tc>
      </w:tr>
      <w:tr w:rsidR="00EA2898" w:rsidRPr="00031CCA" w:rsidTr="00031CCA">
        <w:trPr>
          <w:jc w:val="center"/>
        </w:trPr>
        <w:tc>
          <w:tcPr>
            <w:tcW w:w="180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A2898" w:rsidRPr="00031CCA" w:rsidRDefault="00EA2898" w:rsidP="00744C6B">
            <w:pPr>
              <w:jc w:val="center"/>
              <w:rPr>
                <w:b/>
                <w:sz w:val="22"/>
              </w:rPr>
            </w:pPr>
            <w:r w:rsidRPr="00031CCA">
              <w:rPr>
                <w:b/>
                <w:sz w:val="22"/>
              </w:rPr>
              <w:t>Governance</w:t>
            </w:r>
          </w:p>
        </w:tc>
        <w:tc>
          <w:tcPr>
            <w:tcW w:w="900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A2898" w:rsidRPr="00031CCA" w:rsidRDefault="00EF5813" w:rsidP="005975D1">
            <w:pPr>
              <w:rPr>
                <w:sz w:val="22"/>
              </w:rPr>
            </w:pPr>
            <w:r w:rsidRPr="00031CCA">
              <w:rPr>
                <w:sz w:val="22"/>
              </w:rPr>
              <w:t xml:space="preserve">Up to 7 member Board of Trustees; </w:t>
            </w:r>
            <w:r w:rsidR="00EA2898" w:rsidRPr="00031CCA">
              <w:rPr>
                <w:sz w:val="22"/>
              </w:rPr>
              <w:t xml:space="preserve"> first 3 or 5 appointed by Greenfield School Committee</w:t>
            </w:r>
            <w:r w:rsidRPr="00031CCA">
              <w:rPr>
                <w:sz w:val="22"/>
              </w:rPr>
              <w:t>; majority from Greenfield, includes at least 1 parent</w:t>
            </w:r>
          </w:p>
        </w:tc>
      </w:tr>
      <w:tr w:rsidR="00EF5813" w:rsidRPr="00031CCA" w:rsidTr="00031CCA">
        <w:trPr>
          <w:jc w:val="center"/>
        </w:trPr>
        <w:tc>
          <w:tcPr>
            <w:tcW w:w="180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F5813" w:rsidRPr="00031CCA" w:rsidRDefault="00EF5813" w:rsidP="00744C6B">
            <w:pPr>
              <w:jc w:val="center"/>
              <w:rPr>
                <w:b/>
                <w:sz w:val="22"/>
              </w:rPr>
            </w:pPr>
            <w:r w:rsidRPr="00031CCA">
              <w:rPr>
                <w:b/>
                <w:sz w:val="22"/>
              </w:rPr>
              <w:t>Partners</w:t>
            </w:r>
          </w:p>
        </w:tc>
        <w:tc>
          <w:tcPr>
            <w:tcW w:w="900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F5813" w:rsidRPr="00031CCA" w:rsidRDefault="00EF5813" w:rsidP="005975D1">
            <w:pPr>
              <w:rPr>
                <w:sz w:val="22"/>
              </w:rPr>
            </w:pPr>
            <w:r w:rsidRPr="00031CCA">
              <w:rPr>
                <w:sz w:val="22"/>
              </w:rPr>
              <w:t xml:space="preserve">Greenfield School District; City of Greenfield, YMCA </w:t>
            </w:r>
          </w:p>
        </w:tc>
      </w:tr>
      <w:tr w:rsidR="00EF5813" w:rsidRPr="00031CCA" w:rsidTr="00031CCA">
        <w:trPr>
          <w:jc w:val="center"/>
        </w:trPr>
        <w:tc>
          <w:tcPr>
            <w:tcW w:w="180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F5813" w:rsidRPr="00031CCA" w:rsidRDefault="00EF5813" w:rsidP="00744C6B">
            <w:pPr>
              <w:jc w:val="center"/>
              <w:rPr>
                <w:b/>
                <w:sz w:val="22"/>
              </w:rPr>
            </w:pPr>
            <w:r w:rsidRPr="00031CCA">
              <w:rPr>
                <w:b/>
                <w:sz w:val="22"/>
              </w:rPr>
              <w:t>Curriculum</w:t>
            </w:r>
          </w:p>
        </w:tc>
        <w:tc>
          <w:tcPr>
            <w:tcW w:w="900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F5813" w:rsidRPr="00031CCA" w:rsidRDefault="00EF5813" w:rsidP="005975D1">
            <w:pPr>
              <w:rPr>
                <w:sz w:val="22"/>
              </w:rPr>
            </w:pPr>
            <w:r w:rsidRPr="00031CCA">
              <w:rPr>
                <w:sz w:val="22"/>
              </w:rPr>
              <w:t>K12, Inc. is the online course, materials, and online services provider</w:t>
            </w:r>
          </w:p>
        </w:tc>
      </w:tr>
      <w:tr w:rsidR="00B861EA" w:rsidRPr="00031CCA" w:rsidTr="00031CCA">
        <w:trPr>
          <w:jc w:val="center"/>
        </w:trPr>
        <w:tc>
          <w:tcPr>
            <w:tcW w:w="180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861EA" w:rsidRPr="00031CCA" w:rsidRDefault="00B861EA" w:rsidP="00744C6B">
            <w:pPr>
              <w:jc w:val="center"/>
              <w:rPr>
                <w:b/>
                <w:sz w:val="22"/>
              </w:rPr>
            </w:pPr>
            <w:r w:rsidRPr="00031CCA">
              <w:rPr>
                <w:b/>
                <w:sz w:val="22"/>
              </w:rPr>
              <w:t>Grades</w:t>
            </w:r>
          </w:p>
        </w:tc>
        <w:tc>
          <w:tcPr>
            <w:tcW w:w="900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861EA" w:rsidRPr="00031CCA" w:rsidRDefault="00CA4652" w:rsidP="005975D1">
            <w:pPr>
              <w:rPr>
                <w:sz w:val="22"/>
              </w:rPr>
            </w:pPr>
            <w:r w:rsidRPr="00031CCA">
              <w:rPr>
                <w:sz w:val="22"/>
              </w:rPr>
              <w:t xml:space="preserve">Opened </w:t>
            </w:r>
            <w:r w:rsidR="00CB6C74" w:rsidRPr="00031CCA">
              <w:rPr>
                <w:sz w:val="22"/>
              </w:rPr>
              <w:t>grades K-8  in</w:t>
            </w:r>
            <w:r w:rsidR="000B23F2" w:rsidRPr="00031CCA">
              <w:rPr>
                <w:sz w:val="22"/>
              </w:rPr>
              <w:t xml:space="preserve"> 2010-2011</w:t>
            </w:r>
            <w:r w:rsidR="005975D1" w:rsidRPr="00031CCA">
              <w:rPr>
                <w:sz w:val="22"/>
              </w:rPr>
              <w:t xml:space="preserve"> under</w:t>
            </w:r>
            <w:r w:rsidRPr="00031CCA">
              <w:rPr>
                <w:sz w:val="22"/>
              </w:rPr>
              <w:t xml:space="preserve"> Innovation School plan;</w:t>
            </w:r>
            <w:r w:rsidR="005975D1" w:rsidRPr="00031CCA">
              <w:rPr>
                <w:sz w:val="22"/>
              </w:rPr>
              <w:t xml:space="preserve"> </w:t>
            </w:r>
            <w:r w:rsidRPr="00031CCA">
              <w:rPr>
                <w:sz w:val="22"/>
              </w:rPr>
              <w:t>serving grades K-</w:t>
            </w:r>
            <w:r w:rsidR="005975D1" w:rsidRPr="00031CCA">
              <w:rPr>
                <w:sz w:val="22"/>
              </w:rPr>
              <w:t>10</w:t>
            </w:r>
            <w:r w:rsidRPr="00031CCA">
              <w:rPr>
                <w:sz w:val="22"/>
              </w:rPr>
              <w:t xml:space="preserve"> in 201</w:t>
            </w:r>
            <w:r w:rsidR="005975D1" w:rsidRPr="00031CCA">
              <w:rPr>
                <w:sz w:val="22"/>
              </w:rPr>
              <w:t>2-2013</w:t>
            </w:r>
            <w:r w:rsidRPr="00031CCA">
              <w:rPr>
                <w:sz w:val="22"/>
              </w:rPr>
              <w:t xml:space="preserve"> + K-12 from Greenfield</w:t>
            </w:r>
            <w:r w:rsidR="005975D1" w:rsidRPr="00031CCA">
              <w:rPr>
                <w:sz w:val="22"/>
              </w:rPr>
              <w:t xml:space="preserve"> in FY13; will convert and serve students in grades K-12 in FY14</w:t>
            </w:r>
          </w:p>
        </w:tc>
      </w:tr>
      <w:tr w:rsidR="00B861EA" w:rsidRPr="00031CCA" w:rsidTr="00031CCA">
        <w:trPr>
          <w:jc w:val="center"/>
        </w:trPr>
        <w:tc>
          <w:tcPr>
            <w:tcW w:w="180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861EA" w:rsidRPr="00031CCA" w:rsidRDefault="000B23F2" w:rsidP="00744C6B">
            <w:pPr>
              <w:jc w:val="center"/>
              <w:rPr>
                <w:b/>
                <w:sz w:val="22"/>
                <w:szCs w:val="22"/>
              </w:rPr>
            </w:pPr>
            <w:r w:rsidRPr="00031CCA">
              <w:rPr>
                <w:b/>
                <w:sz w:val="22"/>
                <w:szCs w:val="22"/>
              </w:rPr>
              <w:t>Criteria for Enrollment</w:t>
            </w:r>
          </w:p>
        </w:tc>
        <w:tc>
          <w:tcPr>
            <w:tcW w:w="900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744AB" w:rsidRPr="00031CCA" w:rsidRDefault="00C45FF5" w:rsidP="00B861EA">
            <w:pPr>
              <w:rPr>
                <w:sz w:val="22"/>
              </w:rPr>
            </w:pPr>
            <w:r w:rsidRPr="00031CCA">
              <w:rPr>
                <w:sz w:val="22"/>
              </w:rPr>
              <w:t>Open to all s</w:t>
            </w:r>
            <w:r w:rsidR="00E744AB" w:rsidRPr="00031CCA">
              <w:rPr>
                <w:sz w:val="22"/>
              </w:rPr>
              <w:t>tudents who are</w:t>
            </w:r>
            <w:r w:rsidRPr="00031CCA">
              <w:rPr>
                <w:sz w:val="22"/>
              </w:rPr>
              <w:t xml:space="preserve"> considered </w:t>
            </w:r>
            <w:r w:rsidR="00E744AB" w:rsidRPr="00031CCA">
              <w:rPr>
                <w:sz w:val="22"/>
              </w:rPr>
              <w:t xml:space="preserve">able to successfully participate in a virtual school </w:t>
            </w:r>
            <w:r w:rsidR="001428F0" w:rsidRPr="00031CCA">
              <w:rPr>
                <w:sz w:val="22"/>
              </w:rPr>
              <w:t>environment</w:t>
            </w:r>
            <w:r w:rsidRPr="00031CCA">
              <w:rPr>
                <w:sz w:val="22"/>
              </w:rPr>
              <w:t xml:space="preserve">. Preference is given to resident students and: </w:t>
            </w:r>
          </w:p>
          <w:p w:rsidR="0020387B" w:rsidRPr="00031CCA" w:rsidRDefault="00E744AB" w:rsidP="00031CCA">
            <w:pPr>
              <w:ind w:left="245" w:hanging="245"/>
              <w:rPr>
                <w:sz w:val="22"/>
              </w:rPr>
            </w:pPr>
            <w:r w:rsidRPr="00031CCA">
              <w:rPr>
                <w:sz w:val="22"/>
              </w:rPr>
              <w:t xml:space="preserve">1. </w:t>
            </w:r>
            <w:r w:rsidR="00B861EA" w:rsidRPr="00031CCA">
              <w:rPr>
                <w:sz w:val="22"/>
              </w:rPr>
              <w:t>Students with medical conditions that interfere with attendance,</w:t>
            </w:r>
            <w:r w:rsidR="0020387B" w:rsidRPr="00031CCA">
              <w:rPr>
                <w:sz w:val="22"/>
              </w:rPr>
              <w:t xml:space="preserve"> e.g. cancer, </w:t>
            </w:r>
            <w:proofErr w:type="spellStart"/>
            <w:r w:rsidR="0020387B" w:rsidRPr="00031CCA">
              <w:rPr>
                <w:sz w:val="22"/>
              </w:rPr>
              <w:t>Crohn’s</w:t>
            </w:r>
            <w:proofErr w:type="spellEnd"/>
            <w:r w:rsidR="006B0FB1" w:rsidRPr="00031CCA">
              <w:rPr>
                <w:sz w:val="22"/>
              </w:rPr>
              <w:t xml:space="preserve"> disease</w:t>
            </w:r>
            <w:r w:rsidR="0020387B" w:rsidRPr="00031CCA">
              <w:rPr>
                <w:sz w:val="22"/>
              </w:rPr>
              <w:t xml:space="preserve">, immune </w:t>
            </w:r>
          </w:p>
          <w:p w:rsidR="00B861EA" w:rsidRPr="00031CCA" w:rsidRDefault="0020387B" w:rsidP="00031CCA">
            <w:pPr>
              <w:ind w:left="245" w:hanging="245"/>
              <w:rPr>
                <w:sz w:val="22"/>
              </w:rPr>
            </w:pPr>
            <w:r w:rsidRPr="00031CCA">
              <w:rPr>
                <w:sz w:val="22"/>
              </w:rPr>
              <w:t xml:space="preserve">    </w:t>
            </w:r>
            <w:r w:rsidR="00106822" w:rsidRPr="00031CCA">
              <w:rPr>
                <w:sz w:val="22"/>
              </w:rPr>
              <w:t xml:space="preserve">and anxiety </w:t>
            </w:r>
            <w:r w:rsidRPr="00031CCA">
              <w:rPr>
                <w:sz w:val="22"/>
              </w:rPr>
              <w:t>disorders,</w:t>
            </w:r>
            <w:r w:rsidR="006B0FB1" w:rsidRPr="00031CCA">
              <w:rPr>
                <w:sz w:val="22"/>
              </w:rPr>
              <w:t xml:space="preserve"> </w:t>
            </w:r>
          </w:p>
          <w:p w:rsidR="00B861EA" w:rsidRPr="00031CCA" w:rsidRDefault="00E744AB" w:rsidP="00031CCA">
            <w:pPr>
              <w:ind w:left="245" w:hanging="245"/>
              <w:rPr>
                <w:sz w:val="22"/>
              </w:rPr>
            </w:pPr>
            <w:r w:rsidRPr="00031CCA">
              <w:rPr>
                <w:sz w:val="22"/>
              </w:rPr>
              <w:t xml:space="preserve">2. </w:t>
            </w:r>
            <w:r w:rsidR="00B861EA" w:rsidRPr="00031CCA">
              <w:rPr>
                <w:sz w:val="22"/>
              </w:rPr>
              <w:t>Students out of school due to pregnancy or parenting</w:t>
            </w:r>
            <w:r w:rsidR="000B23F2" w:rsidRPr="00031CCA">
              <w:rPr>
                <w:sz w:val="22"/>
              </w:rPr>
              <w:t>,</w:t>
            </w:r>
          </w:p>
          <w:p w:rsidR="000B23F2" w:rsidRPr="00031CCA" w:rsidRDefault="000B23F2" w:rsidP="00031CCA">
            <w:pPr>
              <w:ind w:left="245" w:hanging="245"/>
              <w:rPr>
                <w:sz w:val="22"/>
              </w:rPr>
            </w:pPr>
            <w:r w:rsidRPr="00031CCA">
              <w:rPr>
                <w:sz w:val="22"/>
              </w:rPr>
              <w:t xml:space="preserve">3. </w:t>
            </w:r>
            <w:r w:rsidR="00E744AB" w:rsidRPr="00031CCA">
              <w:rPr>
                <w:sz w:val="22"/>
              </w:rPr>
              <w:t xml:space="preserve"> </w:t>
            </w:r>
            <w:r w:rsidRPr="00031CCA">
              <w:rPr>
                <w:sz w:val="22"/>
              </w:rPr>
              <w:t>Students with developmental, social-emotional, pedagogical, or unique individual learning needs</w:t>
            </w:r>
          </w:p>
          <w:p w:rsidR="000B23F2" w:rsidRPr="00031CCA" w:rsidRDefault="000B23F2" w:rsidP="00031CCA">
            <w:pPr>
              <w:ind w:left="245" w:hanging="245"/>
              <w:rPr>
                <w:sz w:val="22"/>
              </w:rPr>
            </w:pPr>
            <w:r w:rsidRPr="00031CCA">
              <w:rPr>
                <w:sz w:val="22"/>
              </w:rPr>
              <w:t xml:space="preserve">     well-served by the virtual school medium</w:t>
            </w:r>
            <w:r w:rsidR="001428F0" w:rsidRPr="00031CCA">
              <w:rPr>
                <w:sz w:val="22"/>
              </w:rPr>
              <w:t>,</w:t>
            </w:r>
          </w:p>
          <w:p w:rsidR="00C45FF5" w:rsidRPr="00031CCA" w:rsidRDefault="000B23F2" w:rsidP="00031CCA">
            <w:pPr>
              <w:ind w:left="245" w:hanging="245"/>
              <w:rPr>
                <w:sz w:val="22"/>
              </w:rPr>
            </w:pPr>
            <w:r w:rsidRPr="00031CCA">
              <w:rPr>
                <w:sz w:val="22"/>
              </w:rPr>
              <w:t>4. S</w:t>
            </w:r>
            <w:r w:rsidR="00C45FF5" w:rsidRPr="00031CCA">
              <w:rPr>
                <w:sz w:val="22"/>
              </w:rPr>
              <w:t>tudents who feel bullied or who are out of school due to</w:t>
            </w:r>
            <w:r w:rsidRPr="00031CCA">
              <w:rPr>
                <w:sz w:val="22"/>
              </w:rPr>
              <w:t xml:space="preserve"> other</w:t>
            </w:r>
            <w:r w:rsidR="00C45FF5" w:rsidRPr="00031CCA">
              <w:rPr>
                <w:sz w:val="22"/>
              </w:rPr>
              <w:t xml:space="preserve"> safety concerns, </w:t>
            </w:r>
          </w:p>
          <w:p w:rsidR="000B23F2" w:rsidRPr="00031CCA" w:rsidRDefault="001428F0" w:rsidP="00031CCA">
            <w:pPr>
              <w:ind w:left="245" w:hanging="245"/>
              <w:rPr>
                <w:sz w:val="22"/>
              </w:rPr>
            </w:pPr>
            <w:r w:rsidRPr="00031CCA">
              <w:rPr>
                <w:sz w:val="22"/>
              </w:rPr>
              <w:t>5.</w:t>
            </w:r>
            <w:r w:rsidR="000B23F2" w:rsidRPr="00031CCA">
              <w:rPr>
                <w:sz w:val="22"/>
              </w:rPr>
              <w:t xml:space="preserve"> Students who seek an advanced course program not available in their assigned school</w:t>
            </w:r>
            <w:r w:rsidRPr="00031CCA">
              <w:rPr>
                <w:sz w:val="22"/>
              </w:rPr>
              <w:t>,</w:t>
            </w:r>
          </w:p>
          <w:p w:rsidR="007E3144" w:rsidRPr="00031CCA" w:rsidRDefault="001428F0" w:rsidP="00031CCA">
            <w:pPr>
              <w:ind w:left="245" w:hanging="245"/>
              <w:rPr>
                <w:sz w:val="22"/>
              </w:rPr>
            </w:pPr>
            <w:r w:rsidRPr="00031CCA">
              <w:rPr>
                <w:sz w:val="22"/>
              </w:rPr>
              <w:t>6</w:t>
            </w:r>
            <w:r w:rsidR="000B23F2" w:rsidRPr="00031CCA">
              <w:rPr>
                <w:sz w:val="22"/>
              </w:rPr>
              <w:t xml:space="preserve">. </w:t>
            </w:r>
            <w:r w:rsidR="007E3144" w:rsidRPr="00031CCA">
              <w:rPr>
                <w:sz w:val="22"/>
              </w:rPr>
              <w:t xml:space="preserve">Students who </w:t>
            </w:r>
            <w:r w:rsidRPr="00031CCA">
              <w:rPr>
                <w:sz w:val="22"/>
              </w:rPr>
              <w:t xml:space="preserve">have to </w:t>
            </w:r>
            <w:r w:rsidR="007E3144" w:rsidRPr="00031CCA">
              <w:rPr>
                <w:sz w:val="22"/>
              </w:rPr>
              <w:t xml:space="preserve">work </w:t>
            </w:r>
            <w:r w:rsidRPr="00031CCA">
              <w:rPr>
                <w:sz w:val="22"/>
              </w:rPr>
              <w:t xml:space="preserve">during the day </w:t>
            </w:r>
            <w:r w:rsidR="007E3144" w:rsidRPr="00031CCA">
              <w:rPr>
                <w:sz w:val="22"/>
              </w:rPr>
              <w:t>to help support their families</w:t>
            </w:r>
            <w:r w:rsidRPr="00031CCA">
              <w:rPr>
                <w:sz w:val="22"/>
              </w:rPr>
              <w:t>,</w:t>
            </w:r>
          </w:p>
          <w:p w:rsidR="00B861EA" w:rsidRPr="00031CCA" w:rsidRDefault="001428F0" w:rsidP="00031CCA">
            <w:pPr>
              <w:ind w:left="245" w:hanging="245"/>
              <w:rPr>
                <w:sz w:val="22"/>
              </w:rPr>
            </w:pPr>
            <w:r w:rsidRPr="00031CCA">
              <w:rPr>
                <w:sz w:val="22"/>
              </w:rPr>
              <w:t>7. Students in training for competitive arts or sports whose days are used for training and practice,</w:t>
            </w:r>
          </w:p>
          <w:p w:rsidR="007C0036" w:rsidRPr="00031CCA" w:rsidRDefault="005975D1" w:rsidP="00031CCA">
            <w:pPr>
              <w:ind w:left="245" w:hanging="245"/>
              <w:rPr>
                <w:sz w:val="22"/>
              </w:rPr>
            </w:pPr>
            <w:r w:rsidRPr="00031CCA">
              <w:rPr>
                <w:sz w:val="22"/>
              </w:rPr>
              <w:t>8</w:t>
            </w:r>
            <w:r w:rsidR="001428F0" w:rsidRPr="00031CCA">
              <w:rPr>
                <w:sz w:val="22"/>
              </w:rPr>
              <w:t>. Other reasons of a compelling nature, not identified above</w:t>
            </w:r>
            <w:r w:rsidRPr="00031CCA">
              <w:rPr>
                <w:sz w:val="22"/>
              </w:rPr>
              <w:t>, e.g. students in institutional setting</w:t>
            </w:r>
            <w:r w:rsidR="007C0036" w:rsidRPr="00031CCA">
              <w:rPr>
                <w:sz w:val="22"/>
              </w:rPr>
              <w:t>.</w:t>
            </w:r>
          </w:p>
        </w:tc>
      </w:tr>
      <w:tr w:rsidR="00B861EA" w:rsidRPr="00031CCA" w:rsidTr="00031CCA">
        <w:trPr>
          <w:jc w:val="center"/>
        </w:trPr>
        <w:tc>
          <w:tcPr>
            <w:tcW w:w="180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861EA" w:rsidRPr="00031CCA" w:rsidRDefault="009B288D" w:rsidP="00744C6B">
            <w:pPr>
              <w:jc w:val="center"/>
              <w:rPr>
                <w:b/>
                <w:sz w:val="22"/>
                <w:szCs w:val="22"/>
              </w:rPr>
            </w:pPr>
            <w:r w:rsidRPr="00031CCA">
              <w:rPr>
                <w:b/>
                <w:sz w:val="22"/>
                <w:szCs w:val="22"/>
              </w:rPr>
              <w:t>Cost</w:t>
            </w:r>
          </w:p>
        </w:tc>
        <w:tc>
          <w:tcPr>
            <w:tcW w:w="900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861EA" w:rsidRPr="00031CCA" w:rsidRDefault="005975D1" w:rsidP="005975D1">
            <w:pPr>
              <w:rPr>
                <w:sz w:val="22"/>
              </w:rPr>
            </w:pPr>
            <w:r w:rsidRPr="00031CCA">
              <w:rPr>
                <w:sz w:val="22"/>
              </w:rPr>
              <w:t>The proposed tuition range is $7,655 - $8,518, +</w:t>
            </w:r>
            <w:r w:rsidR="00223F5A" w:rsidRPr="00031CCA">
              <w:rPr>
                <w:sz w:val="22"/>
              </w:rPr>
              <w:t xml:space="preserve"> special education costs</w:t>
            </w:r>
            <w:r w:rsidRPr="00031CCA">
              <w:rPr>
                <w:sz w:val="22"/>
              </w:rPr>
              <w:t xml:space="preserve"> as with the choice model and whatever funding is decided for ELL and food services. Voted tuition in FY10 was </w:t>
            </w:r>
            <w:r w:rsidR="00FF6846" w:rsidRPr="00031CCA">
              <w:rPr>
                <w:sz w:val="22"/>
              </w:rPr>
              <w:t>$6,800</w:t>
            </w:r>
            <w:r w:rsidR="00223F5A" w:rsidRPr="00031CCA">
              <w:rPr>
                <w:sz w:val="22"/>
              </w:rPr>
              <w:t xml:space="preserve">. </w:t>
            </w:r>
            <w:r w:rsidR="00CA4652" w:rsidRPr="00031CCA">
              <w:rPr>
                <w:sz w:val="22"/>
              </w:rPr>
              <w:t xml:space="preserve"> </w:t>
            </w:r>
          </w:p>
        </w:tc>
      </w:tr>
      <w:tr w:rsidR="00B861EA" w:rsidRPr="00031CCA" w:rsidTr="00031CCA">
        <w:trPr>
          <w:jc w:val="center"/>
        </w:trPr>
        <w:tc>
          <w:tcPr>
            <w:tcW w:w="180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861EA" w:rsidRPr="00031CCA" w:rsidRDefault="009B288D" w:rsidP="00744C6B">
            <w:pPr>
              <w:jc w:val="center"/>
              <w:rPr>
                <w:b/>
                <w:sz w:val="22"/>
                <w:szCs w:val="22"/>
              </w:rPr>
            </w:pPr>
            <w:r w:rsidRPr="00031CCA">
              <w:rPr>
                <w:b/>
                <w:sz w:val="22"/>
                <w:szCs w:val="22"/>
              </w:rPr>
              <w:t>Type of School</w:t>
            </w:r>
          </w:p>
        </w:tc>
        <w:tc>
          <w:tcPr>
            <w:tcW w:w="900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861EA" w:rsidRPr="00031CCA" w:rsidRDefault="007C0036" w:rsidP="003A529E">
            <w:pPr>
              <w:rPr>
                <w:sz w:val="22"/>
              </w:rPr>
            </w:pPr>
            <w:r w:rsidRPr="00031CCA">
              <w:rPr>
                <w:sz w:val="22"/>
              </w:rPr>
              <w:t>This</w:t>
            </w:r>
            <w:r w:rsidR="009B288D" w:rsidRPr="00031CCA">
              <w:rPr>
                <w:sz w:val="22"/>
              </w:rPr>
              <w:t xml:space="preserve"> </w:t>
            </w:r>
            <w:r w:rsidR="005975D1" w:rsidRPr="00031CCA">
              <w:rPr>
                <w:sz w:val="22"/>
              </w:rPr>
              <w:t xml:space="preserve">virtual </w:t>
            </w:r>
            <w:r w:rsidRPr="00031CCA">
              <w:rPr>
                <w:sz w:val="22"/>
              </w:rPr>
              <w:t xml:space="preserve">school is a </w:t>
            </w:r>
            <w:r w:rsidR="005975D1" w:rsidRPr="00031CCA">
              <w:rPr>
                <w:sz w:val="22"/>
              </w:rPr>
              <w:t xml:space="preserve">conversion of a </w:t>
            </w:r>
            <w:r w:rsidR="003A529E">
              <w:rPr>
                <w:sz w:val="22"/>
              </w:rPr>
              <w:t>virtual</w:t>
            </w:r>
            <w:r w:rsidR="009B288D" w:rsidRPr="00031CCA">
              <w:rPr>
                <w:sz w:val="22"/>
              </w:rPr>
              <w:t xml:space="preserve"> </w:t>
            </w:r>
            <w:r w:rsidR="005975D1" w:rsidRPr="00031CCA">
              <w:rPr>
                <w:sz w:val="22"/>
              </w:rPr>
              <w:t xml:space="preserve">innovation </w:t>
            </w:r>
            <w:r w:rsidR="009B288D" w:rsidRPr="00031CCA">
              <w:rPr>
                <w:sz w:val="22"/>
              </w:rPr>
              <w:t xml:space="preserve">school </w:t>
            </w:r>
            <w:r w:rsidR="003A529E">
              <w:rPr>
                <w:sz w:val="22"/>
              </w:rPr>
              <w:t>in</w:t>
            </w:r>
            <w:r w:rsidR="005975D1" w:rsidRPr="00031CCA">
              <w:rPr>
                <w:sz w:val="22"/>
              </w:rPr>
              <w:t xml:space="preserve"> the Greenfield School District. It will convert to </w:t>
            </w:r>
            <w:r w:rsidR="005975D1" w:rsidRPr="003A529E">
              <w:rPr>
                <w:sz w:val="22"/>
              </w:rPr>
              <w:t xml:space="preserve">Commonwealth Virtual School status under </w:t>
            </w:r>
            <w:r w:rsidR="00106822" w:rsidRPr="003A529E">
              <w:rPr>
                <w:sz w:val="22"/>
              </w:rPr>
              <w:t>statute</w:t>
            </w:r>
            <w:r w:rsidR="005975D1" w:rsidRPr="003A529E">
              <w:rPr>
                <w:sz w:val="22"/>
              </w:rPr>
              <w:t>.</w:t>
            </w:r>
            <w:r w:rsidR="005975D1" w:rsidRPr="00031CCA">
              <w:rPr>
                <w:sz w:val="22"/>
              </w:rPr>
              <w:t xml:space="preserve"> </w:t>
            </w:r>
          </w:p>
        </w:tc>
      </w:tr>
      <w:tr w:rsidR="00B861EA" w:rsidRPr="00031CCA" w:rsidTr="00031CCA">
        <w:trPr>
          <w:jc w:val="center"/>
        </w:trPr>
        <w:tc>
          <w:tcPr>
            <w:tcW w:w="180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861EA" w:rsidRPr="00031CCA" w:rsidRDefault="009B288D" w:rsidP="00744C6B">
            <w:pPr>
              <w:jc w:val="center"/>
              <w:rPr>
                <w:b/>
                <w:sz w:val="22"/>
              </w:rPr>
            </w:pPr>
            <w:r w:rsidRPr="00031CCA">
              <w:rPr>
                <w:b/>
                <w:sz w:val="22"/>
              </w:rPr>
              <w:t>Program</w:t>
            </w:r>
          </w:p>
        </w:tc>
        <w:tc>
          <w:tcPr>
            <w:tcW w:w="900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861EA" w:rsidRPr="00031CCA" w:rsidRDefault="005975D1" w:rsidP="00EA2898">
            <w:pPr>
              <w:rPr>
                <w:sz w:val="22"/>
              </w:rPr>
            </w:pPr>
            <w:proofErr w:type="gramStart"/>
            <w:r w:rsidRPr="00031CCA">
              <w:rPr>
                <w:sz w:val="22"/>
              </w:rPr>
              <w:t>A full-time students</w:t>
            </w:r>
            <w:proofErr w:type="gramEnd"/>
            <w:r w:rsidRPr="00031CCA">
              <w:rPr>
                <w:sz w:val="22"/>
              </w:rPr>
              <w:t xml:space="preserve"> would have 4 core courses, 1 full-year elective, and a PE/Health requirement. A half-time student would have 2 core courses, 1 half-year elective, and a PE/Health requirement. </w:t>
            </w:r>
            <w:r w:rsidR="00EA2898" w:rsidRPr="00031CCA">
              <w:rPr>
                <w:sz w:val="22"/>
              </w:rPr>
              <w:t>Part-time students would have individual courses. Al</w:t>
            </w:r>
            <w:r w:rsidR="004B1CAA" w:rsidRPr="00031CCA">
              <w:rPr>
                <w:sz w:val="22"/>
              </w:rPr>
              <w:t>l materials</w:t>
            </w:r>
            <w:r w:rsidR="00EA2898" w:rsidRPr="00031CCA">
              <w:rPr>
                <w:sz w:val="22"/>
              </w:rPr>
              <w:t xml:space="preserve"> are</w:t>
            </w:r>
            <w:r w:rsidR="004B1CAA" w:rsidRPr="00031CCA">
              <w:rPr>
                <w:sz w:val="22"/>
              </w:rPr>
              <w:t xml:space="preserve"> sent to the student’s home</w:t>
            </w:r>
            <w:r w:rsidR="00EA2898" w:rsidRPr="00031CCA">
              <w:rPr>
                <w:sz w:val="22"/>
              </w:rPr>
              <w:t>. Includes:</w:t>
            </w:r>
            <w:r w:rsidR="004B1CAA" w:rsidRPr="00031CCA">
              <w:rPr>
                <w:sz w:val="22"/>
              </w:rPr>
              <w:t xml:space="preserve"> online school manage</w:t>
            </w:r>
            <w:r w:rsidR="00C45FF5" w:rsidRPr="00031CCA">
              <w:rPr>
                <w:sz w:val="22"/>
              </w:rPr>
              <w:t xml:space="preserve">ment program, certified teacher </w:t>
            </w:r>
            <w:r w:rsidR="00EA2898" w:rsidRPr="00031CCA">
              <w:rPr>
                <w:sz w:val="22"/>
              </w:rPr>
              <w:t xml:space="preserve">teaching, coaching, </w:t>
            </w:r>
            <w:r w:rsidR="00C45FF5" w:rsidRPr="00031CCA">
              <w:rPr>
                <w:sz w:val="22"/>
              </w:rPr>
              <w:t>monitoring</w:t>
            </w:r>
            <w:r w:rsidR="00EA2898" w:rsidRPr="00031CCA">
              <w:rPr>
                <w:sz w:val="22"/>
              </w:rPr>
              <w:t>;</w:t>
            </w:r>
            <w:r w:rsidR="00C45FF5" w:rsidRPr="00031CCA">
              <w:rPr>
                <w:sz w:val="22"/>
              </w:rPr>
              <w:t xml:space="preserve"> </w:t>
            </w:r>
            <w:r w:rsidR="004B1CAA" w:rsidRPr="00031CCA">
              <w:rPr>
                <w:sz w:val="22"/>
              </w:rPr>
              <w:t xml:space="preserve">teacher </w:t>
            </w:r>
            <w:r w:rsidR="00106822" w:rsidRPr="00031CCA">
              <w:rPr>
                <w:sz w:val="22"/>
              </w:rPr>
              <w:t>f</w:t>
            </w:r>
            <w:r w:rsidR="00EA2898" w:rsidRPr="00031CCA">
              <w:rPr>
                <w:sz w:val="22"/>
              </w:rPr>
              <w:t>eedback to parents and students; online office hours;</w:t>
            </w:r>
            <w:r w:rsidR="004B1CAA" w:rsidRPr="00031CCA">
              <w:rPr>
                <w:sz w:val="22"/>
              </w:rPr>
              <w:t xml:space="preserve"> face-to-face </w:t>
            </w:r>
            <w:r w:rsidR="00CA4652" w:rsidRPr="00031CCA">
              <w:rPr>
                <w:sz w:val="22"/>
              </w:rPr>
              <w:t xml:space="preserve">outings </w:t>
            </w:r>
            <w:r w:rsidR="004B1CAA" w:rsidRPr="00031CCA">
              <w:rPr>
                <w:sz w:val="22"/>
              </w:rPr>
              <w:t xml:space="preserve">and online </w:t>
            </w:r>
            <w:r w:rsidR="00CA4652" w:rsidRPr="00031CCA">
              <w:rPr>
                <w:sz w:val="22"/>
              </w:rPr>
              <w:t xml:space="preserve">classes </w:t>
            </w:r>
            <w:r w:rsidR="004B1CAA" w:rsidRPr="00031CCA">
              <w:rPr>
                <w:sz w:val="22"/>
              </w:rPr>
              <w:t>with classmates</w:t>
            </w:r>
            <w:r w:rsidR="00CA4652" w:rsidRPr="00031CCA">
              <w:rPr>
                <w:sz w:val="22"/>
              </w:rPr>
              <w:t xml:space="preserve">. </w:t>
            </w:r>
            <w:r w:rsidR="004B1CAA" w:rsidRPr="00031CCA">
              <w:rPr>
                <w:sz w:val="22"/>
              </w:rPr>
              <w:t xml:space="preserve"> </w:t>
            </w:r>
            <w:r w:rsidR="00C45FF5" w:rsidRPr="00031CCA">
              <w:rPr>
                <w:sz w:val="22"/>
              </w:rPr>
              <w:t xml:space="preserve">The program </w:t>
            </w:r>
            <w:r w:rsidR="00106822" w:rsidRPr="00031CCA">
              <w:rPr>
                <w:sz w:val="22"/>
              </w:rPr>
              <w:t>requires a home study</w:t>
            </w:r>
            <w:r w:rsidR="004B1CAA" w:rsidRPr="00031CCA">
              <w:rPr>
                <w:sz w:val="22"/>
              </w:rPr>
              <w:t xml:space="preserve"> mentor</w:t>
            </w:r>
            <w:r w:rsidR="00106822" w:rsidRPr="00031CCA">
              <w:rPr>
                <w:sz w:val="22"/>
              </w:rPr>
              <w:t xml:space="preserve"> or coach</w:t>
            </w:r>
            <w:r w:rsidR="00FF6846" w:rsidRPr="00031CCA">
              <w:rPr>
                <w:sz w:val="22"/>
              </w:rPr>
              <w:t>.</w:t>
            </w:r>
            <w:r w:rsidR="00EA2898" w:rsidRPr="00031CCA">
              <w:rPr>
                <w:sz w:val="22"/>
              </w:rPr>
              <w:t xml:space="preserve"> </w:t>
            </w:r>
          </w:p>
        </w:tc>
      </w:tr>
      <w:tr w:rsidR="00B861EA" w:rsidRPr="00031CCA" w:rsidTr="00031CCA">
        <w:trPr>
          <w:jc w:val="center"/>
        </w:trPr>
        <w:tc>
          <w:tcPr>
            <w:tcW w:w="180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861EA" w:rsidRPr="00031CCA" w:rsidRDefault="004B1CAA" w:rsidP="00744C6B">
            <w:pPr>
              <w:jc w:val="center"/>
              <w:rPr>
                <w:b/>
                <w:sz w:val="22"/>
              </w:rPr>
            </w:pPr>
            <w:r w:rsidRPr="00031CCA">
              <w:rPr>
                <w:b/>
                <w:sz w:val="22"/>
              </w:rPr>
              <w:t>Staffing</w:t>
            </w:r>
          </w:p>
        </w:tc>
        <w:tc>
          <w:tcPr>
            <w:tcW w:w="900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861EA" w:rsidRPr="00031CCA" w:rsidRDefault="004B1CAA" w:rsidP="00EF5813">
            <w:pPr>
              <w:rPr>
                <w:sz w:val="22"/>
              </w:rPr>
            </w:pPr>
            <w:r w:rsidRPr="00031CCA">
              <w:rPr>
                <w:sz w:val="22"/>
              </w:rPr>
              <w:t>All courses are under the direction of certified MA teachers</w:t>
            </w:r>
            <w:r w:rsidR="00C45FF5" w:rsidRPr="00031CCA">
              <w:rPr>
                <w:sz w:val="22"/>
              </w:rPr>
              <w:t xml:space="preserve">. </w:t>
            </w:r>
            <w:r w:rsidR="00EA2898" w:rsidRPr="00031CCA">
              <w:rPr>
                <w:sz w:val="22"/>
              </w:rPr>
              <w:t xml:space="preserve">Staff includes nurse, guidance, </w:t>
            </w:r>
            <w:r w:rsidR="00EF5813" w:rsidRPr="00031CCA">
              <w:rPr>
                <w:sz w:val="22"/>
              </w:rPr>
              <w:t xml:space="preserve">advisors, </w:t>
            </w:r>
            <w:proofErr w:type="gramStart"/>
            <w:r w:rsidR="00EF5813" w:rsidRPr="00031CCA">
              <w:rPr>
                <w:sz w:val="22"/>
              </w:rPr>
              <w:t>special</w:t>
            </w:r>
            <w:proofErr w:type="gramEnd"/>
            <w:r w:rsidR="00EF5813" w:rsidRPr="00031CCA">
              <w:rPr>
                <w:sz w:val="22"/>
              </w:rPr>
              <w:t xml:space="preserve"> education personnel.</w:t>
            </w:r>
            <w:r w:rsidR="00EA2898" w:rsidRPr="00031CCA">
              <w:rPr>
                <w:sz w:val="22"/>
              </w:rPr>
              <w:t xml:space="preserve"> Admin staff includes </w:t>
            </w:r>
            <w:r w:rsidR="00C45FF5" w:rsidRPr="00031CCA">
              <w:rPr>
                <w:sz w:val="22"/>
              </w:rPr>
              <w:t>principal</w:t>
            </w:r>
            <w:r w:rsidR="00EA2898" w:rsidRPr="00031CCA">
              <w:rPr>
                <w:sz w:val="22"/>
              </w:rPr>
              <w:t xml:space="preserve">, HPA, secretaries, bus. Manager, data services, and central office services. </w:t>
            </w:r>
            <w:r w:rsidR="00EF5813" w:rsidRPr="00031CCA">
              <w:rPr>
                <w:sz w:val="22"/>
              </w:rPr>
              <w:t>Two services (food/ELL) not complete 4/2013.</w:t>
            </w:r>
          </w:p>
        </w:tc>
      </w:tr>
      <w:tr w:rsidR="00B861EA" w:rsidRPr="00031CCA" w:rsidTr="00031CCA">
        <w:trPr>
          <w:jc w:val="center"/>
        </w:trPr>
        <w:tc>
          <w:tcPr>
            <w:tcW w:w="180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861EA" w:rsidRPr="00031CCA" w:rsidRDefault="00261A57" w:rsidP="00744C6B">
            <w:pPr>
              <w:jc w:val="center"/>
              <w:rPr>
                <w:b/>
                <w:sz w:val="22"/>
              </w:rPr>
            </w:pPr>
            <w:r w:rsidRPr="00031CCA">
              <w:rPr>
                <w:b/>
                <w:sz w:val="22"/>
              </w:rPr>
              <w:t>Assessment</w:t>
            </w:r>
          </w:p>
        </w:tc>
        <w:tc>
          <w:tcPr>
            <w:tcW w:w="900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861EA" w:rsidRPr="00031CCA" w:rsidRDefault="00734320" w:rsidP="00734320">
            <w:pPr>
              <w:rPr>
                <w:sz w:val="22"/>
              </w:rPr>
            </w:pPr>
            <w:r w:rsidRPr="00031CCA">
              <w:rPr>
                <w:sz w:val="22"/>
              </w:rPr>
              <w:t>Formativ</w:t>
            </w:r>
            <w:r w:rsidR="007C0036" w:rsidRPr="00031CCA">
              <w:rPr>
                <w:sz w:val="22"/>
              </w:rPr>
              <w:t xml:space="preserve">e and </w:t>
            </w:r>
            <w:r w:rsidRPr="00031CCA">
              <w:rPr>
                <w:sz w:val="22"/>
              </w:rPr>
              <w:t xml:space="preserve">summative online skill screenings and </w:t>
            </w:r>
            <w:proofErr w:type="gramStart"/>
            <w:r w:rsidRPr="00031CCA">
              <w:rPr>
                <w:sz w:val="22"/>
              </w:rPr>
              <w:t>achievement testing</w:t>
            </w:r>
            <w:proofErr w:type="gramEnd"/>
            <w:r w:rsidRPr="00031CCA">
              <w:rPr>
                <w:sz w:val="22"/>
              </w:rPr>
              <w:t xml:space="preserve"> 2-3 times per year; MCAS testing in a proctored environment</w:t>
            </w:r>
            <w:r w:rsidR="007C0036" w:rsidRPr="00031CCA">
              <w:rPr>
                <w:sz w:val="22"/>
              </w:rPr>
              <w:t xml:space="preserve"> consistent with </w:t>
            </w:r>
            <w:r w:rsidR="00EF5813" w:rsidRPr="00031CCA">
              <w:rPr>
                <w:sz w:val="22"/>
              </w:rPr>
              <w:t xml:space="preserve">ESE </w:t>
            </w:r>
            <w:r w:rsidR="007C0036" w:rsidRPr="00031CCA">
              <w:rPr>
                <w:sz w:val="22"/>
              </w:rPr>
              <w:t>test administration guidelines</w:t>
            </w:r>
            <w:r w:rsidR="00EF5813" w:rsidRPr="00031CCA">
              <w:rPr>
                <w:sz w:val="22"/>
              </w:rPr>
              <w:t>.</w:t>
            </w:r>
            <w:r w:rsidR="007C0036" w:rsidRPr="00031CCA">
              <w:rPr>
                <w:sz w:val="22"/>
              </w:rPr>
              <w:t xml:space="preserve"> </w:t>
            </w:r>
          </w:p>
        </w:tc>
      </w:tr>
      <w:tr w:rsidR="00081BFC" w:rsidRPr="00031CCA" w:rsidTr="00031CCA">
        <w:trPr>
          <w:jc w:val="center"/>
        </w:trPr>
        <w:tc>
          <w:tcPr>
            <w:tcW w:w="180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81BFC" w:rsidRPr="00031CCA" w:rsidRDefault="00081BFC" w:rsidP="00744C6B">
            <w:pPr>
              <w:jc w:val="center"/>
              <w:rPr>
                <w:b/>
                <w:sz w:val="22"/>
              </w:rPr>
            </w:pPr>
            <w:r w:rsidRPr="00031CCA">
              <w:rPr>
                <w:b/>
                <w:sz w:val="22"/>
              </w:rPr>
              <w:t>Special Education</w:t>
            </w:r>
          </w:p>
        </w:tc>
        <w:tc>
          <w:tcPr>
            <w:tcW w:w="900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81BFC" w:rsidRPr="00031CCA" w:rsidRDefault="00081BFC" w:rsidP="00734320">
            <w:pPr>
              <w:rPr>
                <w:sz w:val="22"/>
              </w:rPr>
            </w:pPr>
            <w:r w:rsidRPr="00031CCA">
              <w:rPr>
                <w:sz w:val="22"/>
              </w:rPr>
              <w:t xml:space="preserve">A </w:t>
            </w:r>
            <w:r w:rsidR="00EA2898" w:rsidRPr="00031CCA">
              <w:rPr>
                <w:sz w:val="22"/>
              </w:rPr>
              <w:t>virtual school</w:t>
            </w:r>
            <w:r w:rsidR="006F3EC8" w:rsidRPr="00031CCA">
              <w:rPr>
                <w:sz w:val="22"/>
              </w:rPr>
              <w:t xml:space="preserve"> </w:t>
            </w:r>
            <w:r w:rsidRPr="00031CCA">
              <w:rPr>
                <w:sz w:val="22"/>
              </w:rPr>
              <w:t>spe</w:t>
            </w:r>
            <w:r w:rsidR="00FF6846" w:rsidRPr="00031CCA">
              <w:rPr>
                <w:sz w:val="22"/>
              </w:rPr>
              <w:t xml:space="preserve">cial education team </w:t>
            </w:r>
            <w:r w:rsidR="00106822" w:rsidRPr="00031CCA">
              <w:rPr>
                <w:sz w:val="22"/>
              </w:rPr>
              <w:t xml:space="preserve">will assure approved, enrolled students have </w:t>
            </w:r>
            <w:r w:rsidRPr="00031CCA">
              <w:rPr>
                <w:sz w:val="22"/>
              </w:rPr>
              <w:t>FAPE, working with the sending distric</w:t>
            </w:r>
            <w:r w:rsidR="00CB6C74" w:rsidRPr="00031CCA">
              <w:rPr>
                <w:sz w:val="22"/>
              </w:rPr>
              <w:t>t to the extent possible</w:t>
            </w:r>
            <w:r w:rsidR="00031CCA">
              <w:rPr>
                <w:sz w:val="22"/>
              </w:rPr>
              <w:t>.</w:t>
            </w:r>
            <w:r w:rsidR="006F3EC8" w:rsidRPr="00031CCA">
              <w:rPr>
                <w:sz w:val="22"/>
              </w:rPr>
              <w:t xml:space="preserve"> </w:t>
            </w:r>
          </w:p>
        </w:tc>
      </w:tr>
      <w:tr w:rsidR="001631A7" w:rsidRPr="00031CCA" w:rsidTr="00031CCA">
        <w:trPr>
          <w:jc w:val="center"/>
        </w:trPr>
        <w:tc>
          <w:tcPr>
            <w:tcW w:w="180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631A7" w:rsidRPr="00031CCA" w:rsidRDefault="001631A7" w:rsidP="00744C6B">
            <w:pPr>
              <w:jc w:val="center"/>
              <w:rPr>
                <w:b/>
                <w:sz w:val="22"/>
              </w:rPr>
            </w:pPr>
            <w:r w:rsidRPr="00031CCA">
              <w:rPr>
                <w:b/>
                <w:sz w:val="22"/>
              </w:rPr>
              <w:t>Attendance</w:t>
            </w:r>
          </w:p>
        </w:tc>
        <w:tc>
          <w:tcPr>
            <w:tcW w:w="900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631A7" w:rsidRPr="00031CCA" w:rsidRDefault="00C708A2" w:rsidP="00734320">
            <w:pPr>
              <w:rPr>
                <w:sz w:val="22"/>
              </w:rPr>
            </w:pPr>
            <w:r w:rsidRPr="00031CCA">
              <w:rPr>
                <w:sz w:val="22"/>
              </w:rPr>
              <w:t>E</w:t>
            </w:r>
            <w:r w:rsidR="001631A7" w:rsidRPr="00031CCA">
              <w:rPr>
                <w:sz w:val="22"/>
              </w:rPr>
              <w:t xml:space="preserve">xpected </w:t>
            </w:r>
            <w:r w:rsidRPr="00031CCA">
              <w:rPr>
                <w:sz w:val="22"/>
              </w:rPr>
              <w:t>attendance is</w:t>
            </w:r>
            <w:r w:rsidR="001631A7" w:rsidRPr="00031CCA">
              <w:rPr>
                <w:sz w:val="22"/>
              </w:rPr>
              <w:t xml:space="preserve"> 180 days or 900 hours between enrollment and June 30</w:t>
            </w:r>
            <w:r w:rsidR="001631A7" w:rsidRPr="00031CCA">
              <w:rPr>
                <w:sz w:val="22"/>
                <w:vertAlign w:val="superscript"/>
              </w:rPr>
              <w:t>th</w:t>
            </w:r>
            <w:r w:rsidRPr="00031CCA">
              <w:rPr>
                <w:sz w:val="22"/>
              </w:rPr>
              <w:t xml:space="preserve">. </w:t>
            </w:r>
            <w:r w:rsidR="001631A7" w:rsidRPr="00031CCA">
              <w:rPr>
                <w:sz w:val="22"/>
              </w:rPr>
              <w:t>Other school attendance may be credited.</w:t>
            </w:r>
            <w:r w:rsidRPr="00031CCA">
              <w:rPr>
                <w:sz w:val="22"/>
              </w:rPr>
              <w:t xml:space="preserve"> A</w:t>
            </w:r>
            <w:r w:rsidR="001631A7" w:rsidRPr="00031CCA">
              <w:rPr>
                <w:sz w:val="22"/>
              </w:rPr>
              <w:t xml:space="preserve">fter 15 days </w:t>
            </w:r>
            <w:r w:rsidRPr="00031CCA">
              <w:rPr>
                <w:sz w:val="22"/>
              </w:rPr>
              <w:t xml:space="preserve">without adequate logged participation, enrollment ends. </w:t>
            </w:r>
          </w:p>
        </w:tc>
      </w:tr>
      <w:tr w:rsidR="003D0F2F" w:rsidRPr="00031CCA" w:rsidTr="00031CCA">
        <w:trPr>
          <w:jc w:val="center"/>
        </w:trPr>
        <w:tc>
          <w:tcPr>
            <w:tcW w:w="180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D0F2F" w:rsidRPr="00031CCA" w:rsidRDefault="003D0F2F" w:rsidP="00744C6B">
            <w:pPr>
              <w:jc w:val="center"/>
              <w:rPr>
                <w:b/>
                <w:sz w:val="22"/>
              </w:rPr>
            </w:pPr>
            <w:r w:rsidRPr="00031CCA">
              <w:rPr>
                <w:b/>
                <w:sz w:val="22"/>
              </w:rPr>
              <w:t>Curriculum Provider</w:t>
            </w:r>
          </w:p>
        </w:tc>
        <w:tc>
          <w:tcPr>
            <w:tcW w:w="900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D0F2F" w:rsidRPr="00031CCA" w:rsidRDefault="003D0F2F" w:rsidP="00EA2898">
            <w:pPr>
              <w:rPr>
                <w:sz w:val="22"/>
              </w:rPr>
            </w:pPr>
            <w:r w:rsidRPr="00031CCA">
              <w:rPr>
                <w:sz w:val="22"/>
              </w:rPr>
              <w:t>Educational courses and</w:t>
            </w:r>
            <w:r w:rsidR="00FF6846" w:rsidRPr="00031CCA">
              <w:rPr>
                <w:sz w:val="22"/>
              </w:rPr>
              <w:t xml:space="preserve"> teaching</w:t>
            </w:r>
            <w:r w:rsidRPr="00031CCA">
              <w:rPr>
                <w:sz w:val="22"/>
              </w:rPr>
              <w:t xml:space="preserve"> services, including management software, learning materials, and technical </w:t>
            </w:r>
            <w:r w:rsidR="006B0FB1" w:rsidRPr="00031CCA">
              <w:rPr>
                <w:sz w:val="22"/>
              </w:rPr>
              <w:t xml:space="preserve">support </w:t>
            </w:r>
            <w:r w:rsidRPr="00031CCA">
              <w:rPr>
                <w:sz w:val="22"/>
              </w:rPr>
              <w:t xml:space="preserve">services </w:t>
            </w:r>
            <w:r w:rsidR="00A52B89" w:rsidRPr="00031CCA">
              <w:rPr>
                <w:sz w:val="22"/>
              </w:rPr>
              <w:t xml:space="preserve">will be </w:t>
            </w:r>
            <w:r w:rsidRPr="00031CCA">
              <w:rPr>
                <w:sz w:val="22"/>
              </w:rPr>
              <w:t xml:space="preserve">provided by K12, Inc., a leading </w:t>
            </w:r>
            <w:r w:rsidR="00A52B89" w:rsidRPr="00031CCA">
              <w:rPr>
                <w:sz w:val="22"/>
              </w:rPr>
              <w:t xml:space="preserve">virtual school </w:t>
            </w:r>
            <w:r w:rsidR="00144171" w:rsidRPr="00031CCA">
              <w:rPr>
                <w:sz w:val="22"/>
              </w:rPr>
              <w:t xml:space="preserve">provider. </w:t>
            </w:r>
          </w:p>
        </w:tc>
      </w:tr>
      <w:tr w:rsidR="00B861EA" w:rsidRPr="00031CCA" w:rsidTr="00031CCA">
        <w:trPr>
          <w:jc w:val="center"/>
        </w:trPr>
        <w:tc>
          <w:tcPr>
            <w:tcW w:w="180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861EA" w:rsidRPr="00031CCA" w:rsidRDefault="00081BFC" w:rsidP="00744C6B">
            <w:pPr>
              <w:jc w:val="center"/>
              <w:rPr>
                <w:b/>
                <w:sz w:val="22"/>
              </w:rPr>
            </w:pPr>
            <w:r w:rsidRPr="00031CCA">
              <w:rPr>
                <w:b/>
                <w:sz w:val="22"/>
              </w:rPr>
              <w:t>How to Apply</w:t>
            </w:r>
          </w:p>
        </w:tc>
        <w:tc>
          <w:tcPr>
            <w:tcW w:w="900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861EA" w:rsidRPr="00031CCA" w:rsidRDefault="00CA4652" w:rsidP="00EA2898">
            <w:pPr>
              <w:rPr>
                <w:sz w:val="22"/>
              </w:rPr>
            </w:pPr>
            <w:r w:rsidRPr="00031CCA">
              <w:rPr>
                <w:sz w:val="22"/>
              </w:rPr>
              <w:t>Application components</w:t>
            </w:r>
            <w:r w:rsidR="001631A7" w:rsidRPr="00031CCA">
              <w:rPr>
                <w:sz w:val="22"/>
              </w:rPr>
              <w:t xml:space="preserve"> including proof of guardianship and residency plus Releases for General and Special Education Records</w:t>
            </w:r>
            <w:r w:rsidR="00031CCA">
              <w:rPr>
                <w:sz w:val="22"/>
              </w:rPr>
              <w:t xml:space="preserve"> are collected online </w:t>
            </w:r>
            <w:r w:rsidR="00EA2898" w:rsidRPr="00031CCA">
              <w:rPr>
                <w:sz w:val="22"/>
              </w:rPr>
              <w:t>and</w:t>
            </w:r>
            <w:r w:rsidRPr="00031CCA">
              <w:rPr>
                <w:sz w:val="22"/>
              </w:rPr>
              <w:t xml:space="preserve"> forwarded and reviewed </w:t>
            </w:r>
            <w:r w:rsidR="001631A7" w:rsidRPr="00031CCA">
              <w:rPr>
                <w:sz w:val="22"/>
              </w:rPr>
              <w:t>by</w:t>
            </w:r>
            <w:r w:rsidR="00106822" w:rsidRPr="00031CCA">
              <w:rPr>
                <w:sz w:val="22"/>
              </w:rPr>
              <w:t xml:space="preserve"> </w:t>
            </w:r>
            <w:r w:rsidR="00EA2898" w:rsidRPr="00031CCA">
              <w:rPr>
                <w:sz w:val="22"/>
              </w:rPr>
              <w:t xml:space="preserve">the CMVS </w:t>
            </w:r>
            <w:r w:rsidRPr="00031CCA">
              <w:rPr>
                <w:sz w:val="22"/>
              </w:rPr>
              <w:t>admissions team</w:t>
            </w:r>
            <w:r w:rsidR="001631A7" w:rsidRPr="00031CCA">
              <w:rPr>
                <w:sz w:val="22"/>
              </w:rPr>
              <w:t xml:space="preserve">. </w:t>
            </w:r>
          </w:p>
        </w:tc>
      </w:tr>
      <w:tr w:rsidR="00B861EA" w:rsidRPr="00031CCA" w:rsidTr="00031CCA">
        <w:trPr>
          <w:jc w:val="center"/>
        </w:trPr>
        <w:tc>
          <w:tcPr>
            <w:tcW w:w="180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861EA" w:rsidRPr="00031CCA" w:rsidRDefault="00081BFC" w:rsidP="00744C6B">
            <w:pPr>
              <w:jc w:val="center"/>
              <w:rPr>
                <w:b/>
                <w:sz w:val="22"/>
              </w:rPr>
            </w:pPr>
            <w:r w:rsidRPr="00031CCA">
              <w:rPr>
                <w:b/>
                <w:sz w:val="22"/>
              </w:rPr>
              <w:t>Contact</w:t>
            </w:r>
          </w:p>
        </w:tc>
        <w:tc>
          <w:tcPr>
            <w:tcW w:w="900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52B89" w:rsidRPr="00031CCA" w:rsidRDefault="00081BFC" w:rsidP="00081BFC">
            <w:pPr>
              <w:rPr>
                <w:b/>
                <w:sz w:val="22"/>
              </w:rPr>
            </w:pPr>
            <w:r w:rsidRPr="00031CCA">
              <w:rPr>
                <w:sz w:val="22"/>
              </w:rPr>
              <w:t>Susan Hollins, Superintendent, Greenfield</w:t>
            </w:r>
            <w:r w:rsidR="00EA2898" w:rsidRPr="00031CCA">
              <w:rPr>
                <w:sz w:val="22"/>
              </w:rPr>
              <w:t xml:space="preserve"> Public Schools</w:t>
            </w:r>
            <w:r w:rsidRPr="00031CCA">
              <w:rPr>
                <w:sz w:val="22"/>
              </w:rPr>
              <w:t xml:space="preserve"> </w:t>
            </w:r>
            <w:hyperlink r:id="rId8" w:history="1">
              <w:r w:rsidR="00FF6846" w:rsidRPr="00031CCA">
                <w:rPr>
                  <w:rStyle w:val="Hyperlink"/>
                  <w:sz w:val="22"/>
                </w:rPr>
                <w:t xml:space="preserve">superintendent@gpsk12.org </w:t>
              </w:r>
            </w:hyperlink>
          </w:p>
        </w:tc>
      </w:tr>
    </w:tbl>
    <w:p w:rsidR="00B861EA" w:rsidRPr="00B861EA" w:rsidRDefault="00B861EA" w:rsidP="00031CCA"/>
    <w:sectPr w:rsidR="00B861EA" w:rsidRPr="00B861EA" w:rsidSect="00031CCA">
      <w:footerReference w:type="default" r:id="rId9"/>
      <w:pgSz w:w="12240" w:h="15840"/>
      <w:pgMar w:top="720" w:right="1440" w:bottom="576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361" w:rsidRDefault="00032361" w:rsidP="00031CCA">
      <w:r>
        <w:separator/>
      </w:r>
    </w:p>
  </w:endnote>
  <w:endnote w:type="continuationSeparator" w:id="0">
    <w:p w:rsidR="00032361" w:rsidRDefault="00032361" w:rsidP="0003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CCA" w:rsidRPr="00031CCA" w:rsidRDefault="00031CCA">
    <w:pPr>
      <w:pStyle w:val="Footer"/>
      <w:rPr>
        <w:i/>
        <w:sz w:val="20"/>
        <w:szCs w:val="20"/>
      </w:rPr>
    </w:pPr>
    <w:r w:rsidRPr="00031CCA">
      <w:rPr>
        <w:i/>
        <w:sz w:val="20"/>
        <w:szCs w:val="20"/>
      </w:rPr>
      <w:t xml:space="preserve">Proposed Massachusetts Virtual Academy </w:t>
    </w:r>
    <w:r w:rsidR="001F2540">
      <w:rPr>
        <w:i/>
        <w:sz w:val="20"/>
        <w:szCs w:val="20"/>
      </w:rPr>
      <w:t>at</w:t>
    </w:r>
    <w:r w:rsidRPr="00031CCA">
      <w:rPr>
        <w:i/>
        <w:sz w:val="20"/>
        <w:szCs w:val="20"/>
      </w:rPr>
      <w:t xml:space="preserve"> Greenfield</w:t>
    </w:r>
    <w:r w:rsidR="00AE62BB">
      <w:rPr>
        <w:i/>
        <w:sz w:val="20"/>
        <w:szCs w:val="20"/>
      </w:rPr>
      <w:t xml:space="preserve"> Commonwealth Virtual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361" w:rsidRDefault="00032361" w:rsidP="00031CCA">
      <w:r>
        <w:separator/>
      </w:r>
    </w:p>
  </w:footnote>
  <w:footnote w:type="continuationSeparator" w:id="0">
    <w:p w:rsidR="00032361" w:rsidRDefault="00032361" w:rsidP="00031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1EA"/>
    <w:rsid w:val="00031CCA"/>
    <w:rsid w:val="00032361"/>
    <w:rsid w:val="00081BFC"/>
    <w:rsid w:val="00084921"/>
    <w:rsid w:val="000B01F1"/>
    <w:rsid w:val="000B23F2"/>
    <w:rsid w:val="000D52A6"/>
    <w:rsid w:val="00106822"/>
    <w:rsid w:val="001428F0"/>
    <w:rsid w:val="00144171"/>
    <w:rsid w:val="001631A7"/>
    <w:rsid w:val="001775D6"/>
    <w:rsid w:val="001F2540"/>
    <w:rsid w:val="0020387B"/>
    <w:rsid w:val="00223F5A"/>
    <w:rsid w:val="002329EA"/>
    <w:rsid w:val="00261A57"/>
    <w:rsid w:val="002C7766"/>
    <w:rsid w:val="00375A16"/>
    <w:rsid w:val="003A529E"/>
    <w:rsid w:val="003D0F2F"/>
    <w:rsid w:val="004145F3"/>
    <w:rsid w:val="00435C0B"/>
    <w:rsid w:val="0048669F"/>
    <w:rsid w:val="004B1CAA"/>
    <w:rsid w:val="005975D1"/>
    <w:rsid w:val="006B0FB1"/>
    <w:rsid w:val="006F3EC8"/>
    <w:rsid w:val="00734320"/>
    <w:rsid w:val="00744C6B"/>
    <w:rsid w:val="007C0036"/>
    <w:rsid w:val="007E3144"/>
    <w:rsid w:val="00800C63"/>
    <w:rsid w:val="0088578E"/>
    <w:rsid w:val="00922A0E"/>
    <w:rsid w:val="0095225B"/>
    <w:rsid w:val="009819D5"/>
    <w:rsid w:val="009B288D"/>
    <w:rsid w:val="00A05B76"/>
    <w:rsid w:val="00A179DC"/>
    <w:rsid w:val="00A52B89"/>
    <w:rsid w:val="00AB31BB"/>
    <w:rsid w:val="00AE62BB"/>
    <w:rsid w:val="00B07CBA"/>
    <w:rsid w:val="00B07F68"/>
    <w:rsid w:val="00B861EA"/>
    <w:rsid w:val="00C45FF5"/>
    <w:rsid w:val="00C708A2"/>
    <w:rsid w:val="00CA4652"/>
    <w:rsid w:val="00CB6C74"/>
    <w:rsid w:val="00D34684"/>
    <w:rsid w:val="00D44247"/>
    <w:rsid w:val="00D61E37"/>
    <w:rsid w:val="00DA49CF"/>
    <w:rsid w:val="00E744AB"/>
    <w:rsid w:val="00EA2898"/>
    <w:rsid w:val="00EE57FC"/>
    <w:rsid w:val="00EF5813"/>
    <w:rsid w:val="00F261B6"/>
    <w:rsid w:val="00FA3792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A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61EA"/>
    <w:rPr>
      <w:color w:val="0000FF"/>
      <w:u w:val="single"/>
    </w:rPr>
  </w:style>
  <w:style w:type="table" w:styleId="TableGrid">
    <w:name w:val="Table Grid"/>
    <w:basedOn w:val="TableNormal"/>
    <w:rsid w:val="00B86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31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1CCA"/>
    <w:rPr>
      <w:sz w:val="24"/>
      <w:szCs w:val="24"/>
    </w:rPr>
  </w:style>
  <w:style w:type="paragraph" w:styleId="Footer">
    <w:name w:val="footer"/>
    <w:basedOn w:val="Normal"/>
    <w:link w:val="FooterChar"/>
    <w:rsid w:val="00031C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31C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rintendent@gpsk12.org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F57E0-78FB-4BAE-AA84-7BD82CD1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Attachment, Virtual Schools, Executive Summary</vt:lpstr>
    </vt:vector>
  </TitlesOfParts>
  <Company>Greenfield Public Schools</Company>
  <LinksUpToDate>false</LinksUpToDate>
  <CharactersWithSpaces>4035</CharactersWithSpaces>
  <SharedDoc>false</SharedDoc>
  <HLinks>
    <vt:vector size="12" baseType="variant">
      <vt:variant>
        <vt:i4>7536705</vt:i4>
      </vt:variant>
      <vt:variant>
        <vt:i4>3</vt:i4>
      </vt:variant>
      <vt:variant>
        <vt:i4>0</vt:i4>
      </vt:variant>
      <vt:variant>
        <vt:i4>5</vt:i4>
      </vt:variant>
      <vt:variant>
        <vt:lpwstr>mailto:superintendent@gpsk12.org</vt:lpwstr>
      </vt:variant>
      <vt:variant>
        <vt:lpwstr/>
      </vt:variant>
      <vt:variant>
        <vt:i4>8192113</vt:i4>
      </vt:variant>
      <vt:variant>
        <vt:i4>0</vt:i4>
      </vt:variant>
      <vt:variant>
        <vt:i4>0</vt:i4>
      </vt:variant>
      <vt:variant>
        <vt:i4>5</vt:i4>
      </vt:variant>
      <vt:variant>
        <vt:lpwstr>http://www.gpsk12.org/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Attachment, Virtual Schools, Executive Summary</dc:title>
  <dc:creator>ESE</dc:creator>
  <cp:lastModifiedBy>ESE</cp:lastModifiedBy>
  <cp:revision>3</cp:revision>
  <cp:lastPrinted>2013-06-18T15:56:00Z</cp:lastPrinted>
  <dcterms:created xsi:type="dcterms:W3CDTF">2013-06-20T16:48:00Z</dcterms:created>
  <dcterms:modified xsi:type="dcterms:W3CDTF">2013-06-24T19:32:00Z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24 2013</vt:lpwstr>
  </property>
</Properties>
</file>