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902A0D">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simplePos x="0" y="0"/>
                <wp:positionH relativeFrom="column">
                  <wp:posOffset>24765</wp:posOffset>
                </wp:positionH>
                <wp:positionV relativeFrom="paragraph">
                  <wp:posOffset>64769</wp:posOffset>
                </wp:positionV>
                <wp:extent cx="5066030" cy="0"/>
                <wp:effectExtent l="0" t="0" r="203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u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hs70xhUQUKmtDbXRk3o1z5p+d0jpqiVqzyPDt7OBtCxkJO9SwsYZwN/1XzSDGHLwOrbp&#10;1NguQEID0Cmqcb6pwU8eUTicpfN5OgXR6OBLSDEkGuv8Z647FIwSS+Acgcnx2flAhBRDSLhH6Y2Q&#10;MootFeqB7eQhTWOG01Kw4A1xzu53lbToSMK8xC+WBZ77MKsPikW0lhO2vtqeCHmx4XapAh7UAnyu&#10;1mUgfjymj+vFepGP8sl8PcrTuh592lT5aL7JHmb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LkqS5AS&#10;AgAAKQQAAA4AAAAAAAAAAAAAAAAALgIAAGRycy9lMm9Eb2MueG1sUEsBAi0AFAAGAAgAAAAhAOzZ&#10;Hs/bAAAABwEAAA8AAAAAAAAAAAAAAAAAbAQAAGRycy9kb3ducmV2LnhtbFBLBQYAAAAABAAEAPMA&#10;AAB0BQAAAAA=&#10;" o:allowincell="f" strokeweight="1pt"/>
            </w:pict>
          </mc:Fallback>
        </mc:AlternateConten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tc>
          <w:tcPr>
            <w:tcW w:w="2988" w:type="dxa"/>
          </w:tcPr>
          <w:p w:rsidR="00571666" w:rsidRDefault="00571666" w:rsidP="0057166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0F3CEB" w:rsidRDefault="000F3CEB" w:rsidP="000F3CEB">
      <w:pPr>
        <w:pStyle w:val="Heading1"/>
        <w:tabs>
          <w:tab w:val="clear" w:pos="4680"/>
        </w:tabs>
      </w:pPr>
      <w:r>
        <w:lastRenderedPageBreak/>
        <w:t>MEMORANDUM</w:t>
      </w:r>
    </w:p>
    <w:p w:rsidR="000F3CEB" w:rsidRDefault="000F3CEB" w:rsidP="000F3CEB">
      <w:pPr>
        <w:rPr>
          <w:b/>
        </w:rPr>
      </w:pPr>
    </w:p>
    <w:tbl>
      <w:tblPr>
        <w:tblW w:w="0" w:type="auto"/>
        <w:tblLook w:val="01E0" w:firstRow="1" w:lastRow="1" w:firstColumn="1" w:lastColumn="1" w:noHBand="0" w:noVBand="0"/>
      </w:tblPr>
      <w:tblGrid>
        <w:gridCol w:w="1188"/>
        <w:gridCol w:w="8388"/>
      </w:tblGrid>
      <w:tr w:rsidR="000F3CEB" w:rsidTr="005F06DE">
        <w:tc>
          <w:tcPr>
            <w:tcW w:w="1188" w:type="dxa"/>
          </w:tcPr>
          <w:p w:rsidR="000F3CEB" w:rsidRDefault="000F3CEB" w:rsidP="005F06DE">
            <w:pPr>
              <w:rPr>
                <w:b/>
              </w:rPr>
            </w:pPr>
            <w:r>
              <w:rPr>
                <w:b/>
              </w:rPr>
              <w:t>To:</w:t>
            </w:r>
          </w:p>
        </w:tc>
        <w:tc>
          <w:tcPr>
            <w:tcW w:w="8388" w:type="dxa"/>
          </w:tcPr>
          <w:p w:rsidR="000F3CEB" w:rsidRDefault="000F3CEB" w:rsidP="005F06DE">
            <w:pPr>
              <w:rPr>
                <w:b/>
              </w:rPr>
            </w:pPr>
            <w:r>
              <w:t>Members of the Board of Elementary and Secondary Education</w:t>
            </w:r>
          </w:p>
        </w:tc>
      </w:tr>
      <w:tr w:rsidR="000F3CEB" w:rsidTr="005F06DE">
        <w:tc>
          <w:tcPr>
            <w:tcW w:w="1188" w:type="dxa"/>
          </w:tcPr>
          <w:p w:rsidR="000F3CEB" w:rsidRDefault="000F3CEB" w:rsidP="005F06DE">
            <w:pPr>
              <w:rPr>
                <w:b/>
              </w:rPr>
            </w:pPr>
            <w:r>
              <w:rPr>
                <w:b/>
              </w:rPr>
              <w:t>From:</w:t>
            </w:r>
            <w:r>
              <w:tab/>
            </w:r>
          </w:p>
        </w:tc>
        <w:tc>
          <w:tcPr>
            <w:tcW w:w="8388" w:type="dxa"/>
          </w:tcPr>
          <w:p w:rsidR="000F3CEB" w:rsidRDefault="000F3CEB" w:rsidP="005F06DE">
            <w:r>
              <w:t>Mitchell D. Chester, Ed.D., Commissioner</w:t>
            </w:r>
          </w:p>
        </w:tc>
      </w:tr>
      <w:tr w:rsidR="000F3CEB" w:rsidTr="005F06DE">
        <w:tc>
          <w:tcPr>
            <w:tcW w:w="1188" w:type="dxa"/>
          </w:tcPr>
          <w:p w:rsidR="000F3CEB" w:rsidRDefault="000F3CEB" w:rsidP="005F06DE">
            <w:pPr>
              <w:rPr>
                <w:b/>
              </w:rPr>
            </w:pPr>
            <w:r>
              <w:rPr>
                <w:b/>
              </w:rPr>
              <w:t>Date:</w:t>
            </w:r>
            <w:r>
              <w:tab/>
            </w:r>
          </w:p>
        </w:tc>
        <w:tc>
          <w:tcPr>
            <w:tcW w:w="8388" w:type="dxa"/>
          </w:tcPr>
          <w:p w:rsidR="000F3CEB" w:rsidRDefault="000F3CEB" w:rsidP="005F06DE">
            <w:r>
              <w:t>February 14, 2014</w:t>
            </w:r>
          </w:p>
        </w:tc>
      </w:tr>
      <w:tr w:rsidR="000F3CEB" w:rsidTr="005F06DE">
        <w:tc>
          <w:tcPr>
            <w:tcW w:w="1188" w:type="dxa"/>
          </w:tcPr>
          <w:p w:rsidR="000F3CEB" w:rsidRDefault="000F3CEB" w:rsidP="005F06DE">
            <w:pPr>
              <w:rPr>
                <w:b/>
              </w:rPr>
            </w:pPr>
            <w:r>
              <w:rPr>
                <w:b/>
              </w:rPr>
              <w:t>Subject:</w:t>
            </w:r>
          </w:p>
        </w:tc>
        <w:tc>
          <w:tcPr>
            <w:tcW w:w="8388" w:type="dxa"/>
          </w:tcPr>
          <w:p w:rsidR="000F3CEB" w:rsidRDefault="000F3CEB" w:rsidP="005F06DE">
            <w:r>
              <w:t>Charter Renewal with Probation and Charter Amendment Request – Dorchester Collegiate Academy Charter School</w:t>
            </w:r>
          </w:p>
        </w:tc>
      </w:tr>
    </w:tbl>
    <w:p w:rsidR="000F3CEB" w:rsidRDefault="000F3CEB" w:rsidP="000F3CEB">
      <w:pPr>
        <w:pBdr>
          <w:bottom w:val="single" w:sz="4" w:space="1" w:color="auto"/>
        </w:pBdr>
      </w:pPr>
      <w:bookmarkStart w:id="0" w:name="TO"/>
      <w:bookmarkStart w:id="1" w:name="FROM"/>
      <w:bookmarkStart w:id="2" w:name="DATE"/>
      <w:bookmarkStart w:id="3" w:name="RE"/>
      <w:bookmarkEnd w:id="0"/>
      <w:bookmarkEnd w:id="1"/>
      <w:bookmarkEnd w:id="2"/>
      <w:bookmarkEnd w:id="3"/>
    </w:p>
    <w:p w:rsidR="000F3CEB" w:rsidRDefault="000F3CEB" w:rsidP="000F3CEB">
      <w:pPr>
        <w:sectPr w:rsidR="000F3CEB">
          <w:footerReference w:type="default" r:id="rId9"/>
          <w:endnotePr>
            <w:numFmt w:val="decimal"/>
          </w:endnotePr>
          <w:type w:val="continuous"/>
          <w:pgSz w:w="12240" w:h="15840" w:code="1"/>
          <w:pgMar w:top="1440" w:right="1440" w:bottom="1440" w:left="1440" w:header="1440" w:footer="1440" w:gutter="0"/>
          <w:cols w:space="720"/>
          <w:noEndnote/>
          <w:titlePg/>
        </w:sectPr>
      </w:pPr>
    </w:p>
    <w:p w:rsidR="000F3CEB" w:rsidRDefault="000F3CEB" w:rsidP="000F3CEB">
      <w:bookmarkStart w:id="4" w:name="_GoBack"/>
      <w:bookmarkEnd w:id="4"/>
    </w:p>
    <w:p w:rsidR="000F3CEB" w:rsidRDefault="000F3CEB" w:rsidP="000F3CEB">
      <w:r>
        <w:t>This month, the Board of Elementary and Secondary Education (Board) will discuss and vote on the charter renewal application for Dorchester Collegiate Academy Charter School (DCACS). I recommend that the Board place the school on probation and renew the charter with the conditions described below.</w:t>
      </w:r>
    </w:p>
    <w:p w:rsidR="000F3CEB" w:rsidRDefault="000F3CEB" w:rsidP="000F3CEB"/>
    <w:p w:rsidR="000F3CEB" w:rsidRDefault="000F3CEB" w:rsidP="000F3CEB">
      <w:r>
        <w:t xml:space="preserve">Additionally, the school submitted a major amendment in May 2013, to remain a grade 4-8 school and to not expand to grades 9-12, as originally requested in its charter. I recommend that the Board approve this amendment request. </w:t>
      </w:r>
    </w:p>
    <w:p w:rsidR="000F3CEB" w:rsidRDefault="000F3CEB" w:rsidP="000F3CEB">
      <w:pPr>
        <w:pStyle w:val="BodyText2"/>
        <w:ind w:right="-360"/>
        <w:rPr>
          <w:b/>
          <w:bCs/>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2880"/>
        <w:gridCol w:w="1980"/>
        <w:gridCol w:w="2520"/>
      </w:tblGrid>
      <w:tr w:rsidR="000F3CEB" w:rsidTr="005F06DE">
        <w:trPr>
          <w:trHeight w:val="268"/>
        </w:trPr>
        <w:tc>
          <w:tcPr>
            <w:tcW w:w="9900" w:type="dxa"/>
            <w:gridSpan w:val="4"/>
            <w:shd w:val="clear" w:color="auto" w:fill="A6A6A6"/>
            <w:tcMar>
              <w:top w:w="0" w:type="dxa"/>
              <w:left w:w="108" w:type="dxa"/>
              <w:bottom w:w="0" w:type="dxa"/>
              <w:right w:w="108" w:type="dxa"/>
            </w:tcMar>
          </w:tcPr>
          <w:p w:rsidR="000F3CEB" w:rsidRDefault="000F3CEB" w:rsidP="005F06DE">
            <w:pPr>
              <w:rPr>
                <w:rFonts w:eastAsia="Batang"/>
                <w:b/>
                <w:bCs/>
                <w:i/>
                <w:sz w:val="32"/>
                <w:lang w:eastAsia="ko-KR"/>
              </w:rPr>
            </w:pPr>
            <w:r>
              <w:rPr>
                <w:b/>
                <w:i/>
                <w:sz w:val="32"/>
                <w:szCs w:val="36"/>
              </w:rPr>
              <w:t>Dorchester Collegiate Academy Charter School (DCACS)</w:t>
            </w:r>
          </w:p>
        </w:tc>
      </w:tr>
      <w:tr w:rsidR="000F3CEB" w:rsidTr="005F06DE">
        <w:trPr>
          <w:trHeight w:val="700"/>
        </w:trPr>
        <w:tc>
          <w:tcPr>
            <w:tcW w:w="252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bCs/>
                <w:sz w:val="20"/>
                <w:lang w:eastAsia="ko-KR"/>
              </w:rPr>
            </w:pPr>
            <w:r>
              <w:rPr>
                <w:rFonts w:eastAsia="Batang"/>
                <w:b/>
                <w:sz w:val="20"/>
                <w:lang w:eastAsia="ko-KR"/>
              </w:rPr>
              <w:t>Type of Charter</w:t>
            </w:r>
          </w:p>
          <w:p w:rsidR="000F3CEB" w:rsidRDefault="000F3CEB" w:rsidP="005F06DE">
            <w:pPr>
              <w:tabs>
                <w:tab w:val="left" w:pos="1940"/>
              </w:tabs>
              <w:spacing w:before="40"/>
              <w:ind w:left="162" w:hanging="193"/>
              <w:rPr>
                <w:rFonts w:eastAsia="Batang"/>
                <w:bCs/>
                <w:sz w:val="20"/>
                <w:lang w:eastAsia="ko-KR"/>
              </w:rPr>
            </w:pPr>
            <w:r>
              <w:rPr>
                <w:rFonts w:eastAsia="Batang"/>
                <w:sz w:val="16"/>
                <w:lang w:eastAsia="ko-KR"/>
              </w:rPr>
              <w:t>(Commonwealth or Horace Mann)</w:t>
            </w:r>
          </w:p>
        </w:tc>
        <w:tc>
          <w:tcPr>
            <w:tcW w:w="2880" w:type="dxa"/>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sz w:val="20"/>
                <w:lang w:eastAsia="ko-KR"/>
              </w:rPr>
            </w:pPr>
            <w:r>
              <w:rPr>
                <w:rFonts w:eastAsia="Batang"/>
                <w:sz w:val="20"/>
                <w:lang w:eastAsia="ko-KR"/>
              </w:rPr>
              <w:t>Commonwealth</w:t>
            </w:r>
          </w:p>
        </w:tc>
        <w:tc>
          <w:tcPr>
            <w:tcW w:w="198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bCs/>
                <w:sz w:val="20"/>
                <w:lang w:eastAsia="ko-KR"/>
              </w:rPr>
            </w:pPr>
            <w:r>
              <w:rPr>
                <w:rFonts w:eastAsia="Batang"/>
                <w:b/>
                <w:sz w:val="20"/>
                <w:lang w:eastAsia="ko-KR"/>
              </w:rPr>
              <w:t>Location</w:t>
            </w:r>
          </w:p>
        </w:tc>
        <w:tc>
          <w:tcPr>
            <w:tcW w:w="2520" w:type="dxa"/>
            <w:tcMar>
              <w:top w:w="0" w:type="dxa"/>
              <w:left w:w="108" w:type="dxa"/>
              <w:bottom w:w="0" w:type="dxa"/>
              <w:right w:w="108" w:type="dxa"/>
            </w:tcMar>
            <w:vAlign w:val="center"/>
          </w:tcPr>
          <w:p w:rsidR="000F3CEB" w:rsidRDefault="000F3CEB" w:rsidP="005F06DE">
            <w:pPr>
              <w:tabs>
                <w:tab w:val="left" w:pos="1940"/>
              </w:tabs>
              <w:spacing w:before="40" w:after="40"/>
              <w:ind w:left="162" w:hanging="193"/>
              <w:rPr>
                <w:rFonts w:eastAsia="Batang"/>
                <w:sz w:val="20"/>
                <w:lang w:eastAsia="ko-KR"/>
              </w:rPr>
            </w:pPr>
            <w:r>
              <w:rPr>
                <w:rFonts w:eastAsia="Batang"/>
                <w:sz w:val="20"/>
                <w:lang w:eastAsia="ko-KR"/>
              </w:rPr>
              <w:t>Boston</w:t>
            </w:r>
          </w:p>
        </w:tc>
      </w:tr>
      <w:tr w:rsidR="000F3CEB" w:rsidTr="005F06DE">
        <w:trPr>
          <w:trHeight w:val="503"/>
        </w:trPr>
        <w:tc>
          <w:tcPr>
            <w:tcW w:w="252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bCs/>
                <w:sz w:val="20"/>
                <w:lang w:eastAsia="ko-KR"/>
              </w:rPr>
            </w:pPr>
            <w:r>
              <w:rPr>
                <w:rFonts w:eastAsia="Batang"/>
                <w:b/>
                <w:sz w:val="20"/>
                <w:lang w:eastAsia="ko-KR"/>
              </w:rPr>
              <w:t>Regional or Non-Regional?</w:t>
            </w:r>
          </w:p>
        </w:tc>
        <w:tc>
          <w:tcPr>
            <w:tcW w:w="2880" w:type="dxa"/>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sz w:val="20"/>
                <w:lang w:eastAsia="ko-KR"/>
              </w:rPr>
            </w:pPr>
            <w:r>
              <w:rPr>
                <w:rFonts w:eastAsia="Batang"/>
                <w:sz w:val="20"/>
                <w:lang w:eastAsia="ko-KR"/>
              </w:rPr>
              <w:t>Non-Regional</w:t>
            </w:r>
          </w:p>
        </w:tc>
        <w:tc>
          <w:tcPr>
            <w:tcW w:w="198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bCs/>
                <w:sz w:val="20"/>
                <w:lang w:eastAsia="ko-KR"/>
              </w:rPr>
            </w:pPr>
            <w:r>
              <w:rPr>
                <w:rFonts w:eastAsia="Batang"/>
                <w:b/>
                <w:sz w:val="20"/>
                <w:lang w:eastAsia="ko-KR"/>
              </w:rPr>
              <w:t xml:space="preserve">Districts in Region </w:t>
            </w:r>
          </w:p>
          <w:p w:rsidR="000F3CEB" w:rsidRDefault="000F3CEB" w:rsidP="005F06DE">
            <w:pPr>
              <w:tabs>
                <w:tab w:val="left" w:pos="1940"/>
              </w:tabs>
              <w:spacing w:before="40"/>
              <w:ind w:left="162" w:hanging="193"/>
              <w:rPr>
                <w:rFonts w:eastAsia="Batang"/>
                <w:bCs/>
                <w:sz w:val="20"/>
                <w:lang w:eastAsia="ko-KR"/>
              </w:rPr>
            </w:pPr>
            <w:r>
              <w:rPr>
                <w:rFonts w:eastAsia="Batang"/>
                <w:sz w:val="16"/>
                <w:lang w:eastAsia="ko-KR"/>
              </w:rPr>
              <w:t>(if applicable)</w:t>
            </w:r>
          </w:p>
        </w:tc>
        <w:tc>
          <w:tcPr>
            <w:tcW w:w="2520" w:type="dxa"/>
            <w:tcMar>
              <w:top w:w="0" w:type="dxa"/>
              <w:left w:w="108" w:type="dxa"/>
              <w:bottom w:w="0" w:type="dxa"/>
              <w:right w:w="108" w:type="dxa"/>
            </w:tcMar>
            <w:vAlign w:val="center"/>
          </w:tcPr>
          <w:p w:rsidR="000F3CEB" w:rsidRDefault="000F3CEB" w:rsidP="005F06DE">
            <w:pPr>
              <w:tabs>
                <w:tab w:val="left" w:pos="1940"/>
              </w:tabs>
              <w:spacing w:before="40" w:after="40"/>
              <w:ind w:left="162" w:hanging="193"/>
              <w:rPr>
                <w:rFonts w:eastAsia="Batang"/>
                <w:b/>
                <w:sz w:val="20"/>
                <w:lang w:eastAsia="ko-KR"/>
              </w:rPr>
            </w:pPr>
            <w:r>
              <w:rPr>
                <w:rFonts w:eastAsia="Batang"/>
                <w:sz w:val="20"/>
                <w:lang w:eastAsia="ko-KR"/>
              </w:rPr>
              <w:t>N/A</w:t>
            </w:r>
          </w:p>
        </w:tc>
      </w:tr>
      <w:tr w:rsidR="000F3CEB" w:rsidTr="005F06DE">
        <w:trPr>
          <w:trHeight w:val="291"/>
        </w:trPr>
        <w:tc>
          <w:tcPr>
            <w:tcW w:w="252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bCs/>
                <w:sz w:val="20"/>
                <w:lang w:eastAsia="ko-KR"/>
              </w:rPr>
            </w:pPr>
            <w:r>
              <w:rPr>
                <w:rFonts w:eastAsia="Batang"/>
                <w:b/>
                <w:sz w:val="20"/>
                <w:lang w:eastAsia="ko-KR"/>
              </w:rPr>
              <w:t>Year Opened</w:t>
            </w:r>
          </w:p>
        </w:tc>
        <w:tc>
          <w:tcPr>
            <w:tcW w:w="2880" w:type="dxa"/>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sz w:val="20"/>
                <w:lang w:eastAsia="ko-KR"/>
              </w:rPr>
            </w:pPr>
            <w:r>
              <w:rPr>
                <w:rFonts w:eastAsia="Batang"/>
                <w:sz w:val="20"/>
                <w:lang w:eastAsia="ko-KR"/>
              </w:rPr>
              <w:t>2009</w:t>
            </w:r>
          </w:p>
        </w:tc>
        <w:tc>
          <w:tcPr>
            <w:tcW w:w="198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bCs/>
                <w:sz w:val="20"/>
                <w:lang w:eastAsia="ko-KR"/>
              </w:rPr>
            </w:pPr>
            <w:r>
              <w:rPr>
                <w:rFonts w:eastAsia="Batang"/>
                <w:b/>
                <w:sz w:val="20"/>
                <w:lang w:eastAsia="ko-KR"/>
              </w:rPr>
              <w:t>Year(s) Renewed</w:t>
            </w:r>
          </w:p>
          <w:p w:rsidR="000F3CEB" w:rsidRDefault="000F3CEB" w:rsidP="005F06DE">
            <w:pPr>
              <w:tabs>
                <w:tab w:val="left" w:pos="1940"/>
              </w:tabs>
              <w:spacing w:before="40"/>
              <w:ind w:left="162" w:hanging="193"/>
              <w:rPr>
                <w:rFonts w:eastAsia="Batang"/>
                <w:bCs/>
                <w:sz w:val="20"/>
                <w:lang w:eastAsia="ko-KR"/>
              </w:rPr>
            </w:pPr>
            <w:r>
              <w:rPr>
                <w:rFonts w:eastAsia="Batang"/>
                <w:sz w:val="16"/>
                <w:lang w:eastAsia="ko-KR"/>
              </w:rPr>
              <w:t>(if applicable)</w:t>
            </w:r>
          </w:p>
        </w:tc>
        <w:tc>
          <w:tcPr>
            <w:tcW w:w="2520" w:type="dxa"/>
            <w:tcMar>
              <w:top w:w="0" w:type="dxa"/>
              <w:left w:w="108" w:type="dxa"/>
              <w:bottom w:w="0" w:type="dxa"/>
              <w:right w:w="108" w:type="dxa"/>
            </w:tcMar>
            <w:vAlign w:val="center"/>
          </w:tcPr>
          <w:p w:rsidR="000F3CEB" w:rsidRDefault="000F3CEB" w:rsidP="005F06DE">
            <w:pPr>
              <w:tabs>
                <w:tab w:val="left" w:pos="1940"/>
              </w:tabs>
              <w:spacing w:before="40" w:after="40"/>
              <w:ind w:left="162" w:hanging="193"/>
              <w:rPr>
                <w:rFonts w:eastAsia="Batang"/>
                <w:b/>
                <w:sz w:val="20"/>
                <w:lang w:eastAsia="ko-KR"/>
              </w:rPr>
            </w:pPr>
            <w:r>
              <w:rPr>
                <w:rFonts w:eastAsia="Batang"/>
                <w:sz w:val="20"/>
                <w:lang w:eastAsia="ko-KR"/>
              </w:rPr>
              <w:t>N/A</w:t>
            </w:r>
          </w:p>
        </w:tc>
      </w:tr>
      <w:tr w:rsidR="000F3CEB" w:rsidTr="005F06DE">
        <w:trPr>
          <w:trHeight w:val="358"/>
        </w:trPr>
        <w:tc>
          <w:tcPr>
            <w:tcW w:w="252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bCs/>
                <w:sz w:val="20"/>
                <w:lang w:eastAsia="ko-KR"/>
              </w:rPr>
            </w:pPr>
            <w:r>
              <w:rPr>
                <w:rFonts w:eastAsia="Batang"/>
                <w:b/>
                <w:sz w:val="20"/>
                <w:lang w:eastAsia="ko-KR"/>
              </w:rPr>
              <w:t>Maximum Enrollment</w:t>
            </w:r>
          </w:p>
        </w:tc>
        <w:tc>
          <w:tcPr>
            <w:tcW w:w="2880" w:type="dxa"/>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sz w:val="20"/>
                <w:lang w:eastAsia="ko-KR"/>
              </w:rPr>
            </w:pPr>
            <w:r>
              <w:rPr>
                <w:rFonts w:eastAsia="Batang"/>
                <w:sz w:val="20"/>
                <w:lang w:eastAsia="ko-KR"/>
              </w:rPr>
              <w:t>238</w:t>
            </w:r>
          </w:p>
        </w:tc>
        <w:tc>
          <w:tcPr>
            <w:tcW w:w="198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bCs/>
                <w:sz w:val="20"/>
                <w:lang w:eastAsia="ko-KR"/>
              </w:rPr>
            </w:pPr>
            <w:r>
              <w:rPr>
                <w:rFonts w:eastAsia="Batang"/>
                <w:b/>
                <w:sz w:val="20"/>
                <w:lang w:eastAsia="ko-KR"/>
              </w:rPr>
              <w:t>Current Enrollment</w:t>
            </w:r>
          </w:p>
        </w:tc>
        <w:tc>
          <w:tcPr>
            <w:tcW w:w="2520" w:type="dxa"/>
            <w:tcMar>
              <w:top w:w="0" w:type="dxa"/>
              <w:left w:w="108" w:type="dxa"/>
              <w:bottom w:w="0" w:type="dxa"/>
              <w:right w:w="108" w:type="dxa"/>
            </w:tcMar>
            <w:vAlign w:val="center"/>
          </w:tcPr>
          <w:p w:rsidR="000F3CEB" w:rsidRDefault="000F3CEB" w:rsidP="005F06DE">
            <w:pPr>
              <w:tabs>
                <w:tab w:val="left" w:pos="1940"/>
              </w:tabs>
              <w:spacing w:before="40" w:after="40"/>
              <w:ind w:left="162" w:hanging="193"/>
              <w:rPr>
                <w:rFonts w:eastAsia="Batang"/>
                <w:b/>
                <w:sz w:val="20"/>
                <w:lang w:eastAsia="ko-KR"/>
              </w:rPr>
            </w:pPr>
            <w:r>
              <w:rPr>
                <w:rFonts w:eastAsia="Batang"/>
                <w:sz w:val="20"/>
                <w:lang w:eastAsia="ko-KR"/>
              </w:rPr>
              <w:t>192</w:t>
            </w:r>
          </w:p>
        </w:tc>
      </w:tr>
      <w:tr w:rsidR="000F3CEB" w:rsidTr="005F06DE">
        <w:trPr>
          <w:trHeight w:val="520"/>
        </w:trPr>
        <w:tc>
          <w:tcPr>
            <w:tcW w:w="252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rPr>
                <w:rFonts w:eastAsia="Batang"/>
                <w:b/>
                <w:bCs/>
                <w:sz w:val="20"/>
                <w:lang w:eastAsia="ko-KR"/>
              </w:rPr>
            </w:pPr>
            <w:r>
              <w:rPr>
                <w:rFonts w:eastAsia="Batang"/>
                <w:b/>
                <w:sz w:val="20"/>
                <w:lang w:eastAsia="ko-KR"/>
              </w:rPr>
              <w:t>Chartered Grade Span</w:t>
            </w:r>
          </w:p>
        </w:tc>
        <w:tc>
          <w:tcPr>
            <w:tcW w:w="2880" w:type="dxa"/>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sz w:val="20"/>
                <w:lang w:eastAsia="ko-KR"/>
              </w:rPr>
            </w:pPr>
            <w:r>
              <w:rPr>
                <w:rFonts w:eastAsia="Batang"/>
                <w:sz w:val="20"/>
                <w:lang w:eastAsia="ko-KR"/>
              </w:rPr>
              <w:t>4-12</w:t>
            </w:r>
          </w:p>
        </w:tc>
        <w:tc>
          <w:tcPr>
            <w:tcW w:w="198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520" w:type="dxa"/>
            <w:tcMar>
              <w:top w:w="0" w:type="dxa"/>
              <w:left w:w="108" w:type="dxa"/>
              <w:bottom w:w="0" w:type="dxa"/>
              <w:right w:w="108" w:type="dxa"/>
            </w:tcMar>
            <w:vAlign w:val="center"/>
          </w:tcPr>
          <w:p w:rsidR="000F3CEB" w:rsidRDefault="000F3CEB" w:rsidP="005F06DE">
            <w:pPr>
              <w:tabs>
                <w:tab w:val="left" w:pos="1940"/>
              </w:tabs>
              <w:spacing w:before="40" w:after="40"/>
              <w:ind w:left="162" w:hanging="193"/>
              <w:rPr>
                <w:rFonts w:eastAsia="Batang"/>
                <w:b/>
                <w:sz w:val="20"/>
                <w:lang w:eastAsia="ko-KR"/>
              </w:rPr>
            </w:pPr>
            <w:r>
              <w:rPr>
                <w:rFonts w:eastAsia="Batang"/>
                <w:sz w:val="20"/>
                <w:lang w:eastAsia="ko-KR"/>
              </w:rPr>
              <w:t>4-8</w:t>
            </w:r>
          </w:p>
        </w:tc>
      </w:tr>
      <w:tr w:rsidR="000F3CEB" w:rsidTr="005F06DE">
        <w:trPr>
          <w:trHeight w:val="520"/>
        </w:trPr>
        <w:tc>
          <w:tcPr>
            <w:tcW w:w="252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rPr>
                <w:rFonts w:eastAsia="Batang"/>
                <w:b/>
                <w:sz w:val="20"/>
                <w:lang w:eastAsia="ko-KR"/>
              </w:rPr>
            </w:pPr>
            <w:r>
              <w:rPr>
                <w:rFonts w:eastAsia="Batang"/>
                <w:b/>
                <w:sz w:val="20"/>
                <w:lang w:eastAsia="ko-KR"/>
              </w:rPr>
              <w:t>Students on Waitlist</w:t>
            </w:r>
          </w:p>
        </w:tc>
        <w:tc>
          <w:tcPr>
            <w:tcW w:w="2880" w:type="dxa"/>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sz w:val="20"/>
                <w:lang w:eastAsia="ko-KR"/>
              </w:rPr>
            </w:pPr>
            <w:r>
              <w:rPr>
                <w:rFonts w:eastAsia="Batang"/>
                <w:sz w:val="20"/>
                <w:lang w:eastAsia="ko-KR"/>
              </w:rPr>
              <w:t>912</w:t>
            </w:r>
          </w:p>
        </w:tc>
        <w:tc>
          <w:tcPr>
            <w:tcW w:w="1980" w:type="dxa"/>
            <w:shd w:val="clear" w:color="auto" w:fill="F2F2F2"/>
            <w:tcMar>
              <w:top w:w="0" w:type="dxa"/>
              <w:left w:w="108" w:type="dxa"/>
              <w:bottom w:w="0" w:type="dxa"/>
              <w:right w:w="108" w:type="dxa"/>
            </w:tcMar>
            <w:vAlign w:val="center"/>
          </w:tcPr>
          <w:p w:rsidR="000F3CEB" w:rsidRDefault="000F3CEB" w:rsidP="005F06DE">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520" w:type="dxa"/>
            <w:tcMar>
              <w:top w:w="0" w:type="dxa"/>
              <w:left w:w="108" w:type="dxa"/>
              <w:bottom w:w="0" w:type="dxa"/>
              <w:right w:w="108" w:type="dxa"/>
            </w:tcMar>
            <w:vAlign w:val="center"/>
          </w:tcPr>
          <w:p w:rsidR="000F3CEB" w:rsidRDefault="000F3CEB" w:rsidP="005F06DE">
            <w:pPr>
              <w:tabs>
                <w:tab w:val="left" w:pos="1940"/>
              </w:tabs>
              <w:spacing w:before="40" w:after="40"/>
              <w:ind w:left="162" w:hanging="193"/>
              <w:rPr>
                <w:rFonts w:eastAsia="Batang"/>
                <w:sz w:val="20"/>
                <w:lang w:eastAsia="ko-KR"/>
              </w:rPr>
            </w:pPr>
            <w:r>
              <w:rPr>
                <w:rFonts w:eastAsia="Batang"/>
                <w:sz w:val="20"/>
                <w:lang w:eastAsia="ko-KR"/>
              </w:rPr>
              <w:t>5 years</w:t>
            </w:r>
          </w:p>
        </w:tc>
      </w:tr>
      <w:tr w:rsidR="000F3CEB" w:rsidTr="005F06DE">
        <w:trPr>
          <w:trHeight w:val="520"/>
        </w:trPr>
        <w:tc>
          <w:tcPr>
            <w:tcW w:w="9900" w:type="dxa"/>
            <w:gridSpan w:val="4"/>
            <w:tcMar>
              <w:top w:w="0" w:type="dxa"/>
              <w:left w:w="108" w:type="dxa"/>
              <w:bottom w:w="0" w:type="dxa"/>
              <w:right w:w="108" w:type="dxa"/>
            </w:tcMar>
            <w:vAlign w:val="center"/>
          </w:tcPr>
          <w:p w:rsidR="000F3CEB" w:rsidRDefault="000F3CEB" w:rsidP="005F06DE">
            <w:pPr>
              <w:tabs>
                <w:tab w:val="left" w:pos="1940"/>
              </w:tabs>
              <w:spacing w:before="40" w:after="40"/>
              <w:ind w:hanging="31"/>
              <w:rPr>
                <w:rFonts w:eastAsia="Batang"/>
                <w:sz w:val="20"/>
                <w:lang w:eastAsia="ko-KR"/>
              </w:rPr>
            </w:pPr>
            <w:r>
              <w:rPr>
                <w:rFonts w:eastAsia="Batang"/>
                <w:b/>
                <w:sz w:val="20"/>
                <w:lang w:eastAsia="ko-KR"/>
              </w:rPr>
              <w:t>Mission:</w:t>
            </w:r>
            <w:r>
              <w:rPr>
                <w:szCs w:val="24"/>
              </w:rPr>
              <w:t xml:space="preserve"> “Dorchester Collegiate Academy Charter School will be a rigorous middle and high school whose mission is to prepare for college those students who exhibit the primary indicators that portend poor achievement and eventually dropping out of school – chronic absenteeism, consistent disciplinary issues, and unsatisfactory academic performance. DCACS students will pursue an intellectual and ethical education in a learning community, combining high expectations with personalized academic and non-academic support systems. DCACS success will be measured by students’ high school and college graduation rates, as well as their ability to consistently think and act, using ethical foundations.”</w:t>
            </w:r>
          </w:p>
        </w:tc>
      </w:tr>
    </w:tbl>
    <w:p w:rsidR="000F3CEB" w:rsidRDefault="000F3CEB" w:rsidP="000F3CEB">
      <w:pPr>
        <w:pStyle w:val="BodyText2"/>
        <w:ind w:right="-360"/>
        <w:rPr>
          <w:u w:val="single"/>
        </w:rPr>
      </w:pPr>
    </w:p>
    <w:p w:rsidR="000F3CEB" w:rsidRPr="005D2A0E" w:rsidRDefault="000F3CEB" w:rsidP="005D2A0E">
      <w:pPr>
        <w:pStyle w:val="BodyTextIndent"/>
        <w:spacing w:after="0"/>
        <w:ind w:left="0" w:right="-360"/>
        <w:rPr>
          <w:b/>
          <w:bCs/>
          <w:sz w:val="24"/>
          <w:szCs w:val="24"/>
        </w:rPr>
      </w:pPr>
      <w:r w:rsidRPr="005D2A0E">
        <w:rPr>
          <w:b/>
          <w:bCs/>
          <w:sz w:val="24"/>
          <w:szCs w:val="24"/>
        </w:rPr>
        <w:lastRenderedPageBreak/>
        <w:t>Basis of Recommendations Regarding the Renewal of Charters</w:t>
      </w:r>
    </w:p>
    <w:p w:rsidR="000F3CEB" w:rsidRDefault="000F3CEB" w:rsidP="000F3CEB">
      <w:pPr>
        <w:rPr>
          <w:b/>
          <w:bCs/>
          <w:szCs w:val="24"/>
        </w:rPr>
      </w:pPr>
    </w:p>
    <w:p w:rsidR="000F3CEB" w:rsidRDefault="000F3CEB" w:rsidP="000F3CEB">
      <w:pPr>
        <w:rPr>
          <w:szCs w:val="24"/>
        </w:rPr>
      </w:pPr>
      <w:r>
        <w:rPr>
          <w:szCs w:val="24"/>
        </w:rPr>
        <w:t xml:space="preserve">The charter school regulations state that “[t]he decision by the Board to renew a charter shall be based upon the presentation of affirmative evidence regarding the success of the school’s academic program; the viability of the school as an organization, </w:t>
      </w:r>
      <w:r>
        <w:t>including the extent to which the school has followed its recruitment and retention plan</w:t>
      </w:r>
      <w:r>
        <w:rPr>
          <w:szCs w:val="24"/>
        </w:rPr>
        <w:t xml:space="preserve">; and the faithfulness of the school to the terms of its charter” 603 CMR 1.12. Consistent with the regulations, recommendations regarding renewal are based upon the Department of Elementary and Secondary Education’s (Department) evaluation of the school’s performance in these areas as outlined in the </w:t>
      </w:r>
      <w:hyperlink r:id="rId10" w:history="1">
        <w:r>
          <w:rPr>
            <w:rStyle w:val="Hyperlink"/>
            <w:szCs w:val="24"/>
          </w:rPr>
          <w:t>Charter School Performance Criteria</w:t>
        </w:r>
      </w:hyperlink>
      <w:r>
        <w:rPr>
          <w:szCs w:val="24"/>
        </w:rPr>
        <w:t xml:space="preserve"> and </w:t>
      </w:r>
      <w:r>
        <w:t xml:space="preserve">my memorandum dated October 7, 2013 regarding </w:t>
      </w:r>
      <w:hyperlink r:id="rId11" w:history="1">
        <w:r>
          <w:rPr>
            <w:rStyle w:val="Hyperlink"/>
            <w:szCs w:val="24"/>
          </w:rPr>
          <w:t>Considerations for Charter School Renewal</w:t>
        </w:r>
      </w:hyperlink>
      <w:r>
        <w:rPr>
          <w:szCs w:val="24"/>
        </w:rPr>
        <w:t>.</w:t>
      </w:r>
      <w:r>
        <w:t xml:space="preserve"> I</w:t>
      </w:r>
      <w:r>
        <w:rPr>
          <w:szCs w:val="24"/>
        </w:rPr>
        <w:t>n its review, the Department has considered the school’s absolute performance at the time of the application for renewal and the progress the school has made during the past four years of its charter. The accountability process for charter schools recognizes that in exchange for increased freedom, a school must demonstrate results within the term of its five-year charter or risk non-renewal.</w:t>
      </w:r>
    </w:p>
    <w:p w:rsidR="000F3CEB" w:rsidRDefault="000F3CEB" w:rsidP="000F3CEB">
      <w:pPr>
        <w:rPr>
          <w:szCs w:val="24"/>
        </w:rPr>
      </w:pPr>
    </w:p>
    <w:p w:rsidR="000F3CEB" w:rsidRDefault="000F3CEB" w:rsidP="000F3CEB">
      <w:pPr>
        <w:pStyle w:val="BodyText2"/>
        <w:rPr>
          <w:szCs w:val="24"/>
        </w:rPr>
      </w:pPr>
      <w:r>
        <w:rPr>
          <w:szCs w:val="24"/>
        </w:rPr>
        <w:t>The superintendent of the Boston Public Schools was invited to submit written comment to the Department regarding the renewal of DCACS’s charter and its major amendment request. No comments have been received.</w:t>
      </w:r>
    </w:p>
    <w:p w:rsidR="000F3CEB" w:rsidRDefault="000F3CEB" w:rsidP="000F3CEB">
      <w:pPr>
        <w:pStyle w:val="BodyText2"/>
        <w:rPr>
          <w:color w:val="FF0000"/>
          <w:szCs w:val="24"/>
        </w:rPr>
      </w:pPr>
    </w:p>
    <w:p w:rsidR="000F3CEB" w:rsidRDefault="000F3CEB" w:rsidP="000F3CEB">
      <w:pPr>
        <w:pStyle w:val="BodyTextIndent"/>
        <w:spacing w:after="0"/>
        <w:ind w:left="0" w:right="-360"/>
        <w:rPr>
          <w:b/>
          <w:bCs/>
          <w:sz w:val="24"/>
          <w:szCs w:val="24"/>
        </w:rPr>
      </w:pPr>
      <w:r>
        <w:rPr>
          <w:b/>
          <w:bCs/>
          <w:sz w:val="24"/>
          <w:szCs w:val="24"/>
        </w:rPr>
        <w:t xml:space="preserve">Recommendation for Board Action </w:t>
      </w:r>
    </w:p>
    <w:p w:rsidR="000F3CEB" w:rsidRDefault="000F3CEB" w:rsidP="000F3CEB">
      <w:pPr>
        <w:pStyle w:val="BodyTextIndent"/>
        <w:spacing w:after="0"/>
        <w:ind w:left="0" w:right="-360"/>
        <w:rPr>
          <w:b/>
          <w:bCs/>
          <w:sz w:val="24"/>
          <w:szCs w:val="24"/>
        </w:rPr>
      </w:pPr>
      <w:r>
        <w:rPr>
          <w:b/>
          <w:bCs/>
          <w:sz w:val="24"/>
          <w:szCs w:val="24"/>
        </w:rPr>
        <w:t xml:space="preserve"> </w:t>
      </w:r>
    </w:p>
    <w:p w:rsidR="000F3CEB" w:rsidRDefault="000F3CEB" w:rsidP="000F3CEB">
      <w:pPr>
        <w:pStyle w:val="BodyText"/>
        <w:spacing w:after="0"/>
        <w:ind w:right="-360"/>
        <w:rPr>
          <w:sz w:val="24"/>
          <w:szCs w:val="24"/>
        </w:rPr>
      </w:pPr>
      <w:r>
        <w:rPr>
          <w:sz w:val="24"/>
          <w:szCs w:val="24"/>
        </w:rPr>
        <w:t xml:space="preserve">Based upon the evidence described in the attached Summary of Review and further summarized below, DCACS has had limited academic success during its first charter term. DCACS’s response to the Summary of Review is attached. I recommend that the Board place the school on probation and renew the charter with conditions requiring major improvements in the areas of faithfulness to its charter; academic program and performance; and governance and financial oversight. I am not recommending non-renewal at this time, because the school is already making efforts to address these deficiencies. </w:t>
      </w:r>
    </w:p>
    <w:p w:rsidR="000F3CEB" w:rsidRDefault="000F3CEB" w:rsidP="000F3CEB">
      <w:pPr>
        <w:pStyle w:val="BodyText"/>
        <w:spacing w:after="0"/>
        <w:ind w:right="-360"/>
        <w:rPr>
          <w:sz w:val="23"/>
          <w:szCs w:val="23"/>
        </w:rPr>
      </w:pPr>
    </w:p>
    <w:tbl>
      <w:tblPr>
        <w:tblW w:w="9512"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2A0" w:firstRow="1" w:lastRow="0" w:firstColumn="1" w:lastColumn="0" w:noHBand="1" w:noVBand="0"/>
      </w:tblPr>
      <w:tblGrid>
        <w:gridCol w:w="450"/>
        <w:gridCol w:w="1620"/>
        <w:gridCol w:w="900"/>
        <w:gridCol w:w="1260"/>
        <w:gridCol w:w="5282"/>
      </w:tblGrid>
      <w:tr w:rsidR="000F3CEB" w:rsidTr="005F06DE">
        <w:trPr>
          <w:trHeight w:val="346"/>
          <w:jc w:val="center"/>
        </w:trPr>
        <w:tc>
          <w:tcPr>
            <w:tcW w:w="2970" w:type="dxa"/>
            <w:gridSpan w:val="3"/>
            <w:shd w:val="clear" w:color="auto" w:fill="D9D9D9"/>
            <w:vAlign w:val="center"/>
          </w:tcPr>
          <w:p w:rsidR="000F3CEB" w:rsidRDefault="000F3CEB" w:rsidP="005F06DE">
            <w:pPr>
              <w:pStyle w:val="Header"/>
              <w:jc w:val="center"/>
              <w:rPr>
                <w:b/>
                <w:bCs/>
                <w:sz w:val="22"/>
                <w:szCs w:val="22"/>
              </w:rPr>
            </w:pPr>
            <w:r>
              <w:rPr>
                <w:b/>
                <w:bCs/>
                <w:sz w:val="22"/>
                <w:szCs w:val="22"/>
              </w:rPr>
              <w:t>Massachusetts Charter School Performance Criteria</w:t>
            </w:r>
          </w:p>
        </w:tc>
        <w:tc>
          <w:tcPr>
            <w:tcW w:w="1260" w:type="dxa"/>
            <w:shd w:val="clear" w:color="auto" w:fill="D9D9D9"/>
            <w:vAlign w:val="center"/>
          </w:tcPr>
          <w:p w:rsidR="000F3CEB" w:rsidRDefault="000F3CEB" w:rsidP="005F06DE">
            <w:pPr>
              <w:jc w:val="center"/>
              <w:rPr>
                <w:b/>
                <w:bCs/>
                <w:sz w:val="22"/>
                <w:szCs w:val="22"/>
              </w:rPr>
            </w:pPr>
            <w:r>
              <w:rPr>
                <w:b/>
                <w:bCs/>
                <w:sz w:val="22"/>
                <w:szCs w:val="22"/>
              </w:rPr>
              <w:t>Rating</w:t>
            </w:r>
          </w:p>
        </w:tc>
        <w:tc>
          <w:tcPr>
            <w:tcW w:w="5282" w:type="dxa"/>
            <w:shd w:val="clear" w:color="auto" w:fill="D9D9D9"/>
            <w:vAlign w:val="center"/>
          </w:tcPr>
          <w:p w:rsidR="000F3CEB" w:rsidRDefault="000F3CEB" w:rsidP="005F06DE">
            <w:pPr>
              <w:jc w:val="center"/>
              <w:rPr>
                <w:b/>
                <w:bCs/>
                <w:sz w:val="22"/>
                <w:szCs w:val="22"/>
              </w:rPr>
            </w:pPr>
            <w:r>
              <w:rPr>
                <w:b/>
                <w:bCs/>
                <w:sz w:val="22"/>
                <w:szCs w:val="22"/>
              </w:rPr>
              <w:t>Summary of Review Findings</w:t>
            </w:r>
          </w:p>
        </w:tc>
      </w:tr>
      <w:tr w:rsidR="000F3CEB" w:rsidTr="005F06DE">
        <w:trPr>
          <w:cantSplit/>
          <w:trHeight w:val="1900"/>
          <w:jc w:val="center"/>
        </w:trPr>
        <w:tc>
          <w:tcPr>
            <w:tcW w:w="450" w:type="dxa"/>
            <w:vMerge w:val="restart"/>
            <w:shd w:val="clear" w:color="auto" w:fill="CCCCCC"/>
            <w:tcMar>
              <w:top w:w="43" w:type="dxa"/>
              <w:left w:w="43" w:type="dxa"/>
              <w:bottom w:w="43" w:type="dxa"/>
              <w:right w:w="43" w:type="dxa"/>
            </w:tcMar>
            <w:textDirection w:val="btLr"/>
            <w:vAlign w:val="center"/>
          </w:tcPr>
          <w:p w:rsidR="000F3CEB" w:rsidRDefault="000F3CEB" w:rsidP="005F06DE">
            <w:pPr>
              <w:ind w:left="113" w:right="113"/>
              <w:jc w:val="center"/>
              <w:rPr>
                <w:b/>
                <w:bCs/>
                <w:sz w:val="20"/>
              </w:rPr>
            </w:pPr>
            <w:r>
              <w:rPr>
                <w:b/>
                <w:sz w:val="20"/>
              </w:rPr>
              <w:t>Faithfuln</w:t>
            </w:r>
          </w:p>
        </w:tc>
        <w:tc>
          <w:tcPr>
            <w:tcW w:w="2520" w:type="dxa"/>
            <w:gridSpan w:val="2"/>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66"/>
                <w:tab w:val="left" w:pos="591"/>
              </w:tabs>
              <w:ind w:left="216" w:right="258" w:hanging="90"/>
              <w:rPr>
                <w:b/>
                <w:bCs/>
                <w:sz w:val="20"/>
              </w:rPr>
            </w:pPr>
            <w:r>
              <w:rPr>
                <w:b/>
                <w:bCs/>
                <w:sz w:val="20"/>
              </w:rPr>
              <w:t>Mission and Key Design Elements</w:t>
            </w:r>
          </w:p>
        </w:tc>
        <w:tc>
          <w:tcPr>
            <w:tcW w:w="1260" w:type="dxa"/>
            <w:tcMar>
              <w:top w:w="43" w:type="dxa"/>
              <w:left w:w="43" w:type="dxa"/>
              <w:bottom w:w="43" w:type="dxa"/>
              <w:right w:w="43" w:type="dxa"/>
            </w:tcMar>
            <w:vAlign w:val="center"/>
          </w:tcPr>
          <w:p w:rsidR="000F3CEB" w:rsidRDefault="000F3CEB" w:rsidP="005F06DE">
            <w:pPr>
              <w:spacing w:before="50" w:after="50"/>
              <w:ind w:left="137"/>
              <w:rPr>
                <w:b/>
                <w:bCs/>
                <w:sz w:val="20"/>
              </w:rPr>
            </w:pPr>
            <w:r>
              <w:rPr>
                <w:rFonts w:ascii="Wingdings" w:hAnsi="Wingdings"/>
                <w:color w:val="FF0000"/>
                <w:sz w:val="20"/>
              </w:rPr>
              <w:t></w:t>
            </w:r>
            <w:r>
              <w:rPr>
                <w:sz w:val="20"/>
              </w:rPr>
              <w:t xml:space="preserve"> Falls Far Below</w:t>
            </w:r>
          </w:p>
        </w:tc>
        <w:tc>
          <w:tcPr>
            <w:tcW w:w="5282" w:type="dxa"/>
          </w:tcPr>
          <w:p w:rsidR="000F3CEB" w:rsidRDefault="000F3CEB" w:rsidP="000F3CEB">
            <w:pPr>
              <w:pStyle w:val="Finding"/>
              <w:numPr>
                <w:ilvl w:val="0"/>
                <w:numId w:val="5"/>
              </w:numPr>
              <w:ind w:hanging="324"/>
              <w:rPr>
                <w:i w:val="0"/>
                <w:sz w:val="20"/>
              </w:rPr>
            </w:pPr>
            <w:r>
              <w:rPr>
                <w:i w:val="0"/>
                <w:sz w:val="20"/>
              </w:rPr>
              <w:t>Over the charter term, the school has not provided an academic program that is faithful to its mission. Key design elements of the charter are not fully embedded in the school’s program. The school has been providing students with social-emotional supports as envisioned in its charter</w:t>
            </w:r>
          </w:p>
          <w:p w:rsidR="000F3CEB" w:rsidRDefault="000F3CEB" w:rsidP="000F3CEB">
            <w:pPr>
              <w:pStyle w:val="Finding"/>
              <w:numPr>
                <w:ilvl w:val="0"/>
                <w:numId w:val="5"/>
              </w:numPr>
              <w:ind w:hanging="324"/>
              <w:rPr>
                <w:i w:val="0"/>
                <w:sz w:val="20"/>
              </w:rPr>
            </w:pPr>
            <w:r>
              <w:rPr>
                <w:i w:val="0"/>
                <w:sz w:val="20"/>
              </w:rPr>
              <w:t>DCACS did not meet a majority of the measures in its accountability plan.</w:t>
            </w:r>
          </w:p>
        </w:tc>
      </w:tr>
      <w:tr w:rsidR="000F3CEB" w:rsidTr="005F06DE">
        <w:trPr>
          <w:cantSplit/>
          <w:trHeight w:hRule="exact" w:val="1520"/>
          <w:jc w:val="center"/>
        </w:trPr>
        <w:tc>
          <w:tcPr>
            <w:tcW w:w="450" w:type="dxa"/>
            <w:vMerge/>
            <w:shd w:val="clear" w:color="auto" w:fill="CCCCCC"/>
            <w:tcMar>
              <w:top w:w="43" w:type="dxa"/>
              <w:left w:w="43" w:type="dxa"/>
              <w:bottom w:w="43" w:type="dxa"/>
              <w:right w:w="43" w:type="dxa"/>
            </w:tcMar>
          </w:tcPr>
          <w:p w:rsidR="000F3CEB" w:rsidRDefault="000F3CEB" w:rsidP="005F06DE">
            <w:pPr>
              <w:rPr>
                <w:b/>
                <w:sz w:val="20"/>
              </w:rPr>
            </w:pPr>
          </w:p>
        </w:tc>
        <w:tc>
          <w:tcPr>
            <w:tcW w:w="2520" w:type="dxa"/>
            <w:gridSpan w:val="2"/>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66"/>
                <w:tab w:val="left" w:pos="591"/>
              </w:tabs>
              <w:ind w:left="216" w:right="258" w:hanging="90"/>
              <w:rPr>
                <w:b/>
                <w:bCs/>
                <w:sz w:val="20"/>
              </w:rPr>
            </w:pPr>
            <w:r>
              <w:rPr>
                <w:b/>
                <w:bCs/>
                <w:sz w:val="20"/>
              </w:rPr>
              <w:t>Access and Equity</w:t>
            </w:r>
          </w:p>
        </w:tc>
        <w:tc>
          <w:tcPr>
            <w:tcW w:w="1260" w:type="dxa"/>
            <w:tcMar>
              <w:top w:w="43" w:type="dxa"/>
              <w:left w:w="43" w:type="dxa"/>
              <w:bottom w:w="43" w:type="dxa"/>
              <w:right w:w="43" w:type="dxa"/>
            </w:tcMar>
            <w:vAlign w:val="center"/>
          </w:tcPr>
          <w:p w:rsidR="000F3CEB" w:rsidRDefault="000F3CEB" w:rsidP="005F06DE">
            <w:pPr>
              <w:spacing w:before="50" w:after="50"/>
              <w:ind w:left="137"/>
              <w:rPr>
                <w:b/>
                <w:bCs/>
                <w:sz w:val="20"/>
              </w:rPr>
            </w:pPr>
            <w:r>
              <w:rPr>
                <w:rFonts w:ascii="Wingdings" w:hAnsi="Wingdings"/>
                <w:color w:val="00B050"/>
                <w:sz w:val="20"/>
              </w:rPr>
              <w:t></w:t>
            </w:r>
            <w:r>
              <w:rPr>
                <w:sz w:val="20"/>
              </w:rPr>
              <w:t xml:space="preserve"> Meets</w:t>
            </w:r>
          </w:p>
        </w:tc>
        <w:tc>
          <w:tcPr>
            <w:tcW w:w="5282" w:type="dxa"/>
          </w:tcPr>
          <w:p w:rsidR="000F3CEB" w:rsidRDefault="000F3CEB" w:rsidP="000F3CEB">
            <w:pPr>
              <w:pStyle w:val="Finding"/>
              <w:numPr>
                <w:ilvl w:val="0"/>
                <w:numId w:val="5"/>
              </w:numPr>
              <w:rPr>
                <w:i w:val="0"/>
                <w:sz w:val="20"/>
              </w:rPr>
            </w:pPr>
            <w:r>
              <w:rPr>
                <w:i w:val="0"/>
                <w:sz w:val="20"/>
              </w:rPr>
              <w:t xml:space="preserve">The availability of programs and services for students with disabilities and English language learners is provided in the school’s recruitment activities, but is not available on the website. </w:t>
            </w:r>
          </w:p>
          <w:p w:rsidR="000F3CEB" w:rsidRDefault="000F3CEB" w:rsidP="000F3CEB">
            <w:pPr>
              <w:numPr>
                <w:ilvl w:val="0"/>
                <w:numId w:val="5"/>
              </w:numPr>
              <w:rPr>
                <w:sz w:val="20"/>
              </w:rPr>
            </w:pPr>
            <w:r>
              <w:rPr>
                <w:sz w:val="20"/>
              </w:rPr>
              <w:t xml:space="preserve">The school’s recruitment and retention plan was received and approved following revisions. </w:t>
            </w:r>
          </w:p>
        </w:tc>
      </w:tr>
      <w:tr w:rsidR="000F3CEB" w:rsidTr="005F06DE">
        <w:trPr>
          <w:cantSplit/>
          <w:trHeight w:hRule="exact" w:val="1151"/>
          <w:jc w:val="center"/>
        </w:trPr>
        <w:tc>
          <w:tcPr>
            <w:tcW w:w="450" w:type="dxa"/>
            <w:vMerge/>
            <w:shd w:val="clear" w:color="auto" w:fill="CCCCCC"/>
            <w:tcMar>
              <w:top w:w="43" w:type="dxa"/>
              <w:left w:w="43" w:type="dxa"/>
              <w:bottom w:w="43" w:type="dxa"/>
              <w:right w:w="43" w:type="dxa"/>
            </w:tcMar>
          </w:tcPr>
          <w:p w:rsidR="000F3CEB" w:rsidRDefault="000F3CEB" w:rsidP="005F06DE">
            <w:pPr>
              <w:rPr>
                <w:b/>
                <w:sz w:val="20"/>
              </w:rPr>
            </w:pPr>
          </w:p>
        </w:tc>
        <w:tc>
          <w:tcPr>
            <w:tcW w:w="2520" w:type="dxa"/>
            <w:gridSpan w:val="2"/>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66"/>
                <w:tab w:val="left" w:pos="591"/>
              </w:tabs>
              <w:ind w:left="216" w:right="258" w:hanging="90"/>
              <w:rPr>
                <w:b/>
                <w:bCs/>
                <w:sz w:val="20"/>
              </w:rPr>
            </w:pPr>
            <w:r>
              <w:rPr>
                <w:b/>
                <w:bCs/>
                <w:sz w:val="20"/>
              </w:rPr>
              <w:t>Compliance</w:t>
            </w:r>
          </w:p>
        </w:tc>
        <w:tc>
          <w:tcPr>
            <w:tcW w:w="1260" w:type="dxa"/>
            <w:tcMar>
              <w:top w:w="43" w:type="dxa"/>
              <w:left w:w="43" w:type="dxa"/>
              <w:bottom w:w="43" w:type="dxa"/>
              <w:right w:w="43" w:type="dxa"/>
            </w:tcMar>
            <w:vAlign w:val="center"/>
          </w:tcPr>
          <w:p w:rsidR="000F3CEB" w:rsidRDefault="000F3CEB" w:rsidP="005F06DE">
            <w:pPr>
              <w:spacing w:before="50" w:after="50"/>
              <w:ind w:left="137"/>
              <w:rPr>
                <w:bCs/>
                <w:sz w:val="20"/>
              </w:rPr>
            </w:pPr>
            <w:r>
              <w:rPr>
                <w:rFonts w:ascii="Wingdings" w:hAnsi="Wingdings"/>
                <w:color w:val="00B050"/>
                <w:sz w:val="20"/>
              </w:rPr>
              <w:t></w:t>
            </w:r>
            <w:r>
              <w:rPr>
                <w:sz w:val="20"/>
              </w:rPr>
              <w:t xml:space="preserve"> Meets</w:t>
            </w:r>
          </w:p>
        </w:tc>
        <w:tc>
          <w:tcPr>
            <w:tcW w:w="5282" w:type="dxa"/>
          </w:tcPr>
          <w:p w:rsidR="000F3CEB" w:rsidRDefault="000F3CEB" w:rsidP="000F3CEB">
            <w:pPr>
              <w:pStyle w:val="Finding"/>
              <w:numPr>
                <w:ilvl w:val="0"/>
                <w:numId w:val="5"/>
              </w:numPr>
              <w:rPr>
                <w:i w:val="0"/>
                <w:sz w:val="20"/>
              </w:rPr>
            </w:pPr>
            <w:r>
              <w:rPr>
                <w:i w:val="0"/>
                <w:sz w:val="20"/>
              </w:rPr>
              <w:t>The school is presently working with the Department as part of the Coordinated Program Review process. In other areas, the school has compiled a record of compliance.</w:t>
            </w:r>
          </w:p>
          <w:p w:rsidR="000F3CEB" w:rsidRDefault="000F3CEB" w:rsidP="005F06DE">
            <w:pPr>
              <w:spacing w:before="50" w:after="50"/>
              <w:ind w:left="720"/>
              <w:rPr>
                <w:rFonts w:ascii="Wingdings" w:hAnsi="Wingdings"/>
                <w:color w:val="00B050"/>
                <w:sz w:val="20"/>
              </w:rPr>
            </w:pPr>
          </w:p>
        </w:tc>
      </w:tr>
      <w:tr w:rsidR="000F3CEB" w:rsidTr="005F06DE">
        <w:trPr>
          <w:cantSplit/>
          <w:trHeight w:hRule="exact" w:val="1475"/>
          <w:jc w:val="center"/>
        </w:trPr>
        <w:tc>
          <w:tcPr>
            <w:tcW w:w="450" w:type="dxa"/>
            <w:vMerge/>
            <w:shd w:val="clear" w:color="auto" w:fill="CCCCCC"/>
            <w:tcMar>
              <w:top w:w="43" w:type="dxa"/>
              <w:left w:w="43" w:type="dxa"/>
              <w:bottom w:w="43" w:type="dxa"/>
              <w:right w:w="43" w:type="dxa"/>
            </w:tcMar>
          </w:tcPr>
          <w:p w:rsidR="000F3CEB" w:rsidRDefault="000F3CEB" w:rsidP="005F06DE">
            <w:pPr>
              <w:rPr>
                <w:b/>
                <w:sz w:val="20"/>
              </w:rPr>
            </w:pPr>
          </w:p>
        </w:tc>
        <w:tc>
          <w:tcPr>
            <w:tcW w:w="2520" w:type="dxa"/>
            <w:gridSpan w:val="2"/>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66"/>
                <w:tab w:val="left" w:pos="591"/>
              </w:tabs>
              <w:ind w:left="216" w:right="258" w:hanging="90"/>
              <w:jc w:val="both"/>
              <w:rPr>
                <w:b/>
                <w:bCs/>
                <w:sz w:val="20"/>
              </w:rPr>
            </w:pPr>
            <w:r>
              <w:rPr>
                <w:b/>
                <w:bCs/>
                <w:sz w:val="20"/>
              </w:rPr>
              <w:t>Dissemination</w:t>
            </w:r>
          </w:p>
        </w:tc>
        <w:tc>
          <w:tcPr>
            <w:tcW w:w="1260" w:type="dxa"/>
            <w:tcMar>
              <w:top w:w="43" w:type="dxa"/>
              <w:left w:w="43" w:type="dxa"/>
              <w:bottom w:w="43" w:type="dxa"/>
              <w:right w:w="43" w:type="dxa"/>
            </w:tcMar>
            <w:vAlign w:val="center"/>
          </w:tcPr>
          <w:p w:rsidR="000F3CEB" w:rsidRDefault="000F3CEB" w:rsidP="005F06DE">
            <w:pPr>
              <w:spacing w:before="50" w:after="50"/>
              <w:ind w:left="137"/>
              <w:rPr>
                <w:sz w:val="20"/>
              </w:rPr>
            </w:pPr>
            <w:r>
              <w:rPr>
                <w:rFonts w:ascii="Wingdings" w:hAnsi="Wingdings"/>
                <w:color w:val="FFC000"/>
                <w:sz w:val="20"/>
              </w:rPr>
              <w:t></w:t>
            </w:r>
            <w:r>
              <w:rPr>
                <w:sz w:val="20"/>
              </w:rPr>
              <w:t xml:space="preserve"> Partially </w:t>
            </w:r>
          </w:p>
          <w:p w:rsidR="000F3CEB" w:rsidRDefault="000F3CEB" w:rsidP="005F06DE">
            <w:pPr>
              <w:spacing w:before="50" w:after="50"/>
              <w:ind w:left="137"/>
              <w:rPr>
                <w:bCs/>
                <w:sz w:val="20"/>
              </w:rPr>
            </w:pPr>
            <w:r>
              <w:rPr>
                <w:rFonts w:ascii="Wingdings" w:hAnsi="Wingdings"/>
                <w:color w:val="FFC000"/>
                <w:sz w:val="20"/>
              </w:rPr>
              <w:t></w:t>
            </w:r>
            <w:r>
              <w:rPr>
                <w:sz w:val="20"/>
              </w:rPr>
              <w:t>Meets</w:t>
            </w:r>
          </w:p>
        </w:tc>
        <w:tc>
          <w:tcPr>
            <w:tcW w:w="5282" w:type="dxa"/>
          </w:tcPr>
          <w:p w:rsidR="000F3CEB" w:rsidRDefault="000F3CEB" w:rsidP="000F3CEB">
            <w:pPr>
              <w:pStyle w:val="Finding"/>
              <w:numPr>
                <w:ilvl w:val="0"/>
                <w:numId w:val="5"/>
              </w:numPr>
              <w:rPr>
                <w:i w:val="0"/>
                <w:sz w:val="20"/>
              </w:rPr>
            </w:pPr>
            <w:r>
              <w:rPr>
                <w:i w:val="0"/>
                <w:sz w:val="20"/>
              </w:rPr>
              <w:t>Over the course of the charter term, the school has not provided innovative models for replication and best practices to other schools, district, or organizations. In the current year DCACS is partnering with a Boston Public School to share practices.</w:t>
            </w:r>
          </w:p>
        </w:tc>
      </w:tr>
      <w:tr w:rsidR="000F3CEB" w:rsidTr="005F06DE">
        <w:trPr>
          <w:cantSplit/>
          <w:trHeight w:hRule="exact" w:val="944"/>
          <w:jc w:val="center"/>
        </w:trPr>
        <w:tc>
          <w:tcPr>
            <w:tcW w:w="450" w:type="dxa"/>
            <w:vMerge w:val="restart"/>
            <w:shd w:val="clear" w:color="auto" w:fill="CCCCCC"/>
            <w:tcMar>
              <w:top w:w="43" w:type="dxa"/>
              <w:left w:w="43" w:type="dxa"/>
              <w:bottom w:w="43" w:type="dxa"/>
              <w:right w:w="43" w:type="dxa"/>
            </w:tcMar>
            <w:textDirection w:val="btLr"/>
            <w:vAlign w:val="center"/>
          </w:tcPr>
          <w:p w:rsidR="000F3CEB" w:rsidRDefault="000F3CEB" w:rsidP="005F06DE">
            <w:pPr>
              <w:ind w:left="113" w:right="113"/>
              <w:jc w:val="center"/>
              <w:rPr>
                <w:b/>
                <w:bCs/>
                <w:sz w:val="20"/>
              </w:rPr>
            </w:pPr>
            <w:r>
              <w:rPr>
                <w:b/>
                <w:bCs/>
                <w:sz w:val="20"/>
              </w:rPr>
              <w:t xml:space="preserve">Academic Program Success </w:t>
            </w:r>
          </w:p>
        </w:tc>
        <w:tc>
          <w:tcPr>
            <w:tcW w:w="2520" w:type="dxa"/>
            <w:gridSpan w:val="2"/>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66"/>
                <w:tab w:val="left" w:pos="591"/>
              </w:tabs>
              <w:ind w:left="216" w:right="258" w:hanging="90"/>
              <w:jc w:val="both"/>
              <w:rPr>
                <w:b/>
                <w:bCs/>
                <w:sz w:val="20"/>
              </w:rPr>
            </w:pPr>
            <w:r>
              <w:rPr>
                <w:b/>
                <w:bCs/>
                <w:sz w:val="20"/>
              </w:rPr>
              <w:t>Student Performance</w:t>
            </w:r>
          </w:p>
        </w:tc>
        <w:tc>
          <w:tcPr>
            <w:tcW w:w="1260" w:type="dxa"/>
            <w:tcMar>
              <w:top w:w="43" w:type="dxa"/>
              <w:left w:w="43" w:type="dxa"/>
              <w:bottom w:w="43" w:type="dxa"/>
              <w:right w:w="43" w:type="dxa"/>
            </w:tcMar>
            <w:vAlign w:val="center"/>
          </w:tcPr>
          <w:p w:rsidR="000F3CEB" w:rsidRDefault="000F3CEB" w:rsidP="005F06DE">
            <w:pPr>
              <w:spacing w:before="50" w:after="50"/>
              <w:ind w:left="137"/>
              <w:rPr>
                <w:sz w:val="20"/>
              </w:rPr>
            </w:pPr>
            <w:r>
              <w:rPr>
                <w:rFonts w:ascii="Wingdings" w:hAnsi="Wingdings"/>
                <w:color w:val="FFC000"/>
                <w:sz w:val="20"/>
              </w:rPr>
              <w:t></w:t>
            </w:r>
            <w:r>
              <w:rPr>
                <w:sz w:val="20"/>
              </w:rPr>
              <w:t xml:space="preserve"> Partially </w:t>
            </w:r>
          </w:p>
          <w:p w:rsidR="000F3CEB" w:rsidRDefault="000F3CEB" w:rsidP="005F06DE">
            <w:pPr>
              <w:tabs>
                <w:tab w:val="left" w:pos="450"/>
              </w:tabs>
              <w:spacing w:before="50" w:after="50"/>
              <w:ind w:left="137"/>
              <w:rPr>
                <w:color w:val="222222"/>
                <w:sz w:val="20"/>
              </w:rPr>
            </w:pPr>
            <w:r>
              <w:rPr>
                <w:rFonts w:ascii="Wingdings" w:hAnsi="Wingdings"/>
                <w:color w:val="FFC000"/>
                <w:sz w:val="20"/>
              </w:rPr>
              <w:t></w:t>
            </w:r>
            <w:r>
              <w:rPr>
                <w:sz w:val="20"/>
              </w:rPr>
              <w:t>Meets</w:t>
            </w:r>
          </w:p>
        </w:tc>
        <w:tc>
          <w:tcPr>
            <w:tcW w:w="5282" w:type="dxa"/>
          </w:tcPr>
          <w:p w:rsidR="000F3CEB" w:rsidRDefault="000F3CEB" w:rsidP="000F3CEB">
            <w:pPr>
              <w:pStyle w:val="ColorfulList-Accent11"/>
              <w:numPr>
                <w:ilvl w:val="0"/>
                <w:numId w:val="5"/>
              </w:numPr>
              <w:rPr>
                <w:iCs/>
                <w:sz w:val="20"/>
              </w:rPr>
            </w:pPr>
            <w:r>
              <w:rPr>
                <w:iCs/>
                <w:sz w:val="20"/>
              </w:rPr>
              <w:t>DCACS does not consistently meet state student performance standards for academic growth, proficiency, and college and career readiness.</w:t>
            </w:r>
          </w:p>
        </w:tc>
      </w:tr>
      <w:tr w:rsidR="000F3CEB" w:rsidTr="005F06DE">
        <w:trPr>
          <w:cantSplit/>
          <w:trHeight w:val="1657"/>
          <w:jc w:val="center"/>
        </w:trPr>
        <w:tc>
          <w:tcPr>
            <w:tcW w:w="450" w:type="dxa"/>
            <w:vMerge/>
            <w:shd w:val="clear" w:color="auto" w:fill="CCCCCC"/>
            <w:tcMar>
              <w:top w:w="43" w:type="dxa"/>
              <w:left w:w="43" w:type="dxa"/>
              <w:bottom w:w="43" w:type="dxa"/>
              <w:right w:w="43" w:type="dxa"/>
            </w:tcMar>
            <w:textDirection w:val="btLr"/>
            <w:vAlign w:val="center"/>
          </w:tcPr>
          <w:p w:rsidR="000F3CEB" w:rsidRDefault="000F3CEB" w:rsidP="005F06DE">
            <w:pPr>
              <w:ind w:left="113" w:right="113"/>
              <w:jc w:val="center"/>
              <w:rPr>
                <w:b/>
                <w:bCs/>
                <w:sz w:val="20"/>
              </w:rPr>
            </w:pPr>
          </w:p>
        </w:tc>
        <w:tc>
          <w:tcPr>
            <w:tcW w:w="1620" w:type="dxa"/>
            <w:vMerge w:val="restart"/>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06"/>
              </w:tabs>
              <w:ind w:left="216" w:right="79" w:hanging="180"/>
              <w:rPr>
                <w:b/>
                <w:bCs/>
                <w:sz w:val="20"/>
              </w:rPr>
            </w:pPr>
            <w:r>
              <w:rPr>
                <w:b/>
                <w:bCs/>
                <w:sz w:val="20"/>
              </w:rPr>
              <w:t xml:space="preserve">Program   </w:t>
            </w:r>
          </w:p>
          <w:p w:rsidR="000F3CEB" w:rsidRDefault="000F3CEB" w:rsidP="005F06DE">
            <w:pPr>
              <w:pStyle w:val="ColorfulList-Accent11"/>
              <w:widowControl/>
              <w:tabs>
                <w:tab w:val="left" w:pos="351"/>
              </w:tabs>
              <w:ind w:left="216" w:right="79"/>
              <w:rPr>
                <w:b/>
                <w:bCs/>
                <w:sz w:val="20"/>
              </w:rPr>
            </w:pPr>
            <w:r>
              <w:rPr>
                <w:b/>
                <w:bCs/>
                <w:sz w:val="20"/>
              </w:rPr>
              <w:t xml:space="preserve">  Delivery</w:t>
            </w:r>
          </w:p>
        </w:tc>
        <w:tc>
          <w:tcPr>
            <w:tcW w:w="900" w:type="dxa"/>
            <w:vAlign w:val="center"/>
          </w:tcPr>
          <w:p w:rsidR="000F3CEB" w:rsidRDefault="000F3CEB" w:rsidP="005F06DE">
            <w:pPr>
              <w:ind w:right="79"/>
              <w:jc w:val="center"/>
              <w:rPr>
                <w:b/>
                <w:bCs/>
                <w:sz w:val="16"/>
                <w:szCs w:val="18"/>
              </w:rPr>
            </w:pPr>
            <w:r>
              <w:rPr>
                <w:sz w:val="16"/>
                <w:szCs w:val="18"/>
              </w:rPr>
              <w:t>Curriculum</w:t>
            </w:r>
          </w:p>
        </w:tc>
        <w:tc>
          <w:tcPr>
            <w:tcW w:w="1260" w:type="dxa"/>
            <w:tcMar>
              <w:top w:w="0" w:type="dxa"/>
              <w:left w:w="0" w:type="dxa"/>
              <w:bottom w:w="0" w:type="dxa"/>
              <w:right w:w="0" w:type="dxa"/>
            </w:tcMar>
            <w:vAlign w:val="center"/>
          </w:tcPr>
          <w:p w:rsidR="000F3CEB" w:rsidRDefault="000F3CEB" w:rsidP="005F06DE">
            <w:pPr>
              <w:spacing w:before="50" w:after="50"/>
              <w:ind w:left="137"/>
              <w:rPr>
                <w:sz w:val="20"/>
              </w:rPr>
            </w:pPr>
            <w:r>
              <w:rPr>
                <w:rFonts w:ascii="Wingdings" w:hAnsi="Wingdings"/>
                <w:color w:val="FFC000"/>
                <w:sz w:val="20"/>
              </w:rPr>
              <w:t></w:t>
            </w:r>
            <w:r>
              <w:rPr>
                <w:sz w:val="20"/>
              </w:rPr>
              <w:t xml:space="preserve"> Partially </w:t>
            </w:r>
          </w:p>
          <w:p w:rsidR="000F3CEB" w:rsidRDefault="000F3CEB" w:rsidP="005F06DE">
            <w:pPr>
              <w:ind w:left="137"/>
              <w:rPr>
                <w:sz w:val="20"/>
              </w:rPr>
            </w:pPr>
            <w:r>
              <w:rPr>
                <w:rFonts w:ascii="Wingdings" w:hAnsi="Wingdings"/>
                <w:color w:val="FFC000"/>
                <w:sz w:val="20"/>
              </w:rPr>
              <w:t></w:t>
            </w:r>
            <w:r>
              <w:rPr>
                <w:sz w:val="20"/>
              </w:rPr>
              <w:t>Meets</w:t>
            </w:r>
          </w:p>
        </w:tc>
        <w:tc>
          <w:tcPr>
            <w:tcW w:w="5282" w:type="dxa"/>
          </w:tcPr>
          <w:p w:rsidR="000F3CEB" w:rsidRDefault="000F3CEB" w:rsidP="000F3CEB">
            <w:pPr>
              <w:pStyle w:val="Finding"/>
              <w:numPr>
                <w:ilvl w:val="0"/>
                <w:numId w:val="5"/>
              </w:numPr>
              <w:rPr>
                <w:i w:val="0"/>
                <w:sz w:val="20"/>
              </w:rPr>
            </w:pPr>
            <w:r>
              <w:rPr>
                <w:i w:val="0"/>
                <w:sz w:val="20"/>
              </w:rPr>
              <w:t>The school is developing curricular materials aligned to the 2011 Massachusetts Frameworks and Common Core State Standards. This work is not yet completed. Curriculum documents are not consistently accommodated to support opportunities for all students to master skills and concepts.</w:t>
            </w:r>
          </w:p>
        </w:tc>
      </w:tr>
      <w:tr w:rsidR="000F3CEB" w:rsidTr="005F06DE">
        <w:trPr>
          <w:cantSplit/>
          <w:trHeight w:val="2350"/>
          <w:jc w:val="center"/>
        </w:trPr>
        <w:tc>
          <w:tcPr>
            <w:tcW w:w="450" w:type="dxa"/>
            <w:vMerge/>
            <w:shd w:val="clear" w:color="auto" w:fill="CCCCCC"/>
            <w:tcMar>
              <w:top w:w="43" w:type="dxa"/>
              <w:left w:w="43" w:type="dxa"/>
              <w:bottom w:w="43" w:type="dxa"/>
              <w:right w:w="43" w:type="dxa"/>
            </w:tcMar>
            <w:textDirection w:val="btLr"/>
            <w:vAlign w:val="center"/>
          </w:tcPr>
          <w:p w:rsidR="000F3CEB" w:rsidRDefault="000F3CEB" w:rsidP="005F06DE">
            <w:pPr>
              <w:ind w:left="113" w:right="113"/>
              <w:jc w:val="center"/>
              <w:rPr>
                <w:b/>
                <w:bCs/>
                <w:sz w:val="20"/>
              </w:rPr>
            </w:pPr>
          </w:p>
        </w:tc>
        <w:tc>
          <w:tcPr>
            <w:tcW w:w="1620" w:type="dxa"/>
            <w:vMerge/>
            <w:tcMar>
              <w:top w:w="29" w:type="dxa"/>
              <w:left w:w="29" w:type="dxa"/>
              <w:bottom w:w="29" w:type="dxa"/>
              <w:right w:w="29" w:type="dxa"/>
            </w:tcMar>
            <w:vAlign w:val="center"/>
          </w:tcPr>
          <w:p w:rsidR="000F3CEB" w:rsidRDefault="000F3CEB" w:rsidP="000F3CEB">
            <w:pPr>
              <w:pStyle w:val="ColorfulList-Accent11"/>
              <w:widowControl/>
              <w:numPr>
                <w:ilvl w:val="0"/>
                <w:numId w:val="3"/>
              </w:numPr>
              <w:ind w:left="468" w:right="79"/>
              <w:rPr>
                <w:b/>
                <w:bCs/>
                <w:sz w:val="18"/>
                <w:szCs w:val="18"/>
              </w:rPr>
            </w:pPr>
          </w:p>
        </w:tc>
        <w:tc>
          <w:tcPr>
            <w:tcW w:w="900" w:type="dxa"/>
            <w:vAlign w:val="center"/>
          </w:tcPr>
          <w:p w:rsidR="000F3CEB" w:rsidRDefault="000F3CEB" w:rsidP="005F06DE">
            <w:pPr>
              <w:ind w:right="79"/>
              <w:jc w:val="center"/>
              <w:rPr>
                <w:b/>
                <w:bCs/>
                <w:sz w:val="16"/>
                <w:szCs w:val="18"/>
              </w:rPr>
            </w:pPr>
            <w:r>
              <w:rPr>
                <w:sz w:val="16"/>
                <w:szCs w:val="18"/>
              </w:rPr>
              <w:t>Instruction</w:t>
            </w:r>
          </w:p>
        </w:tc>
        <w:tc>
          <w:tcPr>
            <w:tcW w:w="1260" w:type="dxa"/>
            <w:tcMar>
              <w:top w:w="0" w:type="dxa"/>
              <w:left w:w="0" w:type="dxa"/>
              <w:bottom w:w="0" w:type="dxa"/>
              <w:right w:w="0" w:type="dxa"/>
            </w:tcMar>
            <w:vAlign w:val="center"/>
          </w:tcPr>
          <w:p w:rsidR="000F3CEB" w:rsidRDefault="000F3CEB" w:rsidP="005F06DE">
            <w:pPr>
              <w:spacing w:before="50" w:after="50"/>
              <w:ind w:left="137"/>
              <w:rPr>
                <w:sz w:val="20"/>
              </w:rPr>
            </w:pPr>
            <w:r>
              <w:rPr>
                <w:rFonts w:ascii="Wingdings" w:hAnsi="Wingdings"/>
                <w:color w:val="FFC000"/>
                <w:sz w:val="20"/>
              </w:rPr>
              <w:t></w:t>
            </w:r>
            <w:r>
              <w:rPr>
                <w:sz w:val="20"/>
              </w:rPr>
              <w:t xml:space="preserve"> Partially </w:t>
            </w:r>
          </w:p>
          <w:p w:rsidR="000F3CEB" w:rsidRDefault="000F3CEB" w:rsidP="005F06DE">
            <w:pPr>
              <w:ind w:left="137"/>
              <w:rPr>
                <w:sz w:val="20"/>
              </w:rPr>
            </w:pPr>
            <w:r>
              <w:rPr>
                <w:rFonts w:ascii="Wingdings" w:hAnsi="Wingdings"/>
                <w:color w:val="FFC000"/>
                <w:sz w:val="20"/>
              </w:rPr>
              <w:t></w:t>
            </w:r>
            <w:r>
              <w:rPr>
                <w:sz w:val="20"/>
              </w:rPr>
              <w:t>Meets</w:t>
            </w:r>
          </w:p>
        </w:tc>
        <w:tc>
          <w:tcPr>
            <w:tcW w:w="5282" w:type="dxa"/>
          </w:tcPr>
          <w:p w:rsidR="000F3CEB" w:rsidRDefault="000F3CEB" w:rsidP="000F3CEB">
            <w:pPr>
              <w:pStyle w:val="Finding"/>
              <w:numPr>
                <w:ilvl w:val="0"/>
                <w:numId w:val="5"/>
              </w:numPr>
              <w:rPr>
                <w:i w:val="0"/>
                <w:sz w:val="20"/>
              </w:rPr>
            </w:pPr>
            <w:r>
              <w:rPr>
                <w:i w:val="0"/>
                <w:sz w:val="20"/>
              </w:rPr>
              <w:t xml:space="preserve">DCACS’s school staff share a common understanding of elements of high quality instruction, however, observed instructional practices have not been consistently aligned to this understanding. </w:t>
            </w:r>
          </w:p>
          <w:p w:rsidR="000F3CEB" w:rsidRDefault="000F3CEB" w:rsidP="000F3CEB">
            <w:pPr>
              <w:numPr>
                <w:ilvl w:val="0"/>
                <w:numId w:val="5"/>
              </w:numPr>
              <w:rPr>
                <w:bCs/>
                <w:sz w:val="20"/>
              </w:rPr>
            </w:pPr>
            <w:r>
              <w:rPr>
                <w:bCs/>
                <w:sz w:val="20"/>
              </w:rPr>
              <w:t xml:space="preserve">Over the charter term, DCACS classrooms have become more orderly. A majority of classrooms are conducive to learning. </w:t>
            </w:r>
          </w:p>
          <w:p w:rsidR="000F3CEB" w:rsidRDefault="000F3CEB" w:rsidP="000F3CEB">
            <w:pPr>
              <w:numPr>
                <w:ilvl w:val="0"/>
                <w:numId w:val="5"/>
              </w:numPr>
              <w:rPr>
                <w:bCs/>
                <w:sz w:val="20"/>
              </w:rPr>
            </w:pPr>
            <w:r>
              <w:rPr>
                <w:bCs/>
                <w:sz w:val="20"/>
              </w:rPr>
              <w:t>Over the charter term, site visitors have only observed limited evidence that instruction is differentiated to meet the needs of all learners.</w:t>
            </w:r>
          </w:p>
        </w:tc>
      </w:tr>
      <w:tr w:rsidR="000F3CEB" w:rsidTr="005F06DE">
        <w:trPr>
          <w:cantSplit/>
          <w:trHeight w:val="238"/>
          <w:jc w:val="center"/>
        </w:trPr>
        <w:tc>
          <w:tcPr>
            <w:tcW w:w="450" w:type="dxa"/>
            <w:vMerge/>
            <w:shd w:val="clear" w:color="auto" w:fill="CCCCCC"/>
            <w:tcMar>
              <w:top w:w="43" w:type="dxa"/>
              <w:left w:w="43" w:type="dxa"/>
              <w:bottom w:w="43" w:type="dxa"/>
              <w:right w:w="43" w:type="dxa"/>
            </w:tcMar>
            <w:textDirection w:val="btLr"/>
            <w:vAlign w:val="center"/>
          </w:tcPr>
          <w:p w:rsidR="000F3CEB" w:rsidRDefault="000F3CEB" w:rsidP="005F06DE">
            <w:pPr>
              <w:ind w:left="113" w:right="113"/>
              <w:jc w:val="center"/>
              <w:rPr>
                <w:b/>
                <w:bCs/>
                <w:sz w:val="20"/>
              </w:rPr>
            </w:pPr>
          </w:p>
        </w:tc>
        <w:tc>
          <w:tcPr>
            <w:tcW w:w="1620" w:type="dxa"/>
            <w:vMerge/>
            <w:tcMar>
              <w:top w:w="29" w:type="dxa"/>
              <w:left w:w="29" w:type="dxa"/>
              <w:bottom w:w="29" w:type="dxa"/>
              <w:right w:w="29" w:type="dxa"/>
            </w:tcMar>
            <w:vAlign w:val="center"/>
          </w:tcPr>
          <w:p w:rsidR="000F3CEB" w:rsidRDefault="000F3CEB" w:rsidP="000F3CEB">
            <w:pPr>
              <w:pStyle w:val="ColorfulList-Accent11"/>
              <w:widowControl/>
              <w:numPr>
                <w:ilvl w:val="0"/>
                <w:numId w:val="3"/>
              </w:numPr>
              <w:ind w:left="468" w:right="79"/>
              <w:rPr>
                <w:b/>
                <w:bCs/>
                <w:sz w:val="18"/>
                <w:szCs w:val="18"/>
              </w:rPr>
            </w:pPr>
          </w:p>
        </w:tc>
        <w:tc>
          <w:tcPr>
            <w:tcW w:w="900" w:type="dxa"/>
            <w:vAlign w:val="center"/>
          </w:tcPr>
          <w:p w:rsidR="000F3CEB" w:rsidRDefault="000F3CEB" w:rsidP="005F06DE">
            <w:pPr>
              <w:ind w:right="79"/>
              <w:jc w:val="center"/>
              <w:rPr>
                <w:sz w:val="16"/>
                <w:szCs w:val="18"/>
              </w:rPr>
            </w:pPr>
            <w:r>
              <w:rPr>
                <w:sz w:val="16"/>
                <w:szCs w:val="18"/>
              </w:rPr>
              <w:t>Assessment/Program Evaluation</w:t>
            </w:r>
          </w:p>
        </w:tc>
        <w:tc>
          <w:tcPr>
            <w:tcW w:w="1260" w:type="dxa"/>
            <w:noWrap/>
            <w:tcMar>
              <w:top w:w="0" w:type="dxa"/>
              <w:left w:w="0" w:type="dxa"/>
              <w:bottom w:w="0" w:type="dxa"/>
              <w:right w:w="0" w:type="dxa"/>
            </w:tcMar>
            <w:vAlign w:val="center"/>
          </w:tcPr>
          <w:p w:rsidR="000F3CEB" w:rsidRDefault="000F3CEB" w:rsidP="005F06DE">
            <w:pPr>
              <w:spacing w:before="50" w:after="50"/>
              <w:ind w:left="137"/>
              <w:rPr>
                <w:sz w:val="20"/>
              </w:rPr>
            </w:pPr>
            <w:r>
              <w:rPr>
                <w:rFonts w:ascii="Wingdings" w:hAnsi="Wingdings"/>
                <w:color w:val="FFC000"/>
                <w:sz w:val="20"/>
              </w:rPr>
              <w:t></w:t>
            </w:r>
            <w:r>
              <w:rPr>
                <w:sz w:val="20"/>
              </w:rPr>
              <w:t xml:space="preserve"> Partially </w:t>
            </w:r>
          </w:p>
          <w:p w:rsidR="000F3CEB" w:rsidRDefault="000F3CEB" w:rsidP="005F06DE">
            <w:pPr>
              <w:ind w:left="137"/>
              <w:rPr>
                <w:sz w:val="20"/>
              </w:rPr>
            </w:pPr>
            <w:r>
              <w:rPr>
                <w:rFonts w:ascii="Wingdings" w:hAnsi="Wingdings"/>
                <w:color w:val="FFC000"/>
                <w:sz w:val="20"/>
              </w:rPr>
              <w:t></w:t>
            </w:r>
            <w:r>
              <w:rPr>
                <w:sz w:val="20"/>
              </w:rPr>
              <w:t>Meets</w:t>
            </w:r>
          </w:p>
        </w:tc>
        <w:tc>
          <w:tcPr>
            <w:tcW w:w="5282" w:type="dxa"/>
          </w:tcPr>
          <w:p w:rsidR="000F3CEB" w:rsidRDefault="000F3CEB" w:rsidP="000F3CEB">
            <w:pPr>
              <w:pStyle w:val="Finding"/>
              <w:numPr>
                <w:ilvl w:val="0"/>
                <w:numId w:val="5"/>
              </w:numPr>
              <w:rPr>
                <w:i w:val="0"/>
                <w:sz w:val="20"/>
              </w:rPr>
            </w:pPr>
            <w:r>
              <w:rPr>
                <w:i w:val="0"/>
                <w:sz w:val="20"/>
              </w:rPr>
              <w:t xml:space="preserve">The school is developing a balanced system of assessments; however, school leaders do not consistently use data to evaluate the school’s programming. </w:t>
            </w:r>
          </w:p>
        </w:tc>
      </w:tr>
      <w:tr w:rsidR="000F3CEB" w:rsidTr="005F06DE">
        <w:trPr>
          <w:cantSplit/>
          <w:trHeight w:val="238"/>
          <w:jc w:val="center"/>
        </w:trPr>
        <w:tc>
          <w:tcPr>
            <w:tcW w:w="450" w:type="dxa"/>
            <w:vMerge/>
            <w:shd w:val="clear" w:color="auto" w:fill="CCCCCC"/>
            <w:tcMar>
              <w:top w:w="43" w:type="dxa"/>
              <w:left w:w="43" w:type="dxa"/>
              <w:bottom w:w="43" w:type="dxa"/>
              <w:right w:w="43" w:type="dxa"/>
            </w:tcMar>
            <w:textDirection w:val="btLr"/>
            <w:vAlign w:val="center"/>
          </w:tcPr>
          <w:p w:rsidR="000F3CEB" w:rsidRDefault="000F3CEB" w:rsidP="005F06DE">
            <w:pPr>
              <w:ind w:left="113" w:right="113"/>
              <w:jc w:val="center"/>
              <w:rPr>
                <w:b/>
                <w:bCs/>
                <w:sz w:val="20"/>
              </w:rPr>
            </w:pPr>
          </w:p>
        </w:tc>
        <w:tc>
          <w:tcPr>
            <w:tcW w:w="1620" w:type="dxa"/>
            <w:vMerge/>
            <w:tcMar>
              <w:top w:w="29" w:type="dxa"/>
              <w:left w:w="29" w:type="dxa"/>
              <w:bottom w:w="29" w:type="dxa"/>
              <w:right w:w="29" w:type="dxa"/>
            </w:tcMar>
            <w:vAlign w:val="center"/>
          </w:tcPr>
          <w:p w:rsidR="000F3CEB" w:rsidRDefault="000F3CEB" w:rsidP="000F3CEB">
            <w:pPr>
              <w:pStyle w:val="ColorfulList-Accent11"/>
              <w:widowControl/>
              <w:numPr>
                <w:ilvl w:val="0"/>
                <w:numId w:val="3"/>
              </w:numPr>
              <w:ind w:left="468" w:right="79"/>
              <w:rPr>
                <w:b/>
                <w:bCs/>
                <w:sz w:val="18"/>
                <w:szCs w:val="18"/>
              </w:rPr>
            </w:pPr>
          </w:p>
        </w:tc>
        <w:tc>
          <w:tcPr>
            <w:tcW w:w="900" w:type="dxa"/>
            <w:vAlign w:val="center"/>
          </w:tcPr>
          <w:p w:rsidR="000F3CEB" w:rsidRDefault="000F3CEB" w:rsidP="005F06DE">
            <w:pPr>
              <w:ind w:right="79"/>
              <w:jc w:val="center"/>
              <w:rPr>
                <w:sz w:val="16"/>
                <w:szCs w:val="18"/>
              </w:rPr>
            </w:pPr>
            <w:r>
              <w:rPr>
                <w:sz w:val="16"/>
                <w:szCs w:val="18"/>
              </w:rPr>
              <w:t>Supports for Diverse Learners</w:t>
            </w:r>
          </w:p>
        </w:tc>
        <w:tc>
          <w:tcPr>
            <w:tcW w:w="1260" w:type="dxa"/>
            <w:tcMar>
              <w:top w:w="0" w:type="dxa"/>
              <w:left w:w="0" w:type="dxa"/>
              <w:bottom w:w="0" w:type="dxa"/>
              <w:right w:w="0" w:type="dxa"/>
            </w:tcMar>
            <w:vAlign w:val="center"/>
          </w:tcPr>
          <w:p w:rsidR="000F3CEB" w:rsidRDefault="000F3CEB" w:rsidP="005F06DE">
            <w:pPr>
              <w:ind w:left="137"/>
              <w:rPr>
                <w:sz w:val="20"/>
              </w:rPr>
            </w:pPr>
            <w:r>
              <w:rPr>
                <w:rFonts w:ascii="Wingdings" w:hAnsi="Wingdings"/>
                <w:color w:val="00B050"/>
                <w:sz w:val="20"/>
              </w:rPr>
              <w:t></w:t>
            </w:r>
            <w:r>
              <w:rPr>
                <w:sz w:val="20"/>
              </w:rPr>
              <w:t xml:space="preserve"> Meets</w:t>
            </w:r>
          </w:p>
        </w:tc>
        <w:tc>
          <w:tcPr>
            <w:tcW w:w="5282" w:type="dxa"/>
          </w:tcPr>
          <w:p w:rsidR="000F3CEB" w:rsidRDefault="000F3CEB" w:rsidP="000F3CEB">
            <w:pPr>
              <w:pStyle w:val="Finding"/>
              <w:numPr>
                <w:ilvl w:val="0"/>
                <w:numId w:val="5"/>
              </w:numPr>
              <w:rPr>
                <w:i w:val="0"/>
                <w:sz w:val="20"/>
              </w:rPr>
            </w:pPr>
            <w:r>
              <w:rPr>
                <w:i w:val="0"/>
                <w:sz w:val="20"/>
              </w:rPr>
              <w:t>The school has experienced a significant increase in both its special education and ELL populations, and staffing levels have been increased accordingly. General education academic support mechanisms are in place, but in some cases lack clear procedures.</w:t>
            </w:r>
          </w:p>
        </w:tc>
      </w:tr>
      <w:tr w:rsidR="000F3CEB" w:rsidTr="005F06DE">
        <w:trPr>
          <w:cantSplit/>
          <w:trHeight w:hRule="exact" w:val="924"/>
          <w:jc w:val="center"/>
        </w:trPr>
        <w:tc>
          <w:tcPr>
            <w:tcW w:w="450" w:type="dxa"/>
            <w:vMerge/>
            <w:shd w:val="clear" w:color="auto" w:fill="CCCCCC"/>
            <w:tcMar>
              <w:top w:w="43" w:type="dxa"/>
              <w:left w:w="43" w:type="dxa"/>
              <w:bottom w:w="43" w:type="dxa"/>
              <w:right w:w="43" w:type="dxa"/>
            </w:tcMar>
            <w:textDirection w:val="btLr"/>
            <w:vAlign w:val="center"/>
          </w:tcPr>
          <w:p w:rsidR="000F3CEB" w:rsidRDefault="000F3CEB" w:rsidP="005F06DE">
            <w:pPr>
              <w:ind w:left="113" w:right="113"/>
              <w:jc w:val="center"/>
              <w:rPr>
                <w:b/>
                <w:sz w:val="20"/>
              </w:rPr>
            </w:pPr>
          </w:p>
        </w:tc>
        <w:tc>
          <w:tcPr>
            <w:tcW w:w="2520" w:type="dxa"/>
            <w:gridSpan w:val="2"/>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06"/>
              </w:tabs>
              <w:ind w:left="396" w:right="79"/>
              <w:rPr>
                <w:b/>
                <w:bCs/>
                <w:sz w:val="20"/>
              </w:rPr>
            </w:pPr>
            <w:r>
              <w:rPr>
                <w:b/>
                <w:bCs/>
                <w:sz w:val="20"/>
              </w:rPr>
              <w:t>Culture and Family Engagement</w:t>
            </w:r>
          </w:p>
        </w:tc>
        <w:tc>
          <w:tcPr>
            <w:tcW w:w="1260" w:type="dxa"/>
            <w:tcMar>
              <w:top w:w="43" w:type="dxa"/>
              <w:left w:w="43" w:type="dxa"/>
              <w:bottom w:w="43" w:type="dxa"/>
              <w:right w:w="43" w:type="dxa"/>
            </w:tcMar>
            <w:vAlign w:val="center"/>
          </w:tcPr>
          <w:p w:rsidR="000F3CEB" w:rsidRDefault="000F3CEB" w:rsidP="005F06DE">
            <w:pPr>
              <w:tabs>
                <w:tab w:val="left" w:pos="450"/>
              </w:tabs>
              <w:spacing w:before="50" w:after="50"/>
              <w:ind w:left="137"/>
              <w:rPr>
                <w:color w:val="222222"/>
                <w:sz w:val="20"/>
              </w:rPr>
            </w:pPr>
            <w:r>
              <w:rPr>
                <w:rFonts w:ascii="Wingdings" w:hAnsi="Wingdings"/>
                <w:color w:val="00B050"/>
                <w:sz w:val="20"/>
              </w:rPr>
              <w:t></w:t>
            </w:r>
            <w:r>
              <w:rPr>
                <w:sz w:val="20"/>
              </w:rPr>
              <w:t xml:space="preserve"> Meets</w:t>
            </w:r>
          </w:p>
        </w:tc>
        <w:tc>
          <w:tcPr>
            <w:tcW w:w="5282" w:type="dxa"/>
          </w:tcPr>
          <w:p w:rsidR="000F3CEB" w:rsidRDefault="000F3CEB" w:rsidP="000F3CEB">
            <w:pPr>
              <w:numPr>
                <w:ilvl w:val="0"/>
                <w:numId w:val="5"/>
              </w:numPr>
              <w:spacing w:before="120"/>
              <w:rPr>
                <w:bCs/>
                <w:sz w:val="20"/>
              </w:rPr>
            </w:pPr>
            <w:r>
              <w:rPr>
                <w:bCs/>
                <w:sz w:val="20"/>
              </w:rPr>
              <w:t xml:space="preserve">The school provides a safe learning environment and has increased staffing to provide social-emotional supports for students. </w:t>
            </w:r>
          </w:p>
          <w:p w:rsidR="000F3CEB" w:rsidRDefault="000F3CEB" w:rsidP="000F3CEB">
            <w:pPr>
              <w:pStyle w:val="Finding"/>
              <w:numPr>
                <w:ilvl w:val="0"/>
                <w:numId w:val="5"/>
              </w:numPr>
              <w:rPr>
                <w:i w:val="0"/>
                <w:sz w:val="20"/>
              </w:rPr>
            </w:pPr>
            <w:r>
              <w:rPr>
                <w:bCs/>
                <w:i w:val="0"/>
                <w:sz w:val="20"/>
              </w:rPr>
              <w:t>The school has developed systems to promote strong, two-way communication in order to build relationships with families.</w:t>
            </w:r>
          </w:p>
          <w:p w:rsidR="000F3CEB" w:rsidRDefault="000F3CEB" w:rsidP="005F06DE">
            <w:pPr>
              <w:tabs>
                <w:tab w:val="left" w:pos="450"/>
              </w:tabs>
              <w:spacing w:before="50" w:after="50"/>
              <w:ind w:left="137"/>
              <w:rPr>
                <w:rFonts w:ascii="Wingdings" w:hAnsi="Wingdings"/>
                <w:color w:val="00B050"/>
                <w:sz w:val="20"/>
              </w:rPr>
            </w:pPr>
          </w:p>
        </w:tc>
      </w:tr>
      <w:tr w:rsidR="000F3CEB" w:rsidTr="005F06DE">
        <w:trPr>
          <w:cantSplit/>
          <w:trHeight w:hRule="exact" w:val="2933"/>
          <w:jc w:val="center"/>
        </w:trPr>
        <w:tc>
          <w:tcPr>
            <w:tcW w:w="450" w:type="dxa"/>
            <w:vMerge w:val="restart"/>
            <w:shd w:val="clear" w:color="auto" w:fill="CCCCCC"/>
            <w:tcMar>
              <w:top w:w="43" w:type="dxa"/>
              <w:left w:w="43" w:type="dxa"/>
              <w:bottom w:w="43" w:type="dxa"/>
              <w:right w:w="43" w:type="dxa"/>
            </w:tcMar>
            <w:textDirection w:val="btLr"/>
            <w:vAlign w:val="center"/>
          </w:tcPr>
          <w:p w:rsidR="000F3CEB" w:rsidRDefault="000F3CEB" w:rsidP="005F06DE">
            <w:pPr>
              <w:ind w:left="113" w:right="113"/>
              <w:rPr>
                <w:b/>
                <w:bCs/>
                <w:sz w:val="20"/>
              </w:rPr>
            </w:pPr>
          </w:p>
        </w:tc>
        <w:tc>
          <w:tcPr>
            <w:tcW w:w="2520" w:type="dxa"/>
            <w:gridSpan w:val="2"/>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06"/>
              </w:tabs>
              <w:ind w:left="396" w:right="79"/>
              <w:rPr>
                <w:b/>
                <w:bCs/>
                <w:sz w:val="20"/>
              </w:rPr>
            </w:pPr>
            <w:r>
              <w:rPr>
                <w:b/>
                <w:bCs/>
                <w:sz w:val="20"/>
              </w:rPr>
              <w:t>Capacity</w:t>
            </w:r>
          </w:p>
        </w:tc>
        <w:tc>
          <w:tcPr>
            <w:tcW w:w="1260" w:type="dxa"/>
            <w:tcMar>
              <w:top w:w="43" w:type="dxa"/>
              <w:left w:w="43" w:type="dxa"/>
              <w:bottom w:w="43" w:type="dxa"/>
              <w:right w:w="43" w:type="dxa"/>
            </w:tcMar>
            <w:vAlign w:val="center"/>
          </w:tcPr>
          <w:p w:rsidR="000F3CEB" w:rsidRDefault="000F3CEB" w:rsidP="005F06DE">
            <w:pPr>
              <w:spacing w:before="50" w:after="50"/>
              <w:ind w:left="137"/>
              <w:rPr>
                <w:sz w:val="20"/>
              </w:rPr>
            </w:pPr>
            <w:r>
              <w:rPr>
                <w:rFonts w:ascii="Wingdings" w:hAnsi="Wingdings"/>
                <w:color w:val="FFC000"/>
                <w:sz w:val="20"/>
              </w:rPr>
              <w:t></w:t>
            </w:r>
            <w:r>
              <w:rPr>
                <w:sz w:val="20"/>
              </w:rPr>
              <w:t xml:space="preserve"> Partially </w:t>
            </w:r>
          </w:p>
          <w:p w:rsidR="000F3CEB" w:rsidRDefault="000F3CEB" w:rsidP="005F06DE">
            <w:pPr>
              <w:spacing w:before="50" w:after="50"/>
              <w:ind w:left="137"/>
              <w:rPr>
                <w:b/>
                <w:color w:val="222222"/>
                <w:sz w:val="20"/>
              </w:rPr>
            </w:pPr>
            <w:r>
              <w:rPr>
                <w:rFonts w:ascii="Wingdings" w:hAnsi="Wingdings"/>
                <w:color w:val="FFC000"/>
                <w:sz w:val="20"/>
              </w:rPr>
              <w:t></w:t>
            </w:r>
            <w:r>
              <w:rPr>
                <w:sz w:val="20"/>
              </w:rPr>
              <w:t>Meets</w:t>
            </w:r>
          </w:p>
        </w:tc>
        <w:tc>
          <w:tcPr>
            <w:tcW w:w="5282" w:type="dxa"/>
          </w:tcPr>
          <w:p w:rsidR="000F3CEB" w:rsidRDefault="000F3CEB" w:rsidP="000F3CEB">
            <w:pPr>
              <w:pStyle w:val="Finding"/>
              <w:numPr>
                <w:ilvl w:val="0"/>
                <w:numId w:val="5"/>
              </w:numPr>
              <w:rPr>
                <w:i w:val="0"/>
                <w:sz w:val="20"/>
              </w:rPr>
            </w:pPr>
            <w:r>
              <w:rPr>
                <w:i w:val="0"/>
                <w:sz w:val="20"/>
              </w:rPr>
              <w:t xml:space="preserve">Over the charter term, the board has engaged in ongoing, informal communication with the school leader. The board has not regularly or systematically assessed his performance. </w:t>
            </w:r>
          </w:p>
          <w:p w:rsidR="000F3CEB" w:rsidRDefault="000F3CEB" w:rsidP="000F3CEB">
            <w:pPr>
              <w:numPr>
                <w:ilvl w:val="0"/>
                <w:numId w:val="5"/>
              </w:numPr>
              <w:rPr>
                <w:bCs/>
                <w:sz w:val="20"/>
              </w:rPr>
            </w:pPr>
            <w:r>
              <w:rPr>
                <w:sz w:val="20"/>
              </w:rPr>
              <w:t xml:space="preserve">Over the charter term, DCACS has improved its practice of providing </w:t>
            </w:r>
            <w:r>
              <w:rPr>
                <w:bCs/>
                <w:sz w:val="20"/>
              </w:rPr>
              <w:t>frequent feedback to teachers. In the current school year, DCACS has a professional climate providing collaboration time, instructional coaching, and frequent observation.</w:t>
            </w:r>
          </w:p>
          <w:p w:rsidR="000F3CEB" w:rsidRDefault="000F3CEB" w:rsidP="000F3CEB">
            <w:pPr>
              <w:numPr>
                <w:ilvl w:val="0"/>
                <w:numId w:val="5"/>
              </w:numPr>
              <w:rPr>
                <w:bCs/>
                <w:sz w:val="20"/>
              </w:rPr>
            </w:pPr>
            <w:r>
              <w:rPr>
                <w:bCs/>
                <w:sz w:val="20"/>
              </w:rPr>
              <w:t xml:space="preserve">The school has developed clear and well-understood systems for decision making, collaboration, and communication. </w:t>
            </w:r>
          </w:p>
          <w:p w:rsidR="000F3CEB" w:rsidRDefault="000F3CEB" w:rsidP="005F06DE">
            <w:pPr>
              <w:spacing w:before="50" w:after="50"/>
              <w:ind w:left="137"/>
              <w:rPr>
                <w:rFonts w:ascii="Wingdings" w:hAnsi="Wingdings"/>
                <w:sz w:val="20"/>
              </w:rPr>
            </w:pPr>
          </w:p>
        </w:tc>
      </w:tr>
      <w:tr w:rsidR="000F3CEB" w:rsidTr="005F06DE">
        <w:trPr>
          <w:cantSplit/>
          <w:trHeight w:hRule="exact" w:val="1241"/>
          <w:jc w:val="center"/>
        </w:trPr>
        <w:tc>
          <w:tcPr>
            <w:tcW w:w="450" w:type="dxa"/>
            <w:vMerge/>
            <w:shd w:val="clear" w:color="auto" w:fill="CCCCCC"/>
            <w:tcMar>
              <w:top w:w="43" w:type="dxa"/>
              <w:left w:w="43" w:type="dxa"/>
              <w:bottom w:w="43" w:type="dxa"/>
              <w:right w:w="43" w:type="dxa"/>
            </w:tcMar>
          </w:tcPr>
          <w:p w:rsidR="000F3CEB" w:rsidRDefault="000F3CEB" w:rsidP="005F06DE"/>
        </w:tc>
        <w:tc>
          <w:tcPr>
            <w:tcW w:w="2520" w:type="dxa"/>
            <w:gridSpan w:val="2"/>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06"/>
              </w:tabs>
              <w:ind w:left="396" w:right="79"/>
              <w:rPr>
                <w:b/>
                <w:bCs/>
                <w:sz w:val="20"/>
              </w:rPr>
            </w:pPr>
            <w:r>
              <w:rPr>
                <w:b/>
                <w:bCs/>
                <w:sz w:val="20"/>
              </w:rPr>
              <w:t>Governance</w:t>
            </w:r>
          </w:p>
        </w:tc>
        <w:tc>
          <w:tcPr>
            <w:tcW w:w="1260" w:type="dxa"/>
            <w:tcMar>
              <w:top w:w="43" w:type="dxa"/>
              <w:left w:w="43" w:type="dxa"/>
              <w:bottom w:w="43" w:type="dxa"/>
              <w:right w:w="43" w:type="dxa"/>
            </w:tcMar>
            <w:vAlign w:val="center"/>
          </w:tcPr>
          <w:p w:rsidR="000F3CEB" w:rsidRDefault="000F3CEB" w:rsidP="005F06DE">
            <w:pPr>
              <w:ind w:left="137"/>
              <w:rPr>
                <w:color w:val="222222"/>
                <w:sz w:val="20"/>
              </w:rPr>
            </w:pPr>
            <w:r>
              <w:rPr>
                <w:rFonts w:ascii="Wingdings" w:hAnsi="Wingdings"/>
                <w:color w:val="FF0000"/>
                <w:sz w:val="20"/>
              </w:rPr>
              <w:t></w:t>
            </w:r>
            <w:r>
              <w:rPr>
                <w:sz w:val="20"/>
              </w:rPr>
              <w:t xml:space="preserve"> Falls Far Below</w:t>
            </w:r>
          </w:p>
        </w:tc>
        <w:tc>
          <w:tcPr>
            <w:tcW w:w="5282" w:type="dxa"/>
          </w:tcPr>
          <w:p w:rsidR="000F3CEB" w:rsidRDefault="000F3CEB" w:rsidP="000F3CEB">
            <w:pPr>
              <w:numPr>
                <w:ilvl w:val="0"/>
                <w:numId w:val="5"/>
              </w:numPr>
              <w:rPr>
                <w:rFonts w:ascii="Wingdings" w:hAnsi="Wingdings"/>
                <w:sz w:val="20"/>
              </w:rPr>
            </w:pPr>
            <w:r>
              <w:rPr>
                <w:bCs/>
                <w:sz w:val="20"/>
              </w:rPr>
              <w:t>Throughout the charter term, the board of trustees has not provided adequate oversight of the school. The board has not implemented governance systems to ensure the success and sustainability of the school.</w:t>
            </w:r>
          </w:p>
        </w:tc>
      </w:tr>
      <w:tr w:rsidR="000F3CEB" w:rsidTr="005F06DE">
        <w:trPr>
          <w:cantSplit/>
          <w:trHeight w:hRule="exact" w:val="917"/>
          <w:jc w:val="center"/>
        </w:trPr>
        <w:tc>
          <w:tcPr>
            <w:tcW w:w="450" w:type="dxa"/>
            <w:vMerge/>
            <w:shd w:val="clear" w:color="auto" w:fill="CCCCCC"/>
            <w:tcMar>
              <w:top w:w="43" w:type="dxa"/>
              <w:left w:w="43" w:type="dxa"/>
              <w:bottom w:w="43" w:type="dxa"/>
              <w:right w:w="43" w:type="dxa"/>
            </w:tcMar>
          </w:tcPr>
          <w:p w:rsidR="000F3CEB" w:rsidRDefault="000F3CEB" w:rsidP="005F06DE"/>
        </w:tc>
        <w:tc>
          <w:tcPr>
            <w:tcW w:w="2520" w:type="dxa"/>
            <w:gridSpan w:val="2"/>
            <w:tcMar>
              <w:top w:w="29" w:type="dxa"/>
              <w:left w:w="29" w:type="dxa"/>
              <w:bottom w:w="29" w:type="dxa"/>
              <w:right w:w="29" w:type="dxa"/>
            </w:tcMar>
            <w:vAlign w:val="center"/>
          </w:tcPr>
          <w:p w:rsidR="000F3CEB" w:rsidRDefault="000F3CEB" w:rsidP="000F3CEB">
            <w:pPr>
              <w:pStyle w:val="ColorfulList-Accent11"/>
              <w:widowControl/>
              <w:numPr>
                <w:ilvl w:val="0"/>
                <w:numId w:val="4"/>
              </w:numPr>
              <w:tabs>
                <w:tab w:val="left" w:pos="306"/>
              </w:tabs>
              <w:ind w:left="396" w:right="79"/>
              <w:rPr>
                <w:b/>
                <w:bCs/>
                <w:sz w:val="20"/>
              </w:rPr>
            </w:pPr>
            <w:r>
              <w:rPr>
                <w:b/>
                <w:bCs/>
                <w:sz w:val="20"/>
              </w:rPr>
              <w:t>Finance</w:t>
            </w:r>
          </w:p>
        </w:tc>
        <w:tc>
          <w:tcPr>
            <w:tcW w:w="1260" w:type="dxa"/>
            <w:tcMar>
              <w:top w:w="43" w:type="dxa"/>
              <w:left w:w="43" w:type="dxa"/>
              <w:bottom w:w="43" w:type="dxa"/>
              <w:right w:w="43" w:type="dxa"/>
            </w:tcMar>
            <w:vAlign w:val="center"/>
          </w:tcPr>
          <w:p w:rsidR="000F3CEB" w:rsidRDefault="000F3CEB" w:rsidP="005F06DE">
            <w:pPr>
              <w:spacing w:before="50" w:after="50"/>
              <w:ind w:left="137"/>
              <w:rPr>
                <w:sz w:val="20"/>
              </w:rPr>
            </w:pPr>
            <w:r>
              <w:rPr>
                <w:rFonts w:ascii="Wingdings" w:hAnsi="Wingdings"/>
                <w:color w:val="FFC000"/>
                <w:sz w:val="20"/>
              </w:rPr>
              <w:t></w:t>
            </w:r>
            <w:r>
              <w:rPr>
                <w:sz w:val="20"/>
              </w:rPr>
              <w:t xml:space="preserve"> Partially </w:t>
            </w:r>
          </w:p>
          <w:p w:rsidR="000F3CEB" w:rsidRDefault="000F3CEB" w:rsidP="005F06DE">
            <w:pPr>
              <w:spacing w:before="50" w:after="50"/>
              <w:ind w:left="137"/>
              <w:rPr>
                <w:sz w:val="20"/>
              </w:rPr>
            </w:pPr>
            <w:r>
              <w:rPr>
                <w:rFonts w:ascii="Wingdings" w:hAnsi="Wingdings"/>
                <w:color w:val="FFC000"/>
                <w:sz w:val="20"/>
              </w:rPr>
              <w:t></w:t>
            </w:r>
            <w:r>
              <w:rPr>
                <w:sz w:val="20"/>
              </w:rPr>
              <w:t>Meets</w:t>
            </w:r>
          </w:p>
        </w:tc>
        <w:tc>
          <w:tcPr>
            <w:tcW w:w="5282" w:type="dxa"/>
          </w:tcPr>
          <w:p w:rsidR="000F3CEB" w:rsidRDefault="000F3CEB" w:rsidP="000F3CEB">
            <w:pPr>
              <w:numPr>
                <w:ilvl w:val="0"/>
                <w:numId w:val="5"/>
              </w:numPr>
              <w:rPr>
                <w:sz w:val="20"/>
              </w:rPr>
            </w:pPr>
            <w:r>
              <w:rPr>
                <w:sz w:val="20"/>
              </w:rPr>
              <w:t>DCA maintains a sound and stable financial condition.</w:t>
            </w:r>
          </w:p>
          <w:p w:rsidR="000F3CEB" w:rsidRDefault="000F3CEB" w:rsidP="000F3CEB">
            <w:pPr>
              <w:numPr>
                <w:ilvl w:val="0"/>
                <w:numId w:val="5"/>
              </w:numPr>
              <w:rPr>
                <w:sz w:val="20"/>
              </w:rPr>
            </w:pPr>
            <w:r>
              <w:rPr>
                <w:sz w:val="20"/>
              </w:rPr>
              <w:t>DCA operates in a somewhat financially sound and publicly accountable manner, with some concerns noted.</w:t>
            </w:r>
          </w:p>
        </w:tc>
      </w:tr>
    </w:tbl>
    <w:p w:rsidR="000F3CEB" w:rsidRDefault="000F3CEB" w:rsidP="000F3CEB">
      <w:pPr>
        <w:pStyle w:val="BodyText2"/>
        <w:ind w:right="-360"/>
        <w:rPr>
          <w:sz w:val="23"/>
          <w:szCs w:val="23"/>
        </w:rPr>
      </w:pPr>
    </w:p>
    <w:p w:rsidR="000F3CEB" w:rsidRDefault="000F3CEB" w:rsidP="000F3CEB">
      <w:pPr>
        <w:pStyle w:val="BodyText2"/>
        <w:ind w:right="-360"/>
        <w:rPr>
          <w:b/>
          <w:szCs w:val="24"/>
        </w:rPr>
      </w:pPr>
      <w:r>
        <w:rPr>
          <w:b/>
          <w:szCs w:val="24"/>
        </w:rPr>
        <w:t>Further Evidence</w:t>
      </w:r>
    </w:p>
    <w:p w:rsidR="000F3CEB" w:rsidRDefault="000F3CEB" w:rsidP="000F3CEB">
      <w:pPr>
        <w:pStyle w:val="BodyText2"/>
        <w:ind w:right="-360"/>
        <w:rPr>
          <w:b/>
          <w:szCs w:val="24"/>
          <w:u w:val="single"/>
        </w:rPr>
      </w:pPr>
    </w:p>
    <w:p w:rsidR="000F3CEB" w:rsidRDefault="000F3CEB" w:rsidP="000F3CEB">
      <w:pPr>
        <w:pStyle w:val="BodyText2"/>
        <w:numPr>
          <w:ilvl w:val="0"/>
          <w:numId w:val="2"/>
        </w:numPr>
        <w:ind w:right="-360"/>
        <w:rPr>
          <w:szCs w:val="24"/>
        </w:rPr>
      </w:pPr>
      <w:r>
        <w:rPr>
          <w:szCs w:val="24"/>
        </w:rPr>
        <w:t xml:space="preserve">As shown in the CPI graph below, over the past two years, student MCAS performance has declined in ELA and mathematics. </w:t>
      </w:r>
    </w:p>
    <w:p w:rsidR="000F3CEB" w:rsidRDefault="000F3CEB" w:rsidP="000F3CEB">
      <w:pPr>
        <w:pStyle w:val="BodyText2"/>
        <w:numPr>
          <w:ilvl w:val="0"/>
          <w:numId w:val="2"/>
        </w:numPr>
        <w:ind w:right="-360"/>
        <w:rPr>
          <w:szCs w:val="24"/>
        </w:rPr>
      </w:pPr>
      <w:r>
        <w:rPr>
          <w:szCs w:val="24"/>
        </w:rPr>
        <w:t>DCACS is in the 23</w:t>
      </w:r>
      <w:r>
        <w:rPr>
          <w:szCs w:val="24"/>
          <w:vertAlign w:val="superscript"/>
        </w:rPr>
        <w:t>rd</w:t>
      </w:r>
      <w:r>
        <w:rPr>
          <w:szCs w:val="24"/>
        </w:rPr>
        <w:t xml:space="preserve"> percentile relative to other schools in the same school type. </w:t>
      </w:r>
    </w:p>
    <w:p w:rsidR="000F3CEB" w:rsidRDefault="000F3CEB" w:rsidP="000F3CEB">
      <w:pPr>
        <w:pStyle w:val="BodyText2"/>
        <w:numPr>
          <w:ilvl w:val="0"/>
          <w:numId w:val="2"/>
        </w:numPr>
        <w:ind w:right="-360"/>
        <w:rPr>
          <w:szCs w:val="24"/>
        </w:rPr>
      </w:pPr>
      <w:r>
        <w:rPr>
          <w:szCs w:val="24"/>
        </w:rPr>
        <w:t>DCACS’s median student growth percentiles (SGP) have varied throughout the charter term. See the table below.</w:t>
      </w:r>
    </w:p>
    <w:p w:rsidR="000F3CEB" w:rsidRDefault="000F3CEB" w:rsidP="000F3CEB">
      <w:pPr>
        <w:pStyle w:val="BodyText2"/>
        <w:numPr>
          <w:ilvl w:val="0"/>
          <w:numId w:val="2"/>
        </w:numPr>
        <w:ind w:right="-360"/>
        <w:rPr>
          <w:szCs w:val="24"/>
        </w:rPr>
      </w:pPr>
      <w:r>
        <w:rPr>
          <w:szCs w:val="24"/>
        </w:rPr>
        <w:t xml:space="preserve">The percentage of students scoring Warning/Failing on standard MCAS in English Language Arts and mathematics increased in the aggregate from 2012 to 2013. </w:t>
      </w:r>
    </w:p>
    <w:p w:rsidR="000F3CEB" w:rsidRDefault="000F3CEB" w:rsidP="000F3CEB">
      <w:pPr>
        <w:pStyle w:val="BodyText2"/>
        <w:numPr>
          <w:ilvl w:val="0"/>
          <w:numId w:val="2"/>
        </w:numPr>
        <w:ind w:right="-360"/>
        <w:rPr>
          <w:szCs w:val="24"/>
        </w:rPr>
      </w:pPr>
      <w:r>
        <w:rPr>
          <w:szCs w:val="24"/>
        </w:rPr>
        <w:t xml:space="preserve">Please see additional demographic, academic, and financial data included in the attached Summary of Review. </w:t>
      </w:r>
    </w:p>
    <w:p w:rsidR="000F3CEB" w:rsidRDefault="000F3CEB" w:rsidP="000F3CEB">
      <w:pPr>
        <w:pStyle w:val="BodyText2"/>
        <w:ind w:right="-360"/>
        <w:rPr>
          <w:szCs w:val="24"/>
        </w:rPr>
      </w:pPr>
    </w:p>
    <w:tbl>
      <w:tblPr>
        <w:tblW w:w="6095" w:type="dxa"/>
        <w:jc w:val="center"/>
        <w:tblInd w:w="93" w:type="dxa"/>
        <w:tblLook w:val="04A0" w:firstRow="1" w:lastRow="0" w:firstColumn="1" w:lastColumn="0" w:noHBand="0" w:noVBand="1"/>
      </w:tblPr>
      <w:tblGrid>
        <w:gridCol w:w="1002"/>
        <w:gridCol w:w="1176"/>
        <w:gridCol w:w="873"/>
        <w:gridCol w:w="962"/>
        <w:gridCol w:w="1040"/>
        <w:gridCol w:w="1042"/>
      </w:tblGrid>
      <w:tr w:rsidR="000F3CEB" w:rsidTr="005F06DE">
        <w:trPr>
          <w:trHeight w:val="300"/>
          <w:jc w:val="center"/>
        </w:trPr>
        <w:tc>
          <w:tcPr>
            <w:tcW w:w="1002" w:type="dxa"/>
            <w:tcBorders>
              <w:top w:val="single" w:sz="4" w:space="0" w:color="auto"/>
              <w:left w:val="single" w:sz="4" w:space="0" w:color="auto"/>
              <w:bottom w:val="nil"/>
              <w:right w:val="nil"/>
            </w:tcBorders>
            <w:shd w:val="clear" w:color="000000" w:fill="7F7F7F"/>
            <w:noWrap/>
            <w:vAlign w:val="center"/>
            <w:hideMark/>
          </w:tcPr>
          <w:p w:rsidR="000F3CEB" w:rsidRDefault="000F3CEB" w:rsidP="005F06DE">
            <w:pPr>
              <w:rPr>
                <w:rFonts w:ascii="Calibri" w:hAnsi="Calibri"/>
                <w:b/>
                <w:bCs/>
                <w:color w:val="FFFFFF"/>
                <w:sz w:val="22"/>
                <w:szCs w:val="22"/>
              </w:rPr>
            </w:pPr>
            <w:r>
              <w:rPr>
                <w:rFonts w:ascii="Calibri" w:hAnsi="Calibri"/>
                <w:b/>
                <w:bCs/>
                <w:color w:val="FFFFFF"/>
                <w:sz w:val="22"/>
                <w:szCs w:val="22"/>
              </w:rPr>
              <w:t>DCACS Growth</w:t>
            </w:r>
          </w:p>
        </w:tc>
        <w:tc>
          <w:tcPr>
            <w:tcW w:w="1176" w:type="dxa"/>
            <w:tcBorders>
              <w:top w:val="single" w:sz="4" w:space="0" w:color="auto"/>
              <w:left w:val="nil"/>
              <w:bottom w:val="nil"/>
              <w:right w:val="nil"/>
            </w:tcBorders>
            <w:shd w:val="clear" w:color="000000" w:fill="7F7F7F"/>
            <w:noWrap/>
            <w:vAlign w:val="center"/>
            <w:hideMark/>
          </w:tcPr>
          <w:p w:rsidR="000F3CEB" w:rsidRDefault="000F3CEB" w:rsidP="005F06DE">
            <w:pPr>
              <w:rPr>
                <w:rFonts w:ascii="Calibri" w:hAnsi="Calibri"/>
                <w:b/>
                <w:bCs/>
                <w:color w:val="FFFFFF"/>
                <w:sz w:val="22"/>
                <w:szCs w:val="22"/>
              </w:rPr>
            </w:pPr>
            <w:r>
              <w:rPr>
                <w:rFonts w:ascii="Calibri" w:hAnsi="Calibri"/>
                <w:b/>
                <w:bCs/>
                <w:color w:val="FFFFFF"/>
                <w:sz w:val="22"/>
                <w:szCs w:val="22"/>
              </w:rPr>
              <w:t> </w:t>
            </w:r>
          </w:p>
        </w:tc>
        <w:tc>
          <w:tcPr>
            <w:tcW w:w="873" w:type="dxa"/>
            <w:tcBorders>
              <w:top w:val="single" w:sz="4" w:space="0" w:color="auto"/>
              <w:left w:val="nil"/>
              <w:bottom w:val="nil"/>
              <w:right w:val="nil"/>
            </w:tcBorders>
            <w:shd w:val="clear" w:color="000000" w:fill="7F7F7F"/>
            <w:vAlign w:val="center"/>
            <w:hideMark/>
          </w:tcPr>
          <w:p w:rsidR="000F3CEB" w:rsidRDefault="000F3CEB" w:rsidP="005F06DE">
            <w:pPr>
              <w:jc w:val="center"/>
              <w:rPr>
                <w:rFonts w:ascii="Calibri" w:hAnsi="Calibri"/>
                <w:b/>
                <w:bCs/>
                <w:color w:val="FFFFFF"/>
                <w:sz w:val="19"/>
                <w:szCs w:val="19"/>
              </w:rPr>
            </w:pPr>
            <w:r>
              <w:rPr>
                <w:rFonts w:ascii="Calibri" w:hAnsi="Calibri"/>
                <w:b/>
                <w:bCs/>
                <w:color w:val="FFFFFF"/>
                <w:sz w:val="19"/>
                <w:szCs w:val="19"/>
              </w:rPr>
              <w:t>2010</w:t>
            </w:r>
          </w:p>
        </w:tc>
        <w:tc>
          <w:tcPr>
            <w:tcW w:w="962" w:type="dxa"/>
            <w:tcBorders>
              <w:top w:val="single" w:sz="4" w:space="0" w:color="auto"/>
              <w:left w:val="nil"/>
              <w:bottom w:val="nil"/>
              <w:right w:val="nil"/>
            </w:tcBorders>
            <w:shd w:val="clear" w:color="000000" w:fill="7F7F7F"/>
            <w:noWrap/>
            <w:vAlign w:val="center"/>
            <w:hideMark/>
          </w:tcPr>
          <w:p w:rsidR="000F3CEB" w:rsidRDefault="000F3CEB" w:rsidP="005F06DE">
            <w:pPr>
              <w:jc w:val="center"/>
              <w:rPr>
                <w:rFonts w:ascii="Calibri" w:hAnsi="Calibri"/>
                <w:b/>
                <w:bCs/>
                <w:color w:val="FFFFFF"/>
                <w:sz w:val="19"/>
                <w:szCs w:val="19"/>
              </w:rPr>
            </w:pPr>
            <w:r>
              <w:rPr>
                <w:rFonts w:ascii="Calibri" w:hAnsi="Calibri"/>
                <w:b/>
                <w:bCs/>
                <w:color w:val="FFFFFF"/>
                <w:sz w:val="19"/>
                <w:szCs w:val="19"/>
              </w:rPr>
              <w:t>2011</w:t>
            </w:r>
          </w:p>
        </w:tc>
        <w:tc>
          <w:tcPr>
            <w:tcW w:w="1040" w:type="dxa"/>
            <w:tcBorders>
              <w:top w:val="single" w:sz="4" w:space="0" w:color="auto"/>
              <w:left w:val="nil"/>
              <w:bottom w:val="nil"/>
              <w:right w:val="nil"/>
            </w:tcBorders>
            <w:shd w:val="clear" w:color="000000" w:fill="7F7F7F"/>
            <w:vAlign w:val="center"/>
            <w:hideMark/>
          </w:tcPr>
          <w:p w:rsidR="000F3CEB" w:rsidRDefault="000F3CEB" w:rsidP="005F06DE">
            <w:pPr>
              <w:jc w:val="center"/>
              <w:rPr>
                <w:rFonts w:ascii="Calibri" w:hAnsi="Calibri"/>
                <w:b/>
                <w:bCs/>
                <w:color w:val="FFFFFF"/>
                <w:sz w:val="19"/>
                <w:szCs w:val="19"/>
              </w:rPr>
            </w:pPr>
            <w:r>
              <w:rPr>
                <w:rFonts w:ascii="Calibri" w:hAnsi="Calibri"/>
                <w:b/>
                <w:bCs/>
                <w:color w:val="FFFFFF"/>
                <w:sz w:val="19"/>
                <w:szCs w:val="19"/>
              </w:rPr>
              <w:t>2012</w:t>
            </w:r>
          </w:p>
        </w:tc>
        <w:tc>
          <w:tcPr>
            <w:tcW w:w="1042" w:type="dxa"/>
            <w:tcBorders>
              <w:top w:val="single" w:sz="4" w:space="0" w:color="auto"/>
              <w:left w:val="nil"/>
              <w:bottom w:val="nil"/>
              <w:right w:val="single" w:sz="4" w:space="0" w:color="auto"/>
            </w:tcBorders>
            <w:shd w:val="clear" w:color="000000" w:fill="7F7F7F"/>
            <w:vAlign w:val="center"/>
            <w:hideMark/>
          </w:tcPr>
          <w:p w:rsidR="000F3CEB" w:rsidRDefault="000F3CEB" w:rsidP="005F06DE">
            <w:pPr>
              <w:jc w:val="center"/>
              <w:rPr>
                <w:rFonts w:ascii="Calibri" w:hAnsi="Calibri"/>
                <w:b/>
                <w:bCs/>
                <w:color w:val="FFFFFF"/>
                <w:sz w:val="19"/>
                <w:szCs w:val="19"/>
              </w:rPr>
            </w:pPr>
            <w:r>
              <w:rPr>
                <w:rFonts w:ascii="Calibri" w:hAnsi="Calibri"/>
                <w:b/>
                <w:bCs/>
                <w:color w:val="FFFFFF"/>
                <w:sz w:val="19"/>
                <w:szCs w:val="19"/>
              </w:rPr>
              <w:t>2013</w:t>
            </w:r>
          </w:p>
        </w:tc>
      </w:tr>
      <w:tr w:rsidR="000F3CEB" w:rsidTr="005F06DE">
        <w:trPr>
          <w:cantSplit/>
          <w:trHeight w:val="300"/>
          <w:jc w:val="center"/>
        </w:trPr>
        <w:tc>
          <w:tcPr>
            <w:tcW w:w="1002" w:type="dxa"/>
            <w:vMerge w:val="restart"/>
            <w:tcBorders>
              <w:top w:val="nil"/>
              <w:left w:val="single" w:sz="4" w:space="0" w:color="auto"/>
              <w:bottom w:val="nil"/>
              <w:right w:val="nil"/>
            </w:tcBorders>
            <w:vAlign w:val="center"/>
            <w:hideMark/>
          </w:tcPr>
          <w:p w:rsidR="000F3CEB" w:rsidRDefault="000F3CEB" w:rsidP="005F06DE">
            <w:pPr>
              <w:rPr>
                <w:rFonts w:ascii="Calibri" w:hAnsi="Calibri"/>
                <w:color w:val="000000"/>
                <w:sz w:val="18"/>
                <w:szCs w:val="18"/>
              </w:rPr>
            </w:pPr>
            <w:r>
              <w:rPr>
                <w:rFonts w:ascii="Calibri" w:hAnsi="Calibri"/>
                <w:color w:val="000000"/>
                <w:sz w:val="18"/>
                <w:szCs w:val="18"/>
              </w:rPr>
              <w:t>ELA SGP</w:t>
            </w:r>
          </w:p>
        </w:tc>
        <w:tc>
          <w:tcPr>
            <w:tcW w:w="1176" w:type="dxa"/>
            <w:tcBorders>
              <w:top w:val="nil"/>
              <w:left w:val="nil"/>
              <w:bottom w:val="nil"/>
              <w:right w:val="nil"/>
            </w:tcBorders>
            <w:vAlign w:val="center"/>
            <w:hideMark/>
          </w:tcPr>
          <w:p w:rsidR="000F3CEB" w:rsidRDefault="000F3CEB" w:rsidP="005F06DE">
            <w:pPr>
              <w:rPr>
                <w:rFonts w:ascii="Calibri" w:hAnsi="Calibri"/>
                <w:i/>
                <w:iCs/>
                <w:color w:val="000000"/>
                <w:sz w:val="18"/>
                <w:szCs w:val="18"/>
              </w:rPr>
            </w:pPr>
            <w:r>
              <w:rPr>
                <w:rFonts w:ascii="Calibri" w:hAnsi="Calibri"/>
                <w:i/>
                <w:iCs/>
                <w:color w:val="000000"/>
                <w:sz w:val="18"/>
                <w:szCs w:val="18"/>
              </w:rPr>
              <w:t>All</w:t>
            </w:r>
          </w:p>
        </w:tc>
        <w:tc>
          <w:tcPr>
            <w:tcW w:w="873" w:type="dxa"/>
            <w:tcBorders>
              <w:top w:val="nil"/>
              <w:left w:val="nil"/>
              <w:bottom w:val="nil"/>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30.5</w:t>
            </w:r>
          </w:p>
        </w:tc>
        <w:tc>
          <w:tcPr>
            <w:tcW w:w="962" w:type="dxa"/>
            <w:tcBorders>
              <w:top w:val="nil"/>
              <w:left w:val="nil"/>
              <w:bottom w:val="nil"/>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60.0</w:t>
            </w:r>
          </w:p>
        </w:tc>
        <w:tc>
          <w:tcPr>
            <w:tcW w:w="1040" w:type="dxa"/>
            <w:tcBorders>
              <w:top w:val="nil"/>
              <w:left w:val="nil"/>
              <w:bottom w:val="nil"/>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63.5</w:t>
            </w:r>
          </w:p>
        </w:tc>
        <w:tc>
          <w:tcPr>
            <w:tcW w:w="1042" w:type="dxa"/>
            <w:tcBorders>
              <w:top w:val="nil"/>
              <w:left w:val="nil"/>
              <w:bottom w:val="nil"/>
              <w:right w:val="single" w:sz="4" w:space="0" w:color="auto"/>
            </w:tcBorders>
            <w:vAlign w:val="center"/>
            <w:hideMark/>
          </w:tcPr>
          <w:p w:rsidR="000F3CEB" w:rsidRDefault="000F3CEB" w:rsidP="005F06DE">
            <w:pPr>
              <w:jc w:val="center"/>
              <w:rPr>
                <w:rFonts w:ascii="Calibri" w:hAnsi="Calibri"/>
                <w:sz w:val="21"/>
                <w:szCs w:val="21"/>
              </w:rPr>
            </w:pPr>
            <w:r>
              <w:rPr>
                <w:rFonts w:ascii="Calibri" w:hAnsi="Calibri"/>
                <w:sz w:val="21"/>
                <w:szCs w:val="21"/>
              </w:rPr>
              <w:t>40.0</w:t>
            </w:r>
          </w:p>
        </w:tc>
      </w:tr>
      <w:tr w:rsidR="000F3CEB" w:rsidTr="005F06DE">
        <w:trPr>
          <w:cantSplit/>
          <w:trHeight w:val="300"/>
          <w:jc w:val="center"/>
        </w:trPr>
        <w:tc>
          <w:tcPr>
            <w:tcW w:w="1002" w:type="dxa"/>
            <w:vMerge/>
            <w:tcBorders>
              <w:top w:val="nil"/>
              <w:left w:val="single" w:sz="4" w:space="0" w:color="auto"/>
              <w:bottom w:val="nil"/>
              <w:right w:val="nil"/>
            </w:tcBorders>
            <w:vAlign w:val="center"/>
            <w:hideMark/>
          </w:tcPr>
          <w:p w:rsidR="000F3CEB" w:rsidRDefault="000F3CEB" w:rsidP="005F06DE">
            <w:pPr>
              <w:rPr>
                <w:rFonts w:ascii="Calibri" w:hAnsi="Calibri"/>
                <w:color w:val="000000"/>
                <w:sz w:val="18"/>
                <w:szCs w:val="18"/>
              </w:rPr>
            </w:pPr>
          </w:p>
        </w:tc>
        <w:tc>
          <w:tcPr>
            <w:tcW w:w="1176" w:type="dxa"/>
            <w:tcBorders>
              <w:top w:val="nil"/>
              <w:left w:val="nil"/>
              <w:bottom w:val="nil"/>
              <w:right w:val="nil"/>
            </w:tcBorders>
            <w:vAlign w:val="center"/>
            <w:hideMark/>
          </w:tcPr>
          <w:p w:rsidR="000F3CEB" w:rsidRDefault="000F3CEB" w:rsidP="005F06DE">
            <w:pPr>
              <w:rPr>
                <w:rFonts w:ascii="Calibri" w:hAnsi="Calibri"/>
                <w:i/>
                <w:iCs/>
                <w:color w:val="000000"/>
                <w:sz w:val="18"/>
                <w:szCs w:val="18"/>
              </w:rPr>
            </w:pPr>
            <w:r>
              <w:rPr>
                <w:rFonts w:ascii="Calibri" w:hAnsi="Calibri"/>
                <w:i/>
                <w:iCs/>
                <w:color w:val="000000"/>
                <w:sz w:val="18"/>
                <w:szCs w:val="18"/>
              </w:rPr>
              <w:t>High needs</w:t>
            </w:r>
          </w:p>
        </w:tc>
        <w:tc>
          <w:tcPr>
            <w:tcW w:w="873" w:type="dxa"/>
            <w:tcBorders>
              <w:top w:val="nil"/>
              <w:left w:val="nil"/>
              <w:bottom w:val="nil"/>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26.0</w:t>
            </w:r>
          </w:p>
        </w:tc>
        <w:tc>
          <w:tcPr>
            <w:tcW w:w="962" w:type="dxa"/>
            <w:tcBorders>
              <w:top w:val="nil"/>
              <w:left w:val="nil"/>
              <w:bottom w:val="nil"/>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62.0</w:t>
            </w:r>
          </w:p>
        </w:tc>
        <w:tc>
          <w:tcPr>
            <w:tcW w:w="1040" w:type="dxa"/>
            <w:tcBorders>
              <w:top w:val="nil"/>
              <w:left w:val="nil"/>
              <w:bottom w:val="nil"/>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63.5</w:t>
            </w:r>
          </w:p>
        </w:tc>
        <w:tc>
          <w:tcPr>
            <w:tcW w:w="1042" w:type="dxa"/>
            <w:tcBorders>
              <w:top w:val="nil"/>
              <w:left w:val="nil"/>
              <w:bottom w:val="nil"/>
              <w:right w:val="single" w:sz="4" w:space="0" w:color="auto"/>
            </w:tcBorders>
            <w:vAlign w:val="center"/>
            <w:hideMark/>
          </w:tcPr>
          <w:p w:rsidR="000F3CEB" w:rsidRDefault="000F3CEB" w:rsidP="005F06DE">
            <w:pPr>
              <w:jc w:val="center"/>
              <w:rPr>
                <w:rFonts w:ascii="Calibri" w:hAnsi="Calibri"/>
                <w:sz w:val="21"/>
                <w:szCs w:val="21"/>
              </w:rPr>
            </w:pPr>
            <w:r>
              <w:rPr>
                <w:rFonts w:ascii="Calibri" w:hAnsi="Calibri"/>
                <w:sz w:val="21"/>
                <w:szCs w:val="21"/>
              </w:rPr>
              <w:t>38.0</w:t>
            </w:r>
          </w:p>
        </w:tc>
      </w:tr>
      <w:tr w:rsidR="000F3CEB" w:rsidTr="005F06DE">
        <w:trPr>
          <w:cantSplit/>
          <w:trHeight w:val="300"/>
          <w:jc w:val="center"/>
        </w:trPr>
        <w:tc>
          <w:tcPr>
            <w:tcW w:w="1002" w:type="dxa"/>
            <w:vMerge w:val="restart"/>
            <w:tcBorders>
              <w:top w:val="nil"/>
              <w:left w:val="single" w:sz="4" w:space="0" w:color="auto"/>
              <w:bottom w:val="single" w:sz="4" w:space="0" w:color="000000"/>
              <w:right w:val="nil"/>
            </w:tcBorders>
            <w:vAlign w:val="center"/>
            <w:hideMark/>
          </w:tcPr>
          <w:p w:rsidR="000F3CEB" w:rsidRDefault="000F3CEB" w:rsidP="005F06DE">
            <w:pPr>
              <w:rPr>
                <w:rFonts w:ascii="Calibri" w:hAnsi="Calibri"/>
                <w:color w:val="000000"/>
                <w:sz w:val="18"/>
                <w:szCs w:val="18"/>
              </w:rPr>
            </w:pPr>
            <w:r>
              <w:rPr>
                <w:rFonts w:ascii="Calibri" w:hAnsi="Calibri"/>
                <w:color w:val="000000"/>
                <w:sz w:val="18"/>
                <w:szCs w:val="18"/>
              </w:rPr>
              <w:t>Math SGP</w:t>
            </w:r>
          </w:p>
        </w:tc>
        <w:tc>
          <w:tcPr>
            <w:tcW w:w="1176" w:type="dxa"/>
            <w:tcBorders>
              <w:top w:val="nil"/>
              <w:left w:val="nil"/>
              <w:bottom w:val="nil"/>
              <w:right w:val="nil"/>
            </w:tcBorders>
            <w:vAlign w:val="center"/>
            <w:hideMark/>
          </w:tcPr>
          <w:p w:rsidR="000F3CEB" w:rsidRDefault="000F3CEB" w:rsidP="005F06DE">
            <w:pPr>
              <w:rPr>
                <w:rFonts w:ascii="Calibri" w:hAnsi="Calibri"/>
                <w:i/>
                <w:iCs/>
                <w:color w:val="000000"/>
                <w:sz w:val="18"/>
                <w:szCs w:val="18"/>
              </w:rPr>
            </w:pPr>
            <w:r>
              <w:rPr>
                <w:rFonts w:ascii="Calibri" w:hAnsi="Calibri"/>
                <w:i/>
                <w:iCs/>
                <w:color w:val="000000"/>
                <w:sz w:val="18"/>
                <w:szCs w:val="18"/>
              </w:rPr>
              <w:t>All</w:t>
            </w:r>
          </w:p>
        </w:tc>
        <w:tc>
          <w:tcPr>
            <w:tcW w:w="873" w:type="dxa"/>
            <w:tcBorders>
              <w:top w:val="nil"/>
              <w:left w:val="nil"/>
              <w:bottom w:val="nil"/>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14.5</w:t>
            </w:r>
          </w:p>
        </w:tc>
        <w:tc>
          <w:tcPr>
            <w:tcW w:w="962" w:type="dxa"/>
            <w:tcBorders>
              <w:top w:val="nil"/>
              <w:left w:val="nil"/>
              <w:bottom w:val="nil"/>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76.0</w:t>
            </w:r>
          </w:p>
        </w:tc>
        <w:tc>
          <w:tcPr>
            <w:tcW w:w="1040" w:type="dxa"/>
            <w:tcBorders>
              <w:top w:val="nil"/>
              <w:left w:val="nil"/>
              <w:bottom w:val="nil"/>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65.0</w:t>
            </w:r>
          </w:p>
        </w:tc>
        <w:tc>
          <w:tcPr>
            <w:tcW w:w="1042" w:type="dxa"/>
            <w:tcBorders>
              <w:top w:val="nil"/>
              <w:left w:val="nil"/>
              <w:bottom w:val="nil"/>
              <w:right w:val="single" w:sz="4" w:space="0" w:color="auto"/>
            </w:tcBorders>
            <w:vAlign w:val="center"/>
            <w:hideMark/>
          </w:tcPr>
          <w:p w:rsidR="000F3CEB" w:rsidRDefault="000F3CEB" w:rsidP="005F06DE">
            <w:pPr>
              <w:jc w:val="center"/>
              <w:rPr>
                <w:rFonts w:ascii="Calibri" w:hAnsi="Calibri"/>
                <w:sz w:val="21"/>
                <w:szCs w:val="21"/>
              </w:rPr>
            </w:pPr>
            <w:r>
              <w:rPr>
                <w:rFonts w:ascii="Calibri" w:hAnsi="Calibri"/>
                <w:sz w:val="21"/>
                <w:szCs w:val="21"/>
              </w:rPr>
              <w:t>39.5</w:t>
            </w:r>
          </w:p>
        </w:tc>
      </w:tr>
      <w:tr w:rsidR="000F3CEB" w:rsidTr="005F06DE">
        <w:trPr>
          <w:cantSplit/>
          <w:trHeight w:val="300"/>
          <w:jc w:val="center"/>
        </w:trPr>
        <w:tc>
          <w:tcPr>
            <w:tcW w:w="1002" w:type="dxa"/>
            <w:vMerge/>
            <w:tcBorders>
              <w:top w:val="nil"/>
              <w:left w:val="single" w:sz="4" w:space="0" w:color="auto"/>
              <w:bottom w:val="single" w:sz="4" w:space="0" w:color="000000"/>
              <w:right w:val="nil"/>
            </w:tcBorders>
            <w:vAlign w:val="center"/>
            <w:hideMark/>
          </w:tcPr>
          <w:p w:rsidR="000F3CEB" w:rsidRDefault="000F3CEB" w:rsidP="005F06DE">
            <w:pPr>
              <w:rPr>
                <w:rFonts w:ascii="Calibri" w:hAnsi="Calibri"/>
                <w:color w:val="000000"/>
                <w:sz w:val="18"/>
                <w:szCs w:val="18"/>
              </w:rPr>
            </w:pPr>
          </w:p>
        </w:tc>
        <w:tc>
          <w:tcPr>
            <w:tcW w:w="1176" w:type="dxa"/>
            <w:tcBorders>
              <w:top w:val="nil"/>
              <w:left w:val="nil"/>
              <w:bottom w:val="single" w:sz="4" w:space="0" w:color="auto"/>
              <w:right w:val="nil"/>
            </w:tcBorders>
            <w:vAlign w:val="center"/>
            <w:hideMark/>
          </w:tcPr>
          <w:p w:rsidR="000F3CEB" w:rsidRDefault="000F3CEB" w:rsidP="005F06DE">
            <w:pPr>
              <w:rPr>
                <w:rFonts w:ascii="Calibri" w:hAnsi="Calibri"/>
                <w:i/>
                <w:iCs/>
                <w:color w:val="000000"/>
                <w:sz w:val="18"/>
                <w:szCs w:val="18"/>
              </w:rPr>
            </w:pPr>
            <w:r>
              <w:rPr>
                <w:rFonts w:ascii="Calibri" w:hAnsi="Calibri"/>
                <w:i/>
                <w:iCs/>
                <w:color w:val="000000"/>
                <w:sz w:val="18"/>
                <w:szCs w:val="18"/>
              </w:rPr>
              <w:t>High needs</w:t>
            </w:r>
          </w:p>
        </w:tc>
        <w:tc>
          <w:tcPr>
            <w:tcW w:w="873" w:type="dxa"/>
            <w:tcBorders>
              <w:top w:val="nil"/>
              <w:left w:val="nil"/>
              <w:bottom w:val="single" w:sz="4" w:space="0" w:color="auto"/>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13.0</w:t>
            </w:r>
          </w:p>
        </w:tc>
        <w:tc>
          <w:tcPr>
            <w:tcW w:w="962" w:type="dxa"/>
            <w:tcBorders>
              <w:top w:val="nil"/>
              <w:left w:val="nil"/>
              <w:bottom w:val="single" w:sz="4" w:space="0" w:color="auto"/>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76.0</w:t>
            </w:r>
          </w:p>
        </w:tc>
        <w:tc>
          <w:tcPr>
            <w:tcW w:w="1040" w:type="dxa"/>
            <w:tcBorders>
              <w:top w:val="nil"/>
              <w:left w:val="nil"/>
              <w:bottom w:val="single" w:sz="4" w:space="0" w:color="auto"/>
              <w:right w:val="nil"/>
            </w:tcBorders>
            <w:vAlign w:val="center"/>
            <w:hideMark/>
          </w:tcPr>
          <w:p w:rsidR="000F3CEB" w:rsidRDefault="000F3CEB" w:rsidP="005F06DE">
            <w:pPr>
              <w:jc w:val="center"/>
              <w:rPr>
                <w:rFonts w:ascii="Calibri" w:hAnsi="Calibri"/>
                <w:sz w:val="21"/>
                <w:szCs w:val="21"/>
              </w:rPr>
            </w:pPr>
            <w:r>
              <w:rPr>
                <w:rFonts w:ascii="Calibri" w:hAnsi="Calibri"/>
                <w:sz w:val="21"/>
                <w:szCs w:val="21"/>
              </w:rPr>
              <w:t>66.0</w:t>
            </w:r>
          </w:p>
        </w:tc>
        <w:tc>
          <w:tcPr>
            <w:tcW w:w="1042" w:type="dxa"/>
            <w:tcBorders>
              <w:top w:val="nil"/>
              <w:left w:val="nil"/>
              <w:bottom w:val="single" w:sz="4" w:space="0" w:color="auto"/>
              <w:right w:val="single" w:sz="4" w:space="0" w:color="auto"/>
            </w:tcBorders>
            <w:vAlign w:val="center"/>
            <w:hideMark/>
          </w:tcPr>
          <w:p w:rsidR="000F3CEB" w:rsidRDefault="000F3CEB" w:rsidP="005F06DE">
            <w:pPr>
              <w:jc w:val="center"/>
              <w:rPr>
                <w:rFonts w:ascii="Calibri" w:hAnsi="Calibri"/>
                <w:sz w:val="21"/>
                <w:szCs w:val="21"/>
              </w:rPr>
            </w:pPr>
            <w:r>
              <w:rPr>
                <w:rFonts w:ascii="Calibri" w:hAnsi="Calibri"/>
                <w:sz w:val="21"/>
                <w:szCs w:val="21"/>
              </w:rPr>
              <w:t>37.0</w:t>
            </w:r>
          </w:p>
        </w:tc>
      </w:tr>
    </w:tbl>
    <w:p w:rsidR="000F3CEB" w:rsidRDefault="000F3CEB" w:rsidP="000F3CEB">
      <w:pPr>
        <w:pStyle w:val="BodyText2"/>
        <w:ind w:right="-36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F3CEB" w:rsidTr="005F06DE">
        <w:tc>
          <w:tcPr>
            <w:tcW w:w="9576" w:type="dxa"/>
          </w:tcPr>
          <w:p w:rsidR="000F3CEB" w:rsidRDefault="000F3CEB" w:rsidP="005F06DE">
            <w:pPr>
              <w:pStyle w:val="BodyText2"/>
              <w:ind w:right="-360"/>
              <w:jc w:val="center"/>
              <w:rPr>
                <w:szCs w:val="24"/>
              </w:rPr>
            </w:pPr>
            <w:r>
              <w:rPr>
                <w:noProof/>
                <w:szCs w:val="24"/>
              </w:rPr>
              <w:lastRenderedPageBreak/>
              <w:drawing>
                <wp:inline distT="0" distB="0" distL="0" distR="0">
                  <wp:extent cx="4563110" cy="3141345"/>
                  <wp:effectExtent l="19050" t="0" r="8890" b="0"/>
                  <wp:docPr id="4" name="Picture 3" descr="Dorchester Collegiate Academy Charter Cumulative Progress and Performance Index (CPI) 2010-2017&#10;&#10;For CPI and CPI Target data, please visit: http://profiles.doe.mass.edu/accountability/report/school.aspx?orgcode=04750505&amp;fycode=2013&amp;report_mode=DETA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CPI and CPI Target data, please visit: http://profiles.doe.mass.edu/accountability/report/school.aspx?orgcode=04750505&amp;fycode=2013&amp;report_mode=DETAIL&#10;"/>
                          <pic:cNvPicPr>
                            <a:picLocks noChangeAspect="1" noChangeArrowheads="1"/>
                          </pic:cNvPicPr>
                        </pic:nvPicPr>
                        <pic:blipFill>
                          <a:blip r:embed="rId12" cstate="print"/>
                          <a:srcRect/>
                          <a:stretch>
                            <a:fillRect/>
                          </a:stretch>
                        </pic:blipFill>
                        <pic:spPr bwMode="auto">
                          <a:xfrm>
                            <a:off x="0" y="0"/>
                            <a:ext cx="4563110" cy="3141345"/>
                          </a:xfrm>
                          <a:prstGeom prst="rect">
                            <a:avLst/>
                          </a:prstGeom>
                          <a:noFill/>
                          <a:ln w="9525">
                            <a:noFill/>
                            <a:miter lim="800000"/>
                            <a:headEnd/>
                            <a:tailEnd/>
                          </a:ln>
                        </pic:spPr>
                      </pic:pic>
                    </a:graphicData>
                  </a:graphic>
                </wp:inline>
              </w:drawing>
            </w:r>
          </w:p>
        </w:tc>
      </w:tr>
    </w:tbl>
    <w:p w:rsidR="000F3CEB" w:rsidRDefault="000F3CEB" w:rsidP="000F3CEB">
      <w:pPr>
        <w:pStyle w:val="BodyText2"/>
        <w:ind w:right="-36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F3CEB" w:rsidTr="005F06DE">
        <w:tc>
          <w:tcPr>
            <w:tcW w:w="9576" w:type="dxa"/>
          </w:tcPr>
          <w:p w:rsidR="000F3CEB" w:rsidRDefault="000F3CEB" w:rsidP="005F06DE">
            <w:pPr>
              <w:jc w:val="center"/>
              <w:rPr>
                <w:sz w:val="23"/>
                <w:szCs w:val="23"/>
              </w:rPr>
            </w:pPr>
            <w:r>
              <w:rPr>
                <w:noProof/>
                <w:snapToGrid/>
                <w:sz w:val="23"/>
                <w:szCs w:val="23"/>
              </w:rPr>
              <w:drawing>
                <wp:inline distT="0" distB="0" distL="0" distR="0">
                  <wp:extent cx="4550410" cy="3145790"/>
                  <wp:effectExtent l="19050" t="0" r="2540" b="0"/>
                  <wp:docPr id="1" name="Picture 1" descr="Dorchester Collegiate Academy Charter Cumulative Progress and Performance Index (CPI) 2010-2017&#10;&#10;For CPI and CPI Target data, please visit: http://profiles.doe.mass.edu/accountability/report/school.aspx?orgcode=04750505&amp;fycode=2013&amp;report_mode=DETAIL&#10;&#10;&#10;For CPI and CPI Target data, please visit: http://profiles.doe.mass.edu/accountability/report/school.aspx?orgcode=04750505&amp;fycode=2013&amp;report_mode=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CPI and CPI Target data, please visit: http://profiles.doe.mass.edu/accountability/report/school.aspx?orgcode=04750505&amp;fycode=2013&amp;report_mode=DETAIL"/>
                          <pic:cNvPicPr>
                            <a:picLocks noChangeAspect="1" noChangeArrowheads="1"/>
                          </pic:cNvPicPr>
                        </pic:nvPicPr>
                        <pic:blipFill>
                          <a:blip r:embed="rId13" cstate="print"/>
                          <a:srcRect/>
                          <a:stretch>
                            <a:fillRect/>
                          </a:stretch>
                        </pic:blipFill>
                        <pic:spPr bwMode="auto">
                          <a:xfrm>
                            <a:off x="0" y="0"/>
                            <a:ext cx="4550410" cy="3145790"/>
                          </a:xfrm>
                          <a:prstGeom prst="rect">
                            <a:avLst/>
                          </a:prstGeom>
                          <a:noFill/>
                          <a:ln w="9525">
                            <a:noFill/>
                            <a:miter lim="800000"/>
                            <a:headEnd/>
                            <a:tailEnd/>
                          </a:ln>
                        </pic:spPr>
                      </pic:pic>
                    </a:graphicData>
                  </a:graphic>
                </wp:inline>
              </w:drawing>
            </w:r>
          </w:p>
        </w:tc>
      </w:tr>
    </w:tbl>
    <w:p w:rsidR="000F3CEB" w:rsidRDefault="000F3CEB" w:rsidP="000F3CEB">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F3CEB" w:rsidTr="005F06DE">
        <w:tc>
          <w:tcPr>
            <w:tcW w:w="9576" w:type="dxa"/>
          </w:tcPr>
          <w:p w:rsidR="000F3CEB" w:rsidRDefault="000F3CEB" w:rsidP="005F06DE">
            <w:pPr>
              <w:jc w:val="center"/>
              <w:rPr>
                <w:sz w:val="23"/>
                <w:szCs w:val="23"/>
              </w:rPr>
            </w:pPr>
            <w:r>
              <w:rPr>
                <w:noProof/>
                <w:snapToGrid/>
                <w:sz w:val="23"/>
                <w:szCs w:val="23"/>
              </w:rPr>
              <w:lastRenderedPageBreak/>
              <w:drawing>
                <wp:inline distT="0" distB="0" distL="0" distR="0">
                  <wp:extent cx="4563110" cy="3141345"/>
                  <wp:effectExtent l="19050" t="0" r="8890" b="0"/>
                  <wp:docPr id="3" name="Picture 8" descr="Dorchester Collegiate Academy Charter Cumulative Progress and Performance Index (CPI) 2010-2017&#10;&#10;For CPI and CPI Target data, please visit: http://profiles.doe.mass.edu/accountability/report/school.aspx?orgcode=04750505&amp;fycode=2013&amp;report_mode=DETAIL&#10;&#10;&#10;For CPI and CPI Target data, please visit: http://profiles.doe.mass.edu/accountability/report/school.aspx?orgcode=04750505&amp;fycode=2013&amp;report_mode=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CPI and CPI Target data, please visit: http://profiles.doe.mass.edu/accountability/report/school.aspx?orgcode=04750505&amp;fycode=2013&amp;report_mode=DETAIL"/>
                          <pic:cNvPicPr>
                            <a:picLocks noChangeAspect="1" noChangeArrowheads="1"/>
                          </pic:cNvPicPr>
                        </pic:nvPicPr>
                        <pic:blipFill>
                          <a:blip r:embed="rId14" cstate="print"/>
                          <a:srcRect/>
                          <a:stretch>
                            <a:fillRect/>
                          </a:stretch>
                        </pic:blipFill>
                        <pic:spPr bwMode="auto">
                          <a:xfrm>
                            <a:off x="0" y="0"/>
                            <a:ext cx="4563110" cy="3141345"/>
                          </a:xfrm>
                          <a:prstGeom prst="rect">
                            <a:avLst/>
                          </a:prstGeom>
                          <a:noFill/>
                          <a:ln w="9525">
                            <a:noFill/>
                            <a:miter lim="800000"/>
                            <a:headEnd/>
                            <a:tailEnd/>
                          </a:ln>
                        </pic:spPr>
                      </pic:pic>
                    </a:graphicData>
                  </a:graphic>
                </wp:inline>
              </w:drawing>
            </w:r>
          </w:p>
        </w:tc>
      </w:tr>
    </w:tbl>
    <w:p w:rsidR="000F3CEB" w:rsidRDefault="000F3CEB" w:rsidP="000F3CEB">
      <w:pPr>
        <w:rPr>
          <w:sz w:val="23"/>
          <w:szCs w:val="23"/>
        </w:rPr>
      </w:pPr>
    </w:p>
    <w:p w:rsidR="000F3CEB" w:rsidRDefault="000F3CEB" w:rsidP="000F3CEB">
      <w:pPr>
        <w:pStyle w:val="BodyText2"/>
        <w:ind w:right="-360"/>
        <w:rPr>
          <w:b/>
          <w:szCs w:val="24"/>
          <w:u w:val="single"/>
        </w:rPr>
      </w:pPr>
      <w:r>
        <w:rPr>
          <w:b/>
          <w:szCs w:val="24"/>
          <w:u w:val="single"/>
        </w:rPr>
        <w:t>Conditions Imposed with Probation and Charter Renewal</w:t>
      </w:r>
    </w:p>
    <w:p w:rsidR="000F3CEB" w:rsidRDefault="000F3CEB" w:rsidP="000F3CEB">
      <w:pPr>
        <w:pStyle w:val="BodyText2"/>
        <w:ind w:right="-360"/>
        <w:rPr>
          <w:szCs w:val="24"/>
        </w:rPr>
      </w:pPr>
    </w:p>
    <w:p w:rsidR="000F3CEB" w:rsidRDefault="000F3CEB" w:rsidP="000F3CEB">
      <w:pPr>
        <w:pStyle w:val="BodyText2"/>
        <w:ind w:right="-360"/>
        <w:rPr>
          <w:szCs w:val="24"/>
        </w:rPr>
      </w:pPr>
      <w:r>
        <w:rPr>
          <w:szCs w:val="24"/>
        </w:rPr>
        <w:t xml:space="preserve">I recommend that the Board vote to place DCACS on probation and impose the conditions that follow on the school’s charter. </w:t>
      </w:r>
    </w:p>
    <w:p w:rsidR="000F3CEB" w:rsidRDefault="000F3CEB" w:rsidP="000F3CEB">
      <w:pPr>
        <w:widowControl/>
        <w:rPr>
          <w:sz w:val="23"/>
          <w:szCs w:val="23"/>
        </w:rPr>
      </w:pPr>
    </w:p>
    <w:p w:rsidR="000F3CEB" w:rsidRDefault="000F3CEB" w:rsidP="000F3CEB">
      <w:pPr>
        <w:pStyle w:val="BodyText"/>
        <w:widowControl w:val="0"/>
        <w:numPr>
          <w:ilvl w:val="0"/>
          <w:numId w:val="6"/>
        </w:numPr>
        <w:rPr>
          <w:sz w:val="24"/>
          <w:szCs w:val="24"/>
        </w:rPr>
      </w:pPr>
      <w:r>
        <w:rPr>
          <w:sz w:val="24"/>
          <w:szCs w:val="24"/>
        </w:rPr>
        <w:t xml:space="preserve">Beginning in March 2014 and until further notice, DCACS must submit to the Department of Elementary and Secondary Education (Department), at </w:t>
      </w:r>
      <w:hyperlink r:id="rId15" w:history="1">
        <w:r>
          <w:rPr>
            <w:rStyle w:val="Hyperlink"/>
            <w:sz w:val="24"/>
            <w:szCs w:val="24"/>
          </w:rPr>
          <w:t>charterschools@doe.mass.edu</w:t>
        </w:r>
      </w:hyperlink>
      <w:r>
        <w:rPr>
          <w:sz w:val="24"/>
          <w:szCs w:val="24"/>
        </w:rPr>
        <w:t xml:space="preserve"> or 75 Pleasant St., Malden, MA, 02148,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0F3CEB" w:rsidRDefault="000F3CEB" w:rsidP="000F3CEB">
      <w:pPr>
        <w:pStyle w:val="BodyText"/>
        <w:widowControl w:val="0"/>
        <w:numPr>
          <w:ilvl w:val="0"/>
          <w:numId w:val="6"/>
        </w:numPr>
        <w:rPr>
          <w:sz w:val="24"/>
          <w:szCs w:val="24"/>
        </w:rPr>
      </w:pPr>
      <w:r>
        <w:rPr>
          <w:sz w:val="24"/>
        </w:rPr>
        <w:t>By June 30, 2014, DCACS must submit a comprehensive evaluation of the school’s mathematics and English language arts programs, including how such programs meet the needs of special education students and English language learners, conducted by an external consultant(s). Such consultant(s) must be acceptable to and approved in advance by the Department.</w:t>
      </w:r>
    </w:p>
    <w:p w:rsidR="000F3CEB" w:rsidRDefault="000F3CEB" w:rsidP="000F3CEB">
      <w:pPr>
        <w:pStyle w:val="BodyText"/>
        <w:widowControl w:val="0"/>
        <w:numPr>
          <w:ilvl w:val="0"/>
          <w:numId w:val="6"/>
        </w:numPr>
        <w:rPr>
          <w:sz w:val="24"/>
          <w:szCs w:val="24"/>
        </w:rPr>
      </w:pPr>
      <w:r>
        <w:rPr>
          <w:sz w:val="24"/>
        </w:rPr>
        <w:t>By July 31, 2014, DCACS must submit an action plan to the Department for approval. Such action plan must specify strategies to improve mathematics and English language arts performance, including the performance of special education students and English language learners. The action plan must address implementation of a proven curriculum and instruction program for mathematics and English language arts. The action plan must set clear and specific implementation benchmarks</w:t>
      </w:r>
      <w:r w:rsidRPr="00D32280">
        <w:rPr>
          <w:sz w:val="24"/>
        </w:rPr>
        <w:t>, with a clear timetable and deadlines for completion of key tasks,</w:t>
      </w:r>
      <w:r>
        <w:rPr>
          <w:sz w:val="24"/>
        </w:rPr>
        <w:t xml:space="preserve"> to allow the school’s board of trustees and the Department to monitor implementation.</w:t>
      </w:r>
    </w:p>
    <w:p w:rsidR="000F3CEB" w:rsidRDefault="000F3CEB" w:rsidP="000F3CEB">
      <w:pPr>
        <w:pStyle w:val="BodyText"/>
        <w:widowControl w:val="0"/>
        <w:numPr>
          <w:ilvl w:val="0"/>
          <w:numId w:val="6"/>
        </w:numPr>
        <w:rPr>
          <w:sz w:val="24"/>
          <w:szCs w:val="24"/>
        </w:rPr>
      </w:pPr>
      <w:r>
        <w:rPr>
          <w:sz w:val="24"/>
          <w:szCs w:val="23"/>
        </w:rPr>
        <w:t xml:space="preserve">By July 31, 2014, </w:t>
      </w:r>
      <w:r>
        <w:rPr>
          <w:sz w:val="24"/>
        </w:rPr>
        <w:t xml:space="preserve">DCACS </w:t>
      </w:r>
      <w:r>
        <w:rPr>
          <w:sz w:val="24"/>
          <w:szCs w:val="23"/>
        </w:rPr>
        <w:t xml:space="preserve">must implement all key elements of its educational program </w:t>
      </w:r>
      <w:r>
        <w:rPr>
          <w:sz w:val="24"/>
          <w:szCs w:val="23"/>
        </w:rPr>
        <w:lastRenderedPageBreak/>
        <w:t>model in alignment with its charter or request an amendment to its charter to accurately reflect the school’s educational program.</w:t>
      </w:r>
    </w:p>
    <w:p w:rsidR="000F3CEB" w:rsidRDefault="000F3CEB" w:rsidP="000F3CEB">
      <w:pPr>
        <w:pStyle w:val="BodyText"/>
        <w:widowControl w:val="0"/>
        <w:numPr>
          <w:ilvl w:val="0"/>
          <w:numId w:val="6"/>
        </w:numPr>
        <w:rPr>
          <w:sz w:val="24"/>
          <w:szCs w:val="24"/>
        </w:rPr>
      </w:pPr>
      <w:r>
        <w:rPr>
          <w:sz w:val="24"/>
          <w:szCs w:val="24"/>
        </w:rPr>
        <w:t xml:space="preserve">By July 31, 2014, the school’s board of trustees must have completed a comprehensive self-evaluation of its own capacity and must have recruited additional board members with needed expertise, as identified by the board of trustees and the Department. </w:t>
      </w:r>
    </w:p>
    <w:p w:rsidR="000F3CEB" w:rsidRDefault="000F3CEB" w:rsidP="000F3CEB">
      <w:pPr>
        <w:pStyle w:val="BodyText"/>
        <w:widowControl w:val="0"/>
        <w:numPr>
          <w:ilvl w:val="0"/>
          <w:numId w:val="6"/>
        </w:numPr>
        <w:rPr>
          <w:sz w:val="24"/>
          <w:szCs w:val="23"/>
        </w:rPr>
      </w:pPr>
      <w:r>
        <w:rPr>
          <w:sz w:val="24"/>
        </w:rPr>
        <w:t>By August 31, 2014, the school’s board of trustees must engage in training conducted by an external consultant, acceptable to and approved in advance by the Department, on the roles and responsibilities of a board of trustees for a charter school.</w:t>
      </w:r>
    </w:p>
    <w:p w:rsidR="000F3CEB" w:rsidRDefault="000F3CEB" w:rsidP="000F3CEB">
      <w:pPr>
        <w:pStyle w:val="BodyText"/>
        <w:widowControl w:val="0"/>
        <w:numPr>
          <w:ilvl w:val="0"/>
          <w:numId w:val="6"/>
        </w:numPr>
        <w:rPr>
          <w:sz w:val="24"/>
          <w:szCs w:val="24"/>
        </w:rPr>
      </w:pPr>
      <w:r>
        <w:rPr>
          <w:sz w:val="24"/>
          <w:szCs w:val="24"/>
        </w:rPr>
        <w:t>By September 30, 2014, the school’s board of trustees must develop and implement a formal system of evaluation for the executive director.</w:t>
      </w:r>
    </w:p>
    <w:p w:rsidR="000F3CEB" w:rsidRDefault="000F3CEB" w:rsidP="000F3CEB">
      <w:pPr>
        <w:widowControl/>
        <w:numPr>
          <w:ilvl w:val="0"/>
          <w:numId w:val="6"/>
        </w:numPr>
        <w:spacing w:after="120"/>
      </w:pPr>
      <w:r>
        <w:t>By September 30, 2015, DCACS must demonstrate that it is an academic success by providing evidence that the school has met or is making substantial progress toward meeting benchmarks in its approved Accountability Plan and, in particular, has demonstrated significant and sustained academic improvement in mathematics and English language arts.</w:t>
      </w:r>
    </w:p>
    <w:p w:rsidR="000F3CEB" w:rsidRDefault="000F3CEB" w:rsidP="000F3CEB">
      <w:pPr>
        <w:pStyle w:val="BodyText2"/>
        <w:numPr>
          <w:ilvl w:val="0"/>
          <w:numId w:val="6"/>
        </w:numPr>
        <w:spacing w:after="120"/>
        <w:rPr>
          <w:sz w:val="23"/>
          <w:szCs w:val="23"/>
        </w:rPr>
      </w:pPr>
      <w:r>
        <w:rPr>
          <w:szCs w:val="23"/>
        </w:rPr>
        <w:t xml:space="preserve">By September 30, 2015, </w:t>
      </w:r>
      <w:r>
        <w:t>DCACS</w:t>
      </w:r>
      <w:r>
        <w:rPr>
          <w:szCs w:val="23"/>
        </w:rPr>
        <w:t xml:space="preserve"> must provide written evidence </w:t>
      </w:r>
      <w:r>
        <w:rPr>
          <w:bCs/>
          <w:szCs w:val="23"/>
        </w:rPr>
        <w:t xml:space="preserve">of consistent implementation of its educational program in alignment with its charter, including any approved amendment(s). </w:t>
      </w:r>
      <w:r>
        <w:rPr>
          <w:color w:val="000000"/>
          <w:szCs w:val="24"/>
        </w:rPr>
        <w:t>The Department must be able to corroborate such evidence through the site visit process.</w:t>
      </w:r>
      <w:r>
        <w:rPr>
          <w:bCs/>
          <w:sz w:val="23"/>
          <w:szCs w:val="23"/>
        </w:rPr>
        <w:t xml:space="preserve"> </w:t>
      </w:r>
    </w:p>
    <w:p w:rsidR="000F3CEB" w:rsidRDefault="000F3CEB" w:rsidP="000F3CEB">
      <w:pPr>
        <w:widowControl/>
      </w:pPr>
      <w:r>
        <w:rPr>
          <w:iCs/>
        </w:rPr>
        <w:t xml:space="preserve">In addition to meeting the terms of probation, DCACS, like all charter schools, must also comply with the terms of its charter. </w:t>
      </w:r>
      <w:r>
        <w:t xml:space="preserve">I will review and report to the Board on DCACS’s success or lack of success in meeting the terms of probation. Based upon this review, I will recommend that the Board take action as appropriate with respect to the school’s charter including, but not limited to, removal of probation, continuation of conditions, or revocation. Failure of DCACS to meet the conditions placed on renewal of its charter within the timelines specified may result in summary revocation by the Board. </w:t>
      </w:r>
    </w:p>
    <w:p w:rsidR="000F3CEB" w:rsidRDefault="000F3CEB" w:rsidP="000F3CEB">
      <w:pPr>
        <w:pStyle w:val="BodyText2"/>
        <w:ind w:right="-360"/>
        <w:rPr>
          <w:sz w:val="23"/>
          <w:szCs w:val="23"/>
        </w:rPr>
      </w:pPr>
    </w:p>
    <w:p w:rsidR="000F3CEB" w:rsidRDefault="000F3CEB" w:rsidP="000F3CEB">
      <w:pPr>
        <w:pStyle w:val="BodyText2"/>
        <w:ind w:right="-360"/>
        <w:rPr>
          <w:b/>
          <w:sz w:val="23"/>
          <w:szCs w:val="23"/>
          <w:u w:val="single"/>
        </w:rPr>
      </w:pPr>
      <w:r>
        <w:rPr>
          <w:b/>
          <w:sz w:val="23"/>
          <w:szCs w:val="23"/>
          <w:u w:val="single"/>
        </w:rPr>
        <w:t>Major Amendment Request</w:t>
      </w:r>
    </w:p>
    <w:p w:rsidR="000F3CEB" w:rsidRDefault="000F3CEB" w:rsidP="000F3CEB">
      <w:pPr>
        <w:pStyle w:val="BodyText2"/>
        <w:ind w:right="-360"/>
        <w:rPr>
          <w:sz w:val="23"/>
          <w:szCs w:val="23"/>
        </w:rPr>
      </w:pPr>
    </w:p>
    <w:p w:rsidR="000F3CEB" w:rsidRDefault="000F3CEB" w:rsidP="000F3CEB">
      <w:pPr>
        <w:pStyle w:val="BodyText2"/>
        <w:ind w:right="-360"/>
        <w:rPr>
          <w:sz w:val="23"/>
          <w:szCs w:val="23"/>
        </w:rPr>
      </w:pPr>
      <w:r>
        <w:rPr>
          <w:sz w:val="23"/>
          <w:szCs w:val="23"/>
        </w:rPr>
        <w:t>As noted above, DCACS has requested an amendment to the grade span granted to the school in its original charter. At present, DCACS’s charter permits it to serve grades 4-12. Currently the school serves grades 4-8. On May 7, 2013, DCACS submitted a major amendment request to continue to serve</w:t>
      </w:r>
      <w:r w:rsidRPr="006027BA">
        <w:rPr>
          <w:sz w:val="23"/>
          <w:szCs w:val="23"/>
        </w:rPr>
        <w:t xml:space="preserve"> </w:t>
      </w:r>
      <w:r>
        <w:rPr>
          <w:sz w:val="23"/>
          <w:szCs w:val="23"/>
        </w:rPr>
        <w:t>only grades 4-8. Given the reasons articulated in the attached request and the evidence contained in the attached summary of review, I believe it is in the best interest of the school’s students for the school to continue as a grade 4-8 school and to not expand to high school. I recommend that the Board approve the amendment request.</w:t>
      </w:r>
    </w:p>
    <w:p w:rsidR="000F3CEB" w:rsidRDefault="000F3CEB" w:rsidP="000F3CEB">
      <w:pPr>
        <w:pStyle w:val="BodyText2"/>
        <w:ind w:right="-360"/>
        <w:rPr>
          <w:sz w:val="23"/>
          <w:szCs w:val="23"/>
        </w:rPr>
      </w:pPr>
    </w:p>
    <w:p w:rsidR="000F3CEB" w:rsidRDefault="000F3CEB" w:rsidP="000F3CEB">
      <w:pPr>
        <w:pStyle w:val="BodyText2"/>
        <w:ind w:right="-360"/>
        <w:jc w:val="center"/>
        <w:rPr>
          <w:sz w:val="23"/>
          <w:szCs w:val="23"/>
        </w:rPr>
      </w:pPr>
      <w:r>
        <w:rPr>
          <w:sz w:val="23"/>
          <w:szCs w:val="23"/>
        </w:rPr>
        <w:t>***************</w:t>
      </w:r>
    </w:p>
    <w:p w:rsidR="000F3CEB" w:rsidRDefault="000F3CEB" w:rsidP="000F3CEB">
      <w:pPr>
        <w:pStyle w:val="BodyText2"/>
        <w:ind w:right="-360"/>
        <w:rPr>
          <w:b/>
          <w:sz w:val="23"/>
          <w:szCs w:val="23"/>
        </w:rPr>
      </w:pPr>
    </w:p>
    <w:p w:rsidR="000F3CEB" w:rsidRDefault="000F3CEB" w:rsidP="000F3CEB">
      <w:pPr>
        <w:pStyle w:val="BodyText"/>
        <w:spacing w:after="0"/>
        <w:ind w:right="-360"/>
        <w:rPr>
          <w:b/>
          <w:sz w:val="24"/>
          <w:szCs w:val="24"/>
        </w:rPr>
      </w:pPr>
      <w:r>
        <w:rPr>
          <w:sz w:val="24"/>
          <w:szCs w:val="24"/>
        </w:rPr>
        <w:t>If you have any questions or require additional information, please contact Cliff Chuang, Associate Commissioner, at 781-338-3222; Jeff Wulfson, Deputy Commissioner, at 781-338-6500; or me.</w:t>
      </w:r>
      <w:r>
        <w:rPr>
          <w:b/>
          <w:sz w:val="24"/>
          <w:szCs w:val="24"/>
        </w:rPr>
        <w:t xml:space="preserve"> </w:t>
      </w:r>
    </w:p>
    <w:p w:rsidR="000F3CEB" w:rsidRDefault="000F3CEB" w:rsidP="000F3CEB">
      <w:pPr>
        <w:rPr>
          <w:sz w:val="23"/>
          <w:szCs w:val="23"/>
        </w:rPr>
      </w:pPr>
    </w:p>
    <w:p w:rsidR="000F3CEB" w:rsidRDefault="000F3CEB" w:rsidP="000F3CEB">
      <w:pPr>
        <w:rPr>
          <w:sz w:val="23"/>
          <w:szCs w:val="23"/>
        </w:rPr>
      </w:pPr>
      <w:r>
        <w:rPr>
          <w:sz w:val="23"/>
          <w:szCs w:val="23"/>
        </w:rPr>
        <w:t>Enclosures:</w:t>
      </w:r>
      <w:r>
        <w:rPr>
          <w:sz w:val="23"/>
          <w:szCs w:val="23"/>
        </w:rPr>
        <w:tab/>
        <w:t>Summary of Review for DCACS (with DCACS’s Response)</w:t>
      </w:r>
    </w:p>
    <w:p w:rsidR="00201172" w:rsidRDefault="000F3CEB">
      <w:r>
        <w:rPr>
          <w:sz w:val="23"/>
          <w:szCs w:val="23"/>
        </w:rPr>
        <w:tab/>
      </w:r>
      <w:r>
        <w:rPr>
          <w:sz w:val="23"/>
          <w:szCs w:val="23"/>
        </w:rPr>
        <w:tab/>
        <w:t>Motion</w:t>
      </w:r>
    </w:p>
    <w:sectPr w:rsidR="00201172" w:rsidSect="000F3CEB">
      <w:endnotePr>
        <w:numFmt w:val="decimal"/>
      </w:endnotePr>
      <w:type w:val="continuous"/>
      <w:pgSz w:w="12240" w:h="15840"/>
      <w:pgMar w:top="1440" w:right="1440" w:bottom="1440" w:left="1440" w:header="1440" w:footer="1008"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60" w:rsidRDefault="002F3160" w:rsidP="000F3CEB">
      <w:r>
        <w:separator/>
      </w:r>
    </w:p>
  </w:endnote>
  <w:endnote w:type="continuationSeparator" w:id="0">
    <w:p w:rsidR="002F3160" w:rsidRDefault="002F3160" w:rsidP="000F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011384"/>
      <w:docPartObj>
        <w:docPartGallery w:val="Page Numbers (Bottom of Page)"/>
        <w:docPartUnique/>
      </w:docPartObj>
    </w:sdtPr>
    <w:sdtEndPr/>
    <w:sdtContent>
      <w:p w:rsidR="000F3CEB" w:rsidRDefault="00902A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96037" w:rsidRDefault="00902A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60" w:rsidRDefault="002F3160" w:rsidP="000F3CEB">
      <w:r>
        <w:separator/>
      </w:r>
    </w:p>
  </w:footnote>
  <w:footnote w:type="continuationSeparator" w:id="0">
    <w:p w:rsidR="002F3160" w:rsidRDefault="002F3160" w:rsidP="000F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91E"/>
    <w:multiLevelType w:val="hybridMultilevel"/>
    <w:tmpl w:val="A7F03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74670"/>
    <w:multiLevelType w:val="hybridMultilevel"/>
    <w:tmpl w:val="39CA7C22"/>
    <w:lvl w:ilvl="0" w:tplc="A0DCB16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967DD6"/>
    <w:multiLevelType w:val="hybridMultilevel"/>
    <w:tmpl w:val="7110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13E53"/>
    <w:multiLevelType w:val="hybridMultilevel"/>
    <w:tmpl w:val="143830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CA27ED"/>
    <w:multiLevelType w:val="hybridMultilevel"/>
    <w:tmpl w:val="FE8CF4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EB"/>
    <w:rsid w:val="00057625"/>
    <w:rsid w:val="000F3CEB"/>
    <w:rsid w:val="001725E2"/>
    <w:rsid w:val="00201172"/>
    <w:rsid w:val="002A3E22"/>
    <w:rsid w:val="002B4B10"/>
    <w:rsid w:val="002C0CF9"/>
    <w:rsid w:val="002F3160"/>
    <w:rsid w:val="002F5424"/>
    <w:rsid w:val="003953C8"/>
    <w:rsid w:val="004E5697"/>
    <w:rsid w:val="005430E2"/>
    <w:rsid w:val="00571666"/>
    <w:rsid w:val="005A11EA"/>
    <w:rsid w:val="005D2A0E"/>
    <w:rsid w:val="005E3535"/>
    <w:rsid w:val="00635070"/>
    <w:rsid w:val="00761FD8"/>
    <w:rsid w:val="007732FB"/>
    <w:rsid w:val="00776535"/>
    <w:rsid w:val="008E70AA"/>
    <w:rsid w:val="00902A0D"/>
    <w:rsid w:val="00A20194"/>
    <w:rsid w:val="00A47188"/>
    <w:rsid w:val="00A7681B"/>
    <w:rsid w:val="00B15E7C"/>
    <w:rsid w:val="00B34968"/>
    <w:rsid w:val="00C974A6"/>
    <w:rsid w:val="00D1782C"/>
    <w:rsid w:val="00D73B50"/>
    <w:rsid w:val="00E02A1D"/>
    <w:rsid w:val="00E77FAD"/>
    <w:rsid w:val="00EC2890"/>
    <w:rsid w:val="00ED7E7B"/>
    <w:rsid w:val="00F25840"/>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1EA"/>
    <w:pPr>
      <w:widowControl w:val="0"/>
    </w:pPr>
    <w:rPr>
      <w:snapToGrid w:val="0"/>
      <w:sz w:val="24"/>
    </w:rPr>
  </w:style>
  <w:style w:type="paragraph" w:styleId="Heading1">
    <w:name w:val="heading 1"/>
    <w:basedOn w:val="Normal"/>
    <w:next w:val="Normal"/>
    <w:qFormat/>
    <w:rsid w:val="005A11EA"/>
    <w:pPr>
      <w:keepNext/>
      <w:tabs>
        <w:tab w:val="center" w:pos="4680"/>
      </w:tabs>
      <w:jc w:val="center"/>
      <w:outlineLvl w:val="0"/>
    </w:pPr>
    <w:rPr>
      <w:b/>
    </w:rPr>
  </w:style>
  <w:style w:type="paragraph" w:styleId="Heading2">
    <w:name w:val="heading 2"/>
    <w:basedOn w:val="Normal"/>
    <w:next w:val="Normal"/>
    <w:qFormat/>
    <w:rsid w:val="005A11EA"/>
    <w:pPr>
      <w:keepNext/>
      <w:ind w:left="720"/>
      <w:jc w:val="right"/>
      <w:outlineLvl w:val="1"/>
    </w:pPr>
    <w:rPr>
      <w:rFonts w:ascii="Arial" w:hAnsi="Arial"/>
      <w:i/>
      <w:sz w:val="18"/>
    </w:rPr>
  </w:style>
  <w:style w:type="paragraph" w:styleId="Heading3">
    <w:name w:val="heading 3"/>
    <w:basedOn w:val="Normal"/>
    <w:next w:val="Normal"/>
    <w:qFormat/>
    <w:rsid w:val="005A11EA"/>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0F3C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11EA"/>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4Char">
    <w:name w:val="Heading 4 Char"/>
    <w:basedOn w:val="DefaultParagraphFont"/>
    <w:link w:val="Heading4"/>
    <w:semiHidden/>
    <w:rsid w:val="000F3CEB"/>
    <w:rPr>
      <w:rFonts w:asciiTheme="majorHAnsi" w:eastAsiaTheme="majorEastAsia" w:hAnsiTheme="majorHAnsi" w:cstheme="majorBidi"/>
      <w:b/>
      <w:bCs/>
      <w:i/>
      <w:iCs/>
      <w:snapToGrid w:val="0"/>
      <w:color w:val="4F81BD" w:themeColor="accent1"/>
      <w:sz w:val="24"/>
    </w:rPr>
  </w:style>
  <w:style w:type="paragraph" w:styleId="BodyText2">
    <w:name w:val="Body Text 2"/>
    <w:basedOn w:val="Normal"/>
    <w:link w:val="BodyText2Char"/>
    <w:rsid w:val="000F3CEB"/>
    <w:pPr>
      <w:widowControl/>
    </w:pPr>
    <w:rPr>
      <w:snapToGrid/>
    </w:rPr>
  </w:style>
  <w:style w:type="character" w:customStyle="1" w:styleId="BodyText2Char">
    <w:name w:val="Body Text 2 Char"/>
    <w:basedOn w:val="DefaultParagraphFont"/>
    <w:link w:val="BodyText2"/>
    <w:rsid w:val="000F3CEB"/>
    <w:rPr>
      <w:sz w:val="24"/>
    </w:rPr>
  </w:style>
  <w:style w:type="paragraph" w:styleId="BodyText">
    <w:name w:val="Body Text"/>
    <w:basedOn w:val="Normal"/>
    <w:link w:val="BodyTextChar"/>
    <w:rsid w:val="000F3CEB"/>
    <w:pPr>
      <w:widowControl/>
      <w:spacing w:after="120"/>
    </w:pPr>
    <w:rPr>
      <w:snapToGrid/>
      <w:sz w:val="20"/>
    </w:rPr>
  </w:style>
  <w:style w:type="character" w:customStyle="1" w:styleId="BodyTextChar">
    <w:name w:val="Body Text Char"/>
    <w:basedOn w:val="DefaultParagraphFont"/>
    <w:link w:val="BodyText"/>
    <w:rsid w:val="000F3CEB"/>
  </w:style>
  <w:style w:type="paragraph" w:styleId="BodyTextIndent">
    <w:name w:val="Body Text Indent"/>
    <w:basedOn w:val="Normal"/>
    <w:link w:val="BodyTextIndentChar"/>
    <w:rsid w:val="000F3CEB"/>
    <w:pPr>
      <w:widowControl/>
      <w:spacing w:after="120"/>
      <w:ind w:left="360"/>
    </w:pPr>
    <w:rPr>
      <w:snapToGrid/>
      <w:sz w:val="20"/>
    </w:rPr>
  </w:style>
  <w:style w:type="character" w:customStyle="1" w:styleId="BodyTextIndentChar">
    <w:name w:val="Body Text Indent Char"/>
    <w:basedOn w:val="DefaultParagraphFont"/>
    <w:link w:val="BodyTextIndent"/>
    <w:rsid w:val="000F3CEB"/>
  </w:style>
  <w:style w:type="paragraph" w:styleId="Header">
    <w:name w:val="header"/>
    <w:basedOn w:val="Normal"/>
    <w:link w:val="HeaderChar"/>
    <w:rsid w:val="000F3CEB"/>
    <w:pPr>
      <w:tabs>
        <w:tab w:val="center" w:pos="4320"/>
        <w:tab w:val="right" w:pos="8640"/>
      </w:tabs>
    </w:pPr>
    <w:rPr>
      <w:snapToGrid/>
    </w:rPr>
  </w:style>
  <w:style w:type="character" w:customStyle="1" w:styleId="HeaderChar">
    <w:name w:val="Header Char"/>
    <w:basedOn w:val="DefaultParagraphFont"/>
    <w:link w:val="Header"/>
    <w:rsid w:val="000F3CEB"/>
    <w:rPr>
      <w:sz w:val="24"/>
    </w:rPr>
  </w:style>
  <w:style w:type="paragraph" w:styleId="Footer">
    <w:name w:val="footer"/>
    <w:basedOn w:val="Normal"/>
    <w:link w:val="FooterChar"/>
    <w:uiPriority w:val="99"/>
    <w:rsid w:val="000F3CEB"/>
    <w:pPr>
      <w:tabs>
        <w:tab w:val="center" w:pos="4320"/>
        <w:tab w:val="right" w:pos="8640"/>
      </w:tabs>
    </w:pPr>
    <w:rPr>
      <w:snapToGrid/>
    </w:rPr>
  </w:style>
  <w:style w:type="character" w:customStyle="1" w:styleId="FooterChar">
    <w:name w:val="Footer Char"/>
    <w:basedOn w:val="DefaultParagraphFont"/>
    <w:link w:val="Footer"/>
    <w:uiPriority w:val="99"/>
    <w:rsid w:val="000F3CEB"/>
    <w:rPr>
      <w:sz w:val="24"/>
    </w:rPr>
  </w:style>
  <w:style w:type="character" w:styleId="PageNumber">
    <w:name w:val="page number"/>
    <w:basedOn w:val="DefaultParagraphFont"/>
    <w:rsid w:val="000F3CEB"/>
    <w:rPr>
      <w:rFonts w:cs="Times New Roman"/>
    </w:rPr>
  </w:style>
  <w:style w:type="paragraph" w:customStyle="1" w:styleId="ColorfulList-Accent11">
    <w:name w:val="Colorful List - Accent 11"/>
    <w:basedOn w:val="Normal"/>
    <w:qFormat/>
    <w:rsid w:val="000F3CEB"/>
    <w:pPr>
      <w:ind w:left="720"/>
    </w:pPr>
    <w:rPr>
      <w:snapToGrid/>
    </w:rPr>
  </w:style>
  <w:style w:type="paragraph" w:customStyle="1" w:styleId="Finding">
    <w:name w:val="Finding"/>
    <w:basedOn w:val="Normal"/>
    <w:autoRedefine/>
    <w:rsid w:val="000F3CEB"/>
    <w:pPr>
      <w:keepNext/>
      <w:widowControl/>
    </w:pPr>
    <w:rPr>
      <w:i/>
      <w:snapToGrid/>
    </w:rPr>
  </w:style>
  <w:style w:type="character" w:styleId="Hyperlink">
    <w:name w:val="Hyperlink"/>
    <w:basedOn w:val="DefaultParagraphFont"/>
    <w:unhideWhenUsed/>
    <w:rsid w:val="000F3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1EA"/>
    <w:pPr>
      <w:widowControl w:val="0"/>
    </w:pPr>
    <w:rPr>
      <w:snapToGrid w:val="0"/>
      <w:sz w:val="24"/>
    </w:rPr>
  </w:style>
  <w:style w:type="paragraph" w:styleId="Heading1">
    <w:name w:val="heading 1"/>
    <w:basedOn w:val="Normal"/>
    <w:next w:val="Normal"/>
    <w:qFormat/>
    <w:rsid w:val="005A11EA"/>
    <w:pPr>
      <w:keepNext/>
      <w:tabs>
        <w:tab w:val="center" w:pos="4680"/>
      </w:tabs>
      <w:jc w:val="center"/>
      <w:outlineLvl w:val="0"/>
    </w:pPr>
    <w:rPr>
      <w:b/>
    </w:rPr>
  </w:style>
  <w:style w:type="paragraph" w:styleId="Heading2">
    <w:name w:val="heading 2"/>
    <w:basedOn w:val="Normal"/>
    <w:next w:val="Normal"/>
    <w:qFormat/>
    <w:rsid w:val="005A11EA"/>
    <w:pPr>
      <w:keepNext/>
      <w:ind w:left="720"/>
      <w:jc w:val="right"/>
      <w:outlineLvl w:val="1"/>
    </w:pPr>
    <w:rPr>
      <w:rFonts w:ascii="Arial" w:hAnsi="Arial"/>
      <w:i/>
      <w:sz w:val="18"/>
    </w:rPr>
  </w:style>
  <w:style w:type="paragraph" w:styleId="Heading3">
    <w:name w:val="heading 3"/>
    <w:basedOn w:val="Normal"/>
    <w:next w:val="Normal"/>
    <w:qFormat/>
    <w:rsid w:val="005A11EA"/>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0F3C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11EA"/>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4Char">
    <w:name w:val="Heading 4 Char"/>
    <w:basedOn w:val="DefaultParagraphFont"/>
    <w:link w:val="Heading4"/>
    <w:semiHidden/>
    <w:rsid w:val="000F3CEB"/>
    <w:rPr>
      <w:rFonts w:asciiTheme="majorHAnsi" w:eastAsiaTheme="majorEastAsia" w:hAnsiTheme="majorHAnsi" w:cstheme="majorBidi"/>
      <w:b/>
      <w:bCs/>
      <w:i/>
      <w:iCs/>
      <w:snapToGrid w:val="0"/>
      <w:color w:val="4F81BD" w:themeColor="accent1"/>
      <w:sz w:val="24"/>
    </w:rPr>
  </w:style>
  <w:style w:type="paragraph" w:styleId="BodyText2">
    <w:name w:val="Body Text 2"/>
    <w:basedOn w:val="Normal"/>
    <w:link w:val="BodyText2Char"/>
    <w:rsid w:val="000F3CEB"/>
    <w:pPr>
      <w:widowControl/>
    </w:pPr>
    <w:rPr>
      <w:snapToGrid/>
    </w:rPr>
  </w:style>
  <w:style w:type="character" w:customStyle="1" w:styleId="BodyText2Char">
    <w:name w:val="Body Text 2 Char"/>
    <w:basedOn w:val="DefaultParagraphFont"/>
    <w:link w:val="BodyText2"/>
    <w:rsid w:val="000F3CEB"/>
    <w:rPr>
      <w:sz w:val="24"/>
    </w:rPr>
  </w:style>
  <w:style w:type="paragraph" w:styleId="BodyText">
    <w:name w:val="Body Text"/>
    <w:basedOn w:val="Normal"/>
    <w:link w:val="BodyTextChar"/>
    <w:rsid w:val="000F3CEB"/>
    <w:pPr>
      <w:widowControl/>
      <w:spacing w:after="120"/>
    </w:pPr>
    <w:rPr>
      <w:snapToGrid/>
      <w:sz w:val="20"/>
    </w:rPr>
  </w:style>
  <w:style w:type="character" w:customStyle="1" w:styleId="BodyTextChar">
    <w:name w:val="Body Text Char"/>
    <w:basedOn w:val="DefaultParagraphFont"/>
    <w:link w:val="BodyText"/>
    <w:rsid w:val="000F3CEB"/>
  </w:style>
  <w:style w:type="paragraph" w:styleId="BodyTextIndent">
    <w:name w:val="Body Text Indent"/>
    <w:basedOn w:val="Normal"/>
    <w:link w:val="BodyTextIndentChar"/>
    <w:rsid w:val="000F3CEB"/>
    <w:pPr>
      <w:widowControl/>
      <w:spacing w:after="120"/>
      <w:ind w:left="360"/>
    </w:pPr>
    <w:rPr>
      <w:snapToGrid/>
      <w:sz w:val="20"/>
    </w:rPr>
  </w:style>
  <w:style w:type="character" w:customStyle="1" w:styleId="BodyTextIndentChar">
    <w:name w:val="Body Text Indent Char"/>
    <w:basedOn w:val="DefaultParagraphFont"/>
    <w:link w:val="BodyTextIndent"/>
    <w:rsid w:val="000F3CEB"/>
  </w:style>
  <w:style w:type="paragraph" w:styleId="Header">
    <w:name w:val="header"/>
    <w:basedOn w:val="Normal"/>
    <w:link w:val="HeaderChar"/>
    <w:rsid w:val="000F3CEB"/>
    <w:pPr>
      <w:tabs>
        <w:tab w:val="center" w:pos="4320"/>
        <w:tab w:val="right" w:pos="8640"/>
      </w:tabs>
    </w:pPr>
    <w:rPr>
      <w:snapToGrid/>
    </w:rPr>
  </w:style>
  <w:style w:type="character" w:customStyle="1" w:styleId="HeaderChar">
    <w:name w:val="Header Char"/>
    <w:basedOn w:val="DefaultParagraphFont"/>
    <w:link w:val="Header"/>
    <w:rsid w:val="000F3CEB"/>
    <w:rPr>
      <w:sz w:val="24"/>
    </w:rPr>
  </w:style>
  <w:style w:type="paragraph" w:styleId="Footer">
    <w:name w:val="footer"/>
    <w:basedOn w:val="Normal"/>
    <w:link w:val="FooterChar"/>
    <w:uiPriority w:val="99"/>
    <w:rsid w:val="000F3CEB"/>
    <w:pPr>
      <w:tabs>
        <w:tab w:val="center" w:pos="4320"/>
        <w:tab w:val="right" w:pos="8640"/>
      </w:tabs>
    </w:pPr>
    <w:rPr>
      <w:snapToGrid/>
    </w:rPr>
  </w:style>
  <w:style w:type="character" w:customStyle="1" w:styleId="FooterChar">
    <w:name w:val="Footer Char"/>
    <w:basedOn w:val="DefaultParagraphFont"/>
    <w:link w:val="Footer"/>
    <w:uiPriority w:val="99"/>
    <w:rsid w:val="000F3CEB"/>
    <w:rPr>
      <w:sz w:val="24"/>
    </w:rPr>
  </w:style>
  <w:style w:type="character" w:styleId="PageNumber">
    <w:name w:val="page number"/>
    <w:basedOn w:val="DefaultParagraphFont"/>
    <w:rsid w:val="000F3CEB"/>
    <w:rPr>
      <w:rFonts w:cs="Times New Roman"/>
    </w:rPr>
  </w:style>
  <w:style w:type="paragraph" w:customStyle="1" w:styleId="ColorfulList-Accent11">
    <w:name w:val="Colorful List - Accent 11"/>
    <w:basedOn w:val="Normal"/>
    <w:qFormat/>
    <w:rsid w:val="000F3CEB"/>
    <w:pPr>
      <w:ind w:left="720"/>
    </w:pPr>
    <w:rPr>
      <w:snapToGrid/>
    </w:rPr>
  </w:style>
  <w:style w:type="paragraph" w:customStyle="1" w:styleId="Finding">
    <w:name w:val="Finding"/>
    <w:basedOn w:val="Normal"/>
    <w:autoRedefine/>
    <w:rsid w:val="000F3CEB"/>
    <w:pPr>
      <w:keepNext/>
      <w:widowControl/>
    </w:pPr>
    <w:rPr>
      <w:i/>
      <w:snapToGrid/>
    </w:rPr>
  </w:style>
  <w:style w:type="character" w:styleId="Hyperlink">
    <w:name w:val="Hyperlink"/>
    <w:basedOn w:val="DefaultParagraphFont"/>
    <w:unhideWhenUsed/>
    <w:rsid w:val="000F3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e.mass.edu/news/news.aspx?id=7802" TargetMode="External"/><Relationship Id="rId5" Type="http://schemas.openxmlformats.org/officeDocument/2006/relationships/webSettings" Target="webSettings.xml"/><Relationship Id="rId15" Type="http://schemas.openxmlformats.org/officeDocument/2006/relationships/hyperlink" Target="mailto:charterschools@doe.mass.edu" TargetMode="External"/><Relationship Id="rId10" Type="http://schemas.openxmlformats.org/officeDocument/2006/relationships/hyperlink" Target="http://www.doe.mass.edu/charter/acct.html?section=criter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Commissio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ESE_Memo_Commissioner.dotx</Template>
  <TotalTime>0</TotalTime>
  <Pages>7</Pages>
  <Words>2101</Words>
  <Characters>11979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BESE Memorandu,, Charter Renewal with Probation and Charter Amendment Request- Dorchester Collegiate Academy Charter School, February 2014</vt:lpstr>
    </vt:vector>
  </TitlesOfParts>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Renewal with Probation and Charter Amendment Request- Dorchester Collegiate Academy Charter School, February 2014</dc:title>
  <dc:creator/>
  <cp:lastModifiedBy/>
  <cp:revision>1</cp:revision>
  <cp:lastPrinted>2008-03-05T18:17:00Z</cp:lastPrinted>
  <dcterms:created xsi:type="dcterms:W3CDTF">2014-02-19T20:27:00Z</dcterms:created>
  <dcterms:modified xsi:type="dcterms:W3CDTF">2014-02-19T20:27:00Z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19 2014</vt:lpwstr>
  </property>
</Properties>
</file>