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06CF1" w14:textId="77777777" w:rsidR="00FD23FE" w:rsidRDefault="0085082D">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61106DAB" wp14:editId="61106DAC">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FD23FE">
        <w:rPr>
          <w:rFonts w:ascii="Arial" w:hAnsi="Arial"/>
          <w:b/>
          <w:i/>
          <w:sz w:val="40"/>
        </w:rPr>
        <w:t>Massachusetts Department of</w:t>
      </w:r>
    </w:p>
    <w:p w14:paraId="61106CF2" w14:textId="77777777" w:rsidR="00FD23FE" w:rsidRDefault="00FD23FE">
      <w:pPr>
        <w:outlineLvl w:val="0"/>
        <w:rPr>
          <w:rFonts w:ascii="Arial" w:hAnsi="Arial"/>
          <w:b/>
          <w:i/>
          <w:sz w:val="50"/>
        </w:rPr>
      </w:pPr>
      <w:r>
        <w:rPr>
          <w:rFonts w:ascii="Arial" w:hAnsi="Arial"/>
          <w:b/>
          <w:i/>
          <w:sz w:val="40"/>
        </w:rPr>
        <w:t>Elementary and Secondary Education</w:t>
      </w:r>
    </w:p>
    <w:p w14:paraId="61106CF3" w14:textId="383235D3" w:rsidR="00FD23FE" w:rsidRDefault="005F1EB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1106DAD" wp14:editId="31A5942C">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303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" o:allowincell="f" strokeweight="1pt"/>
            </w:pict>
          </mc:Fallback>
        </mc:AlternateContent>
      </w:r>
    </w:p>
    <w:p w14:paraId="61106CF4" w14:textId="77777777" w:rsidR="00FD23FE" w:rsidRDefault="00FD23FE">
      <w:pPr>
        <w:pStyle w:val="Heading3"/>
        <w:tabs>
          <w:tab w:val="right" w:pos="9360"/>
        </w:tabs>
        <w:rPr>
          <w:sz w:val="16"/>
          <w:szCs w:val="16"/>
        </w:rPr>
      </w:pPr>
      <w:r>
        <w:rPr>
          <w:sz w:val="16"/>
          <w:szCs w:val="16"/>
        </w:rPr>
        <w:t xml:space="preserve">75 Pleasant Street, Malden, Massachusetts 02148-4906 </w:t>
      </w:r>
      <w:r>
        <w:rPr>
          <w:sz w:val="16"/>
          <w:szCs w:val="16"/>
        </w:rPr>
        <w:tab/>
        <w:t>Telephone: (781) 338-3000</w:t>
      </w:r>
    </w:p>
    <w:p w14:paraId="61106CF5" w14:textId="77777777" w:rsidR="00FD23FE" w:rsidRDefault="00FD23FE">
      <w:pPr>
        <w:pStyle w:val="Heading2"/>
        <w:tabs>
          <w:tab w:val="right" w:pos="9000"/>
        </w:tabs>
        <w:jc w:val="left"/>
        <w:rPr>
          <w:sz w:val="16"/>
          <w:szCs w:val="16"/>
        </w:rPr>
      </w:pPr>
      <w:r>
        <w:rPr>
          <w:sz w:val="16"/>
          <w:szCs w:val="16"/>
        </w:rPr>
        <w:t xml:space="preserve">                                                                                                                 TTY: N.E.T. Relay 1-800-439-2370</w:t>
      </w:r>
    </w:p>
    <w:p w14:paraId="61106CF6" w14:textId="77777777" w:rsidR="00FD23FE" w:rsidRDefault="00FD23FE">
      <w:pPr>
        <w:ind w:left="720"/>
        <w:rPr>
          <w:rFonts w:ascii="Arial" w:hAnsi="Arial"/>
          <w:i/>
          <w:sz w:val="16"/>
          <w:szCs w:val="16"/>
        </w:rPr>
      </w:pPr>
    </w:p>
    <w:p w14:paraId="61106CF7"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61106CF8"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61106CFC" w14:textId="77777777">
        <w:tc>
          <w:tcPr>
            <w:tcW w:w="2988" w:type="dxa"/>
          </w:tcPr>
          <w:p w14:paraId="61106CF9" w14:textId="77777777" w:rsidR="00FD23FE" w:rsidRDefault="00FD23FE">
            <w:pPr>
              <w:jc w:val="center"/>
              <w:rPr>
                <w:rFonts w:ascii="Arial" w:hAnsi="Arial" w:cs="Arial"/>
                <w:sz w:val="16"/>
                <w:szCs w:val="16"/>
              </w:rPr>
            </w:pPr>
            <w:r>
              <w:rPr>
                <w:rFonts w:ascii="Arial" w:hAnsi="Arial" w:cs="Arial"/>
                <w:sz w:val="16"/>
                <w:szCs w:val="16"/>
              </w:rPr>
              <w:t>Mitchell D. Chester, Ed.D.</w:t>
            </w:r>
          </w:p>
          <w:p w14:paraId="61106CFA"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61106CFB" w14:textId="77777777" w:rsidR="00FD23FE" w:rsidRDefault="00FD23FE">
            <w:pPr>
              <w:jc w:val="center"/>
              <w:rPr>
                <w:rFonts w:ascii="Arial" w:hAnsi="Arial"/>
                <w:i/>
                <w:sz w:val="16"/>
                <w:szCs w:val="16"/>
              </w:rPr>
            </w:pPr>
          </w:p>
        </w:tc>
      </w:tr>
    </w:tbl>
    <w:p w14:paraId="61106CFD" w14:textId="77777777" w:rsidR="00FD23FE" w:rsidRDefault="00FD23FE">
      <w:pPr>
        <w:rPr>
          <w:rFonts w:ascii="Arial" w:hAnsi="Arial"/>
          <w:i/>
          <w:sz w:val="18"/>
        </w:rPr>
      </w:pPr>
    </w:p>
    <w:p w14:paraId="61106CFE"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61106CFF" w14:textId="77777777" w:rsidR="00FD23FE" w:rsidRDefault="00FD23FE">
      <w:pPr>
        <w:pStyle w:val="Heading1"/>
        <w:tabs>
          <w:tab w:val="clear" w:pos="4680"/>
        </w:tabs>
      </w:pPr>
      <w:r>
        <w:lastRenderedPageBreak/>
        <w:t>MEMORANDUM</w:t>
      </w:r>
    </w:p>
    <w:p w14:paraId="61106D00"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14:paraId="61106D03" w14:textId="77777777">
        <w:tc>
          <w:tcPr>
            <w:tcW w:w="1188" w:type="dxa"/>
          </w:tcPr>
          <w:p w14:paraId="61106D01" w14:textId="77777777" w:rsidR="00FD23FE" w:rsidRDefault="00FD23FE">
            <w:pPr>
              <w:rPr>
                <w:b/>
              </w:rPr>
            </w:pPr>
            <w:r>
              <w:rPr>
                <w:b/>
              </w:rPr>
              <w:t>To:</w:t>
            </w:r>
          </w:p>
        </w:tc>
        <w:tc>
          <w:tcPr>
            <w:tcW w:w="8388" w:type="dxa"/>
          </w:tcPr>
          <w:p w14:paraId="61106D02"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61106D06" w14:textId="77777777">
        <w:tc>
          <w:tcPr>
            <w:tcW w:w="1188" w:type="dxa"/>
          </w:tcPr>
          <w:p w14:paraId="61106D04" w14:textId="77777777" w:rsidR="00FD23FE" w:rsidRDefault="00FD23FE">
            <w:pPr>
              <w:rPr>
                <w:b/>
              </w:rPr>
            </w:pPr>
            <w:r>
              <w:rPr>
                <w:b/>
              </w:rPr>
              <w:t>From:</w:t>
            </w:r>
            <w:r>
              <w:tab/>
            </w:r>
          </w:p>
        </w:tc>
        <w:tc>
          <w:tcPr>
            <w:tcW w:w="8388" w:type="dxa"/>
          </w:tcPr>
          <w:p w14:paraId="61106D05" w14:textId="77777777"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61106D09" w14:textId="77777777">
        <w:tc>
          <w:tcPr>
            <w:tcW w:w="1188" w:type="dxa"/>
          </w:tcPr>
          <w:p w14:paraId="61106D07" w14:textId="77777777" w:rsidR="00FD23FE" w:rsidRDefault="00FD23FE">
            <w:pPr>
              <w:rPr>
                <w:b/>
              </w:rPr>
            </w:pPr>
            <w:r>
              <w:rPr>
                <w:b/>
              </w:rPr>
              <w:t>Date:</w:t>
            </w:r>
            <w:r>
              <w:tab/>
            </w:r>
          </w:p>
        </w:tc>
        <w:tc>
          <w:tcPr>
            <w:tcW w:w="8388" w:type="dxa"/>
          </w:tcPr>
          <w:p w14:paraId="61106D08" w14:textId="77777777" w:rsidR="00FD23FE" w:rsidRDefault="00E11F04">
            <w:pPr>
              <w:pStyle w:val="Footer"/>
              <w:widowControl w:val="0"/>
              <w:tabs>
                <w:tab w:val="clear" w:pos="4320"/>
                <w:tab w:val="clear" w:pos="8640"/>
              </w:tabs>
              <w:rPr>
                <w:bCs/>
                <w:snapToGrid w:val="0"/>
                <w:szCs w:val="20"/>
              </w:rPr>
            </w:pPr>
            <w:r>
              <w:rPr>
                <w:bCs/>
                <w:snapToGrid w:val="0"/>
                <w:szCs w:val="20"/>
              </w:rPr>
              <w:t>June 13, 2014</w:t>
            </w:r>
          </w:p>
        </w:tc>
      </w:tr>
      <w:tr w:rsidR="00FD23FE" w14:paraId="61106D0C" w14:textId="77777777" w:rsidTr="00B06468">
        <w:trPr>
          <w:trHeight w:val="414"/>
        </w:trPr>
        <w:tc>
          <w:tcPr>
            <w:tcW w:w="1188" w:type="dxa"/>
          </w:tcPr>
          <w:p w14:paraId="61106D0A" w14:textId="77777777" w:rsidR="00FD23FE" w:rsidRDefault="00FD23FE">
            <w:pPr>
              <w:rPr>
                <w:b/>
              </w:rPr>
            </w:pPr>
            <w:r>
              <w:rPr>
                <w:b/>
              </w:rPr>
              <w:t>Subject:</w:t>
            </w:r>
          </w:p>
        </w:tc>
        <w:tc>
          <w:tcPr>
            <w:tcW w:w="8388" w:type="dxa"/>
          </w:tcPr>
          <w:p w14:paraId="61106D0B" w14:textId="77777777" w:rsidR="004E02B6" w:rsidRPr="00DD5420" w:rsidRDefault="00463CF6" w:rsidP="00EC3811">
            <w:pPr>
              <w:rPr>
                <w:bCs/>
                <w:i/>
              </w:rPr>
            </w:pPr>
            <w:bookmarkStart w:id="1" w:name="OLE_LINK1"/>
            <w:bookmarkStart w:id="2" w:name="OLE_LINK2"/>
            <w:r>
              <w:rPr>
                <w:szCs w:val="24"/>
              </w:rPr>
              <w:t>Competency Determination Decision for the Class of 2019</w:t>
            </w:r>
            <w:bookmarkEnd w:id="1"/>
            <w:bookmarkEnd w:id="2"/>
          </w:p>
        </w:tc>
      </w:tr>
    </w:tbl>
    <w:p w14:paraId="61106D0D" w14:textId="77777777" w:rsidR="00FD23FE" w:rsidRDefault="00FD23FE">
      <w:pPr>
        <w:pBdr>
          <w:bottom w:val="single" w:sz="4" w:space="1" w:color="auto"/>
        </w:pBdr>
      </w:pPr>
      <w:bookmarkStart w:id="3" w:name="TO"/>
      <w:bookmarkStart w:id="4" w:name="FROM"/>
      <w:bookmarkStart w:id="5" w:name="DATE"/>
      <w:bookmarkStart w:id="6" w:name="RE"/>
      <w:bookmarkEnd w:id="3"/>
      <w:bookmarkEnd w:id="4"/>
      <w:bookmarkEnd w:id="5"/>
      <w:bookmarkEnd w:id="6"/>
    </w:p>
    <w:p w14:paraId="61106D0E"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61106D0F" w14:textId="77777777" w:rsidR="00A51026" w:rsidRPr="00B87D79" w:rsidRDefault="00463CF6" w:rsidP="00B87D79">
      <w:pPr>
        <w:pStyle w:val="NormalWeb"/>
        <w:contextualSpacing/>
      </w:pPr>
      <w:r w:rsidRPr="00A51026">
        <w:lastRenderedPageBreak/>
        <w:t>At the June 24, 2014</w:t>
      </w:r>
      <w:r w:rsidR="00B06468" w:rsidRPr="00A51026">
        <w:t xml:space="preserve">, meeting of </w:t>
      </w:r>
      <w:r w:rsidR="00B06468" w:rsidRPr="00E30B67">
        <w:t xml:space="preserve">the Board of Elementary and Secondary Education, </w:t>
      </w:r>
      <w:r w:rsidR="00A51026" w:rsidRPr="00E30B67">
        <w:t xml:space="preserve">I </w:t>
      </w:r>
      <w:r w:rsidR="000A5B7E" w:rsidRPr="00E30B67">
        <w:t xml:space="preserve">am </w:t>
      </w:r>
      <w:r w:rsidRPr="00E30B67">
        <w:t>recommend</w:t>
      </w:r>
      <w:r w:rsidR="000A5B7E" w:rsidRPr="00E30B67">
        <w:t xml:space="preserve">ing that the Board </w:t>
      </w:r>
      <w:r w:rsidRPr="00E30B67">
        <w:t>vote</w:t>
      </w:r>
      <w:r w:rsidR="00A51026" w:rsidRPr="00E30B67">
        <w:t xml:space="preserve"> to </w:t>
      </w:r>
      <w:r w:rsidR="00E30B67" w:rsidRPr="00E30B67">
        <w:t xml:space="preserve">extend </w:t>
      </w:r>
      <w:r w:rsidR="00A51026" w:rsidRPr="00E30B67">
        <w:t xml:space="preserve">the use of MCAS tests for students to earn the Competency Determination </w:t>
      </w:r>
      <w:r w:rsidR="00A00EE1" w:rsidRPr="00E30B67">
        <w:t xml:space="preserve">(CD) </w:t>
      </w:r>
      <w:r w:rsidR="00A51026" w:rsidRPr="00E30B67">
        <w:t>for high school graduation through the graduating class of 2019</w:t>
      </w:r>
      <w:r w:rsidR="00A51026" w:rsidRPr="000C427B">
        <w:t>.</w:t>
      </w:r>
      <w:r w:rsidR="00E30B67" w:rsidRPr="000C427B">
        <w:t xml:space="preserve">  At the November 2013 meeting, the Board voted to</w:t>
      </w:r>
      <w:r w:rsidR="00E458D9" w:rsidRPr="00E458D9">
        <w:rPr>
          <w:bCs/>
        </w:rPr>
        <w:t xml:space="preserve"> </w:t>
      </w:r>
      <w:r w:rsidR="00E30B67">
        <w:rPr>
          <w:bCs/>
        </w:rPr>
        <w:t>“</w:t>
      </w:r>
      <w:r w:rsidR="00E458D9" w:rsidRPr="00E458D9">
        <w:rPr>
          <w:bCs/>
        </w:rPr>
        <w:t>maintain continuity in the use of MCAS tests for students to earn the Competency Determination for high school graduation, at least through the graduating class of 2018</w:t>
      </w:r>
      <w:r w:rsidR="00E30B67">
        <w:rPr>
          <w:bCs/>
        </w:rPr>
        <w:t xml:space="preserve">.” </w:t>
      </w:r>
      <w:r w:rsidR="00E30B67" w:rsidRPr="000C427B">
        <w:rPr>
          <w:bCs/>
        </w:rPr>
        <w:t xml:space="preserve"> </w:t>
      </w:r>
      <w:r w:rsidR="000C427B">
        <w:rPr>
          <w:bCs/>
        </w:rPr>
        <w:t>For the reason articulated in this memorandum, I believe that transitioning the Class of 2019 to a new assessment for the CD is premature</w:t>
      </w:r>
      <w:r w:rsidR="003C09FF">
        <w:rPr>
          <w:bCs/>
        </w:rPr>
        <w:t>, as well</w:t>
      </w:r>
      <w:r w:rsidR="000C427B">
        <w:rPr>
          <w:bCs/>
        </w:rPr>
        <w:t>.</w:t>
      </w:r>
    </w:p>
    <w:p w14:paraId="61106D10" w14:textId="77777777" w:rsidR="001F76FC" w:rsidRPr="00A00EE1" w:rsidRDefault="001F76FC" w:rsidP="00A51026">
      <w:pPr>
        <w:contextualSpacing/>
        <w:rPr>
          <w:b/>
          <w:szCs w:val="24"/>
        </w:rPr>
      </w:pPr>
      <w:r>
        <w:rPr>
          <w:b/>
          <w:szCs w:val="24"/>
        </w:rPr>
        <w:t>Background</w:t>
      </w:r>
    </w:p>
    <w:p w14:paraId="61106D11" w14:textId="77777777" w:rsidR="00910DC8" w:rsidRDefault="00A51026" w:rsidP="00910DC8">
      <w:pPr>
        <w:contextualSpacing/>
      </w:pPr>
      <w:r w:rsidRPr="001E558C">
        <w:rPr>
          <w:szCs w:val="24"/>
        </w:rPr>
        <w:t xml:space="preserve">At the </w:t>
      </w:r>
      <w:r w:rsidR="001F76FC">
        <w:rPr>
          <w:szCs w:val="24"/>
        </w:rPr>
        <w:t>November 2013 Board meeting, the Board of Elementary and Secondary Education, in accordance with Mass. General Laws chapter 69, s</w:t>
      </w:r>
      <w:r w:rsidR="00910DC8">
        <w:rPr>
          <w:szCs w:val="24"/>
        </w:rPr>
        <w:t>ections 1B and 1I, adopted</w:t>
      </w:r>
      <w:r w:rsidR="001F76FC">
        <w:rPr>
          <w:szCs w:val="24"/>
        </w:rPr>
        <w:t xml:space="preserve"> the two-year </w:t>
      </w:r>
      <w:r w:rsidR="001F76FC">
        <w:t xml:space="preserve">MCAS-to-PARCC transition plan, </w:t>
      </w:r>
      <w:r w:rsidR="001F76FC">
        <w:rPr>
          <w:szCs w:val="24"/>
        </w:rPr>
        <w:t xml:space="preserve">as presented </w:t>
      </w:r>
      <w:r w:rsidR="00910DC8">
        <w:rPr>
          <w:szCs w:val="24"/>
        </w:rPr>
        <w:t>by the Commissioner, and directed</w:t>
      </w:r>
      <w:r w:rsidR="001F76FC">
        <w:rPr>
          <w:szCs w:val="24"/>
        </w:rPr>
        <w:t xml:space="preserve"> the Commissioner to implement the plan. </w:t>
      </w:r>
      <w:r w:rsidR="00910DC8">
        <w:rPr>
          <w:szCs w:val="24"/>
        </w:rPr>
        <w:t xml:space="preserve">The transition plan </w:t>
      </w:r>
      <w:r w:rsidR="000A5B7E">
        <w:rPr>
          <w:szCs w:val="24"/>
        </w:rPr>
        <w:t xml:space="preserve">is </w:t>
      </w:r>
      <w:r w:rsidR="00910DC8">
        <w:rPr>
          <w:szCs w:val="24"/>
        </w:rPr>
        <w:t>designed to:</w:t>
      </w:r>
    </w:p>
    <w:p w14:paraId="61106D12" w14:textId="77777777" w:rsidR="00910DC8" w:rsidRDefault="00910DC8" w:rsidP="00910DC8">
      <w:pPr>
        <w:contextualSpacing/>
      </w:pPr>
    </w:p>
    <w:p w14:paraId="61106D13" w14:textId="77777777" w:rsidR="00DE43B9" w:rsidRDefault="001F76FC" w:rsidP="00DE43B9">
      <w:pPr>
        <w:pStyle w:val="ListParagraph"/>
        <w:numPr>
          <w:ilvl w:val="0"/>
          <w:numId w:val="21"/>
        </w:numPr>
        <w:spacing w:line="240" w:lineRule="auto"/>
        <w:rPr>
          <w:rFonts w:ascii="Times New Roman" w:hAnsi="Times New Roman" w:cs="Times New Roman"/>
          <w:sz w:val="24"/>
          <w:szCs w:val="24"/>
        </w:rPr>
      </w:pPr>
      <w:r w:rsidRPr="00910DC8">
        <w:rPr>
          <w:rFonts w:ascii="Times New Roman" w:hAnsi="Times New Roman" w:cs="Times New Roman"/>
          <w:sz w:val="24"/>
          <w:szCs w:val="24"/>
        </w:rPr>
        <w:t>provide for a robust comparison of the MCAS and PARCC student assessment programs, so the Board can decide in the fall of 2015 whether to sunset the MCAS English language arts and math</w:t>
      </w:r>
      <w:r w:rsidR="006560E6">
        <w:rPr>
          <w:rFonts w:ascii="Times New Roman" w:hAnsi="Times New Roman" w:cs="Times New Roman"/>
          <w:sz w:val="24"/>
          <w:szCs w:val="24"/>
        </w:rPr>
        <w:t>ematics</w:t>
      </w:r>
      <w:r w:rsidRPr="00910DC8">
        <w:rPr>
          <w:rFonts w:ascii="Times New Roman" w:hAnsi="Times New Roman" w:cs="Times New Roman"/>
          <w:sz w:val="24"/>
          <w:szCs w:val="24"/>
        </w:rPr>
        <w:t xml:space="preserve"> assessments for grades 3-8 and employ PARCC as the state testing program for these subjects beginning in the 2015/2016 school year;</w:t>
      </w:r>
    </w:p>
    <w:p w14:paraId="61106D14" w14:textId="77777777" w:rsidR="00DE43B9" w:rsidRDefault="001F76FC" w:rsidP="00DE43B9">
      <w:pPr>
        <w:pStyle w:val="ListParagraph"/>
        <w:numPr>
          <w:ilvl w:val="0"/>
          <w:numId w:val="21"/>
        </w:numPr>
        <w:spacing w:line="240" w:lineRule="auto"/>
        <w:rPr>
          <w:rFonts w:ascii="Times New Roman" w:hAnsi="Times New Roman" w:cs="Times New Roman"/>
          <w:sz w:val="24"/>
          <w:szCs w:val="24"/>
        </w:rPr>
      </w:pPr>
      <w:r w:rsidRPr="00910DC8">
        <w:rPr>
          <w:rFonts w:ascii="Times New Roman" w:hAnsi="Times New Roman" w:cs="Times New Roman"/>
          <w:sz w:val="24"/>
          <w:szCs w:val="24"/>
        </w:rPr>
        <w:t xml:space="preserve">give teachers and schools additional time to continue implementing the Massachusetts curriculum frameworks in English language arts and math adopted by the Board in December 2010 and to become familiar with new online test administration procedures before full-scale implementation of PARCC; </w:t>
      </w:r>
    </w:p>
    <w:p w14:paraId="61106D15" w14:textId="77777777" w:rsidR="00DE43B9" w:rsidRDefault="001F76FC" w:rsidP="00DE43B9">
      <w:pPr>
        <w:pStyle w:val="ListParagraph"/>
        <w:numPr>
          <w:ilvl w:val="0"/>
          <w:numId w:val="21"/>
        </w:numPr>
        <w:spacing w:line="240" w:lineRule="auto"/>
        <w:rPr>
          <w:rFonts w:ascii="Times New Roman" w:hAnsi="Times New Roman" w:cs="Times New Roman"/>
          <w:sz w:val="24"/>
          <w:szCs w:val="24"/>
        </w:rPr>
      </w:pPr>
      <w:r w:rsidRPr="00910DC8">
        <w:rPr>
          <w:rFonts w:ascii="Times New Roman" w:hAnsi="Times New Roman" w:cs="Times New Roman"/>
          <w:sz w:val="24"/>
          <w:szCs w:val="24"/>
        </w:rPr>
        <w:t xml:space="preserve">permit a smooth transition in using assessment results for accountability while maintaining trend lines that link back to pre-PARCC performance; </w:t>
      </w:r>
    </w:p>
    <w:p w14:paraId="61106D16" w14:textId="77777777" w:rsidR="00DE43B9" w:rsidRDefault="001F76FC" w:rsidP="00DE43B9">
      <w:pPr>
        <w:pStyle w:val="ListParagraph"/>
        <w:numPr>
          <w:ilvl w:val="0"/>
          <w:numId w:val="21"/>
        </w:numPr>
        <w:spacing w:line="240" w:lineRule="auto"/>
        <w:rPr>
          <w:rFonts w:ascii="Times New Roman" w:hAnsi="Times New Roman" w:cs="Times New Roman"/>
          <w:sz w:val="24"/>
          <w:szCs w:val="24"/>
        </w:rPr>
      </w:pPr>
      <w:r w:rsidRPr="00910DC8">
        <w:rPr>
          <w:rFonts w:ascii="Times New Roman" w:hAnsi="Times New Roman" w:cs="Times New Roman"/>
          <w:sz w:val="24"/>
          <w:szCs w:val="24"/>
        </w:rPr>
        <w:t xml:space="preserve">reserve for a future date the Board’s consideration of options for English language arts and math assessments at the high school level (grades 9-12); and </w:t>
      </w:r>
    </w:p>
    <w:p w14:paraId="61106D17" w14:textId="77777777" w:rsidR="00DE43B9" w:rsidRDefault="001F76FC" w:rsidP="00DE43B9">
      <w:pPr>
        <w:pStyle w:val="ListParagraph"/>
        <w:numPr>
          <w:ilvl w:val="0"/>
          <w:numId w:val="21"/>
        </w:numPr>
        <w:spacing w:line="240" w:lineRule="auto"/>
        <w:rPr>
          <w:rFonts w:ascii="Times New Roman" w:hAnsi="Times New Roman" w:cs="Times New Roman"/>
          <w:sz w:val="24"/>
          <w:szCs w:val="24"/>
        </w:rPr>
      </w:pPr>
      <w:r w:rsidRPr="00910DC8">
        <w:rPr>
          <w:rFonts w:ascii="Times New Roman" w:hAnsi="Times New Roman" w:cs="Times New Roman"/>
          <w:sz w:val="24"/>
          <w:szCs w:val="24"/>
        </w:rPr>
        <w:t xml:space="preserve">maintain continuity in the use of MCAS tests for students to earn the Competency Determination for high school graduation, at least through the graduating class of 2018 (this year’s eighth graders). </w:t>
      </w:r>
    </w:p>
    <w:p w14:paraId="61106D18" w14:textId="77777777" w:rsidR="00B87D79" w:rsidRDefault="00B87D79" w:rsidP="00B87D79">
      <w:pPr>
        <w:pStyle w:val="ListParagraph"/>
        <w:spacing w:line="240" w:lineRule="auto"/>
        <w:ind w:left="360"/>
        <w:rPr>
          <w:rFonts w:ascii="Times New Roman" w:hAnsi="Times New Roman" w:cs="Times New Roman"/>
          <w:sz w:val="24"/>
          <w:szCs w:val="24"/>
        </w:rPr>
      </w:pPr>
    </w:p>
    <w:p w14:paraId="61106D19" w14:textId="77777777" w:rsidR="002F3284" w:rsidRPr="00BA576D" w:rsidRDefault="00BA576D" w:rsidP="00A51026">
      <w:pPr>
        <w:contextualSpacing/>
        <w:rPr>
          <w:b/>
          <w:szCs w:val="24"/>
        </w:rPr>
      </w:pPr>
      <w:r>
        <w:rPr>
          <w:b/>
          <w:szCs w:val="24"/>
        </w:rPr>
        <w:lastRenderedPageBreak/>
        <w:t>Class of 2019</w:t>
      </w:r>
    </w:p>
    <w:p w14:paraId="61106D1A" w14:textId="77777777" w:rsidR="00A51026" w:rsidRPr="00A00EE1" w:rsidRDefault="000A5B7E" w:rsidP="00A51026">
      <w:pPr>
        <w:contextualSpacing/>
        <w:rPr>
          <w:szCs w:val="24"/>
        </w:rPr>
      </w:pPr>
      <w:r>
        <w:rPr>
          <w:szCs w:val="24"/>
        </w:rPr>
        <w:t xml:space="preserve">Students in the graduating class of 2019 will be eighth-graders in the coming school year, 2014-2015. </w:t>
      </w:r>
      <w:r w:rsidR="00910DC8">
        <w:rPr>
          <w:szCs w:val="24"/>
        </w:rPr>
        <w:t>T</w:t>
      </w:r>
      <w:r w:rsidR="00A51026" w:rsidRPr="001E558C">
        <w:rPr>
          <w:szCs w:val="24"/>
        </w:rPr>
        <w:t>he</w:t>
      </w:r>
      <w:r w:rsidR="00AA618D">
        <w:rPr>
          <w:color w:val="1F497D"/>
        </w:rPr>
        <w:t xml:space="preserve"> </w:t>
      </w:r>
      <w:r w:rsidR="00AA618D" w:rsidRPr="00AA618D">
        <w:rPr>
          <w:color w:val="000000" w:themeColor="text1"/>
        </w:rPr>
        <w:t xml:space="preserve">Board has not yet announced the </w:t>
      </w:r>
      <w:r>
        <w:rPr>
          <w:color w:val="000000" w:themeColor="text1"/>
          <w:szCs w:val="24"/>
        </w:rPr>
        <w:t>C</w:t>
      </w:r>
      <w:r w:rsidR="00AA618D" w:rsidRPr="00AA618D">
        <w:rPr>
          <w:color w:val="000000" w:themeColor="text1"/>
          <w:szCs w:val="24"/>
        </w:rPr>
        <w:t xml:space="preserve">ompetency </w:t>
      </w:r>
      <w:r>
        <w:rPr>
          <w:color w:val="000000" w:themeColor="text1"/>
          <w:szCs w:val="24"/>
        </w:rPr>
        <w:t>D</w:t>
      </w:r>
      <w:r w:rsidR="00AA618D" w:rsidRPr="00AA618D">
        <w:rPr>
          <w:color w:val="000000" w:themeColor="text1"/>
          <w:szCs w:val="24"/>
        </w:rPr>
        <w:t>etermination standard</w:t>
      </w:r>
      <w:r w:rsidR="00AA618D" w:rsidRPr="00AA618D">
        <w:rPr>
          <w:color w:val="000000" w:themeColor="text1"/>
        </w:rPr>
        <w:t xml:space="preserve"> for the class of 2019</w:t>
      </w:r>
      <w:r w:rsidR="00AA618D">
        <w:rPr>
          <w:color w:val="1F497D"/>
        </w:rPr>
        <w:t>.</w:t>
      </w:r>
      <w:r w:rsidR="00A51026" w:rsidRPr="001E558C">
        <w:rPr>
          <w:szCs w:val="24"/>
        </w:rPr>
        <w:t xml:space="preserve"> </w:t>
      </w:r>
    </w:p>
    <w:p w14:paraId="61106D1B" w14:textId="77777777" w:rsidR="00A00EE1" w:rsidRDefault="00A00EE1" w:rsidP="00A51026">
      <w:pPr>
        <w:contextualSpacing/>
        <w:rPr>
          <w:szCs w:val="24"/>
        </w:rPr>
      </w:pPr>
    </w:p>
    <w:p w14:paraId="61106D1C" w14:textId="77777777" w:rsidR="00DE43B9" w:rsidRDefault="00A51026" w:rsidP="00DE43B9">
      <w:pPr>
        <w:contextualSpacing/>
        <w:rPr>
          <w:szCs w:val="24"/>
        </w:rPr>
      </w:pPr>
      <w:r w:rsidRPr="001E558C">
        <w:rPr>
          <w:szCs w:val="24"/>
        </w:rPr>
        <w:t>The current plan is for the Board to vote on PARCC adopt</w:t>
      </w:r>
      <w:r w:rsidR="004D2EA3">
        <w:rPr>
          <w:szCs w:val="24"/>
        </w:rPr>
        <w:t>ion</w:t>
      </w:r>
      <w:r w:rsidRPr="001E558C">
        <w:rPr>
          <w:szCs w:val="24"/>
        </w:rPr>
        <w:t xml:space="preserve"> in fall 2015, after </w:t>
      </w:r>
      <w:r w:rsidR="006560E6">
        <w:rPr>
          <w:szCs w:val="24"/>
        </w:rPr>
        <w:t xml:space="preserve">students in </w:t>
      </w:r>
      <w:r w:rsidRPr="001E558C">
        <w:rPr>
          <w:szCs w:val="24"/>
        </w:rPr>
        <w:t xml:space="preserve">the class of 2019 have begun </w:t>
      </w:r>
      <w:r w:rsidR="00A63A32" w:rsidRPr="001E558C">
        <w:rPr>
          <w:szCs w:val="24"/>
        </w:rPr>
        <w:t>their ninth</w:t>
      </w:r>
      <w:r w:rsidR="000A5B7E">
        <w:rPr>
          <w:szCs w:val="24"/>
        </w:rPr>
        <w:t>-</w:t>
      </w:r>
      <w:r w:rsidRPr="001E558C">
        <w:rPr>
          <w:szCs w:val="24"/>
        </w:rPr>
        <w:t xml:space="preserve">grade year. </w:t>
      </w:r>
      <w:r w:rsidR="001C3BE3">
        <w:rPr>
          <w:szCs w:val="24"/>
        </w:rPr>
        <w:t xml:space="preserve">If the Board votes to adopt PARCC at that time, the Board will also adopt a new </w:t>
      </w:r>
      <w:r w:rsidR="000A5B7E">
        <w:rPr>
          <w:szCs w:val="24"/>
        </w:rPr>
        <w:t>C</w:t>
      </w:r>
      <w:r w:rsidR="001C3BE3">
        <w:rPr>
          <w:szCs w:val="24"/>
        </w:rPr>
        <w:t xml:space="preserve">ompetency </w:t>
      </w:r>
      <w:r w:rsidR="000A5B7E">
        <w:rPr>
          <w:szCs w:val="24"/>
        </w:rPr>
        <w:t>D</w:t>
      </w:r>
      <w:r w:rsidR="001C3BE3">
        <w:rPr>
          <w:szCs w:val="24"/>
        </w:rPr>
        <w:t xml:space="preserve">etermination standard. </w:t>
      </w:r>
      <w:r w:rsidR="000A5B7E">
        <w:rPr>
          <w:szCs w:val="24"/>
        </w:rPr>
        <w:t xml:space="preserve">I believe these students should know, before they enter ninth grade, the standards and assessments for the Competency Determination that they must earn for high school graduation. </w:t>
      </w:r>
      <w:r w:rsidRPr="001E558C">
        <w:rPr>
          <w:szCs w:val="24"/>
        </w:rPr>
        <w:t>T</w:t>
      </w:r>
      <w:r w:rsidR="000A5B7E">
        <w:rPr>
          <w:szCs w:val="24"/>
        </w:rPr>
        <w:t>o provide fair notice and certainty</w:t>
      </w:r>
      <w:r w:rsidR="00A63A32">
        <w:rPr>
          <w:szCs w:val="24"/>
        </w:rPr>
        <w:t xml:space="preserve">, </w:t>
      </w:r>
      <w:r w:rsidR="00A63A32" w:rsidRPr="001E558C">
        <w:rPr>
          <w:szCs w:val="24"/>
        </w:rPr>
        <w:t>I</w:t>
      </w:r>
      <w:r w:rsidR="000A5B7E">
        <w:rPr>
          <w:szCs w:val="24"/>
        </w:rPr>
        <w:t xml:space="preserve"> </w:t>
      </w:r>
      <w:r w:rsidRPr="001E558C">
        <w:rPr>
          <w:szCs w:val="24"/>
        </w:rPr>
        <w:t xml:space="preserve">recommend </w:t>
      </w:r>
      <w:r w:rsidR="000A5B7E">
        <w:rPr>
          <w:szCs w:val="24"/>
        </w:rPr>
        <w:t xml:space="preserve">that </w:t>
      </w:r>
      <w:r w:rsidRPr="001E558C">
        <w:rPr>
          <w:szCs w:val="24"/>
        </w:rPr>
        <w:t xml:space="preserve">the Board vote </w:t>
      </w:r>
      <w:r w:rsidR="00A63A32" w:rsidRPr="001E558C">
        <w:rPr>
          <w:szCs w:val="24"/>
        </w:rPr>
        <w:t>to</w:t>
      </w:r>
      <w:r w:rsidR="00A63A32">
        <w:rPr>
          <w:szCs w:val="24"/>
        </w:rPr>
        <w:t xml:space="preserve"> continue</w:t>
      </w:r>
      <w:r w:rsidRPr="000A5B7E">
        <w:rPr>
          <w:szCs w:val="24"/>
        </w:rPr>
        <w:t xml:space="preserve"> the use of MCAS tests for students to earn the Competency Determination for high school graduation, through the graduating class of 20</w:t>
      </w:r>
      <w:r w:rsidR="004D2EA3" w:rsidRPr="000A5B7E">
        <w:rPr>
          <w:szCs w:val="24"/>
        </w:rPr>
        <w:t>19</w:t>
      </w:r>
      <w:r w:rsidR="000A5B7E">
        <w:rPr>
          <w:szCs w:val="24"/>
        </w:rPr>
        <w:t>.</w:t>
      </w:r>
    </w:p>
    <w:p w14:paraId="61106D1D" w14:textId="77777777" w:rsidR="00B350AA" w:rsidRDefault="00B350AA" w:rsidP="00B350AA">
      <w:pPr>
        <w:contextualSpacing/>
        <w:rPr>
          <w:szCs w:val="24"/>
        </w:rPr>
      </w:pPr>
    </w:p>
    <w:p w14:paraId="61106D1E" w14:textId="77777777" w:rsidR="00B14D14" w:rsidRDefault="00B350AA">
      <w:pPr>
        <w:contextualSpacing/>
        <w:rPr>
          <w:szCs w:val="24"/>
        </w:rPr>
      </w:pPr>
      <w:r>
        <w:rPr>
          <w:szCs w:val="24"/>
        </w:rPr>
        <w:t xml:space="preserve">As a reminder, </w:t>
      </w:r>
      <w:r w:rsidR="00335770">
        <w:rPr>
          <w:szCs w:val="24"/>
        </w:rPr>
        <w:t xml:space="preserve">to earn the Competency Determination, </w:t>
      </w:r>
      <w:r w:rsidR="00335770">
        <w:t xml:space="preserve">students must earn the required score on </w:t>
      </w:r>
      <w:r w:rsidR="00491C66" w:rsidRPr="0039182B">
        <w:t xml:space="preserve">one of four </w:t>
      </w:r>
      <w:r w:rsidR="00335770">
        <w:t>h</w:t>
      </w:r>
      <w:r w:rsidR="00491C66" w:rsidRPr="0039182B">
        <w:t xml:space="preserve">igh </w:t>
      </w:r>
      <w:r w:rsidR="00335770">
        <w:t>s</w:t>
      </w:r>
      <w:r w:rsidR="00491C66" w:rsidRPr="0039182B">
        <w:t>chool Science and Technology/Engineering</w:t>
      </w:r>
      <w:r w:rsidR="00491C66">
        <w:t xml:space="preserve"> </w:t>
      </w:r>
      <w:r w:rsidR="00335770">
        <w:t xml:space="preserve">MCAS </w:t>
      </w:r>
      <w:r w:rsidR="00491C66">
        <w:t>tests</w:t>
      </w:r>
      <w:r w:rsidR="00335770">
        <w:t xml:space="preserve"> as well as on the grade 10 English language arts and math</w:t>
      </w:r>
      <w:r w:rsidR="00CF39B0">
        <w:t xml:space="preserve"> MCAS tests</w:t>
      </w:r>
      <w:r w:rsidR="00491C66">
        <w:t xml:space="preserve">. </w:t>
      </w:r>
      <w:r w:rsidR="00335770">
        <w:t xml:space="preserve">I am recommending that </w:t>
      </w:r>
      <w:r w:rsidR="00CF39B0">
        <w:t xml:space="preserve">the Board announce now that regardless of the decision to be made next year on PARCC, </w:t>
      </w:r>
      <w:r w:rsidR="00335770">
        <w:t xml:space="preserve">we </w:t>
      </w:r>
      <w:r w:rsidR="00CF39B0">
        <w:t xml:space="preserve">will </w:t>
      </w:r>
      <w:r w:rsidR="00335770">
        <w:t xml:space="preserve">continue to use MCAS </w:t>
      </w:r>
      <w:r w:rsidR="00CF39B0">
        <w:t xml:space="preserve">tests </w:t>
      </w:r>
      <w:r w:rsidR="00335770">
        <w:t xml:space="preserve">as the Competency Determination measure through the class of 2019.  </w:t>
      </w:r>
    </w:p>
    <w:p w14:paraId="61106D1F" w14:textId="77777777" w:rsidR="00B14D14" w:rsidRDefault="00B14D14">
      <w:pPr>
        <w:contextualSpacing/>
        <w:rPr>
          <w:szCs w:val="24"/>
        </w:rPr>
      </w:pPr>
    </w:p>
    <w:p w14:paraId="61106D20" w14:textId="77777777" w:rsidR="00B14D14" w:rsidRDefault="00A63A32">
      <w:pPr>
        <w:contextualSpacing/>
        <w:rPr>
          <w:szCs w:val="24"/>
        </w:rPr>
      </w:pPr>
      <w:r w:rsidRPr="001E558C">
        <w:rPr>
          <w:szCs w:val="24"/>
        </w:rPr>
        <w:t>The table</w:t>
      </w:r>
      <w:r>
        <w:rPr>
          <w:szCs w:val="24"/>
        </w:rPr>
        <w:t xml:space="preserve"> below</w:t>
      </w:r>
      <w:r w:rsidR="00A51026" w:rsidRPr="001E558C">
        <w:rPr>
          <w:szCs w:val="24"/>
        </w:rPr>
        <w:t xml:space="preserve"> gives a visual representation of the graduating classes across academic years</w:t>
      </w:r>
      <w:r w:rsidR="001C3BE3">
        <w:rPr>
          <w:szCs w:val="24"/>
        </w:rPr>
        <w:t xml:space="preserve">, with the </w:t>
      </w:r>
      <w:r w:rsidR="000A5B7E">
        <w:rPr>
          <w:szCs w:val="24"/>
        </w:rPr>
        <w:t>C</w:t>
      </w:r>
      <w:r w:rsidR="001C3BE3">
        <w:rPr>
          <w:szCs w:val="24"/>
        </w:rPr>
        <w:t xml:space="preserve">ompetency </w:t>
      </w:r>
      <w:r w:rsidR="000A5B7E">
        <w:rPr>
          <w:szCs w:val="24"/>
        </w:rPr>
        <w:t>D</w:t>
      </w:r>
      <w:r w:rsidR="001C3BE3">
        <w:rPr>
          <w:szCs w:val="24"/>
        </w:rPr>
        <w:t xml:space="preserve">etermination years highlighted. </w:t>
      </w:r>
      <w:r w:rsidR="00A51026" w:rsidRPr="001E558C">
        <w:rPr>
          <w:szCs w:val="24"/>
        </w:rPr>
        <w:t>Th</w:t>
      </w:r>
      <w:r w:rsidR="00AF16B9">
        <w:rPr>
          <w:szCs w:val="24"/>
        </w:rPr>
        <w:t>e</w:t>
      </w:r>
      <w:r w:rsidR="00A51026" w:rsidRPr="001E558C">
        <w:rPr>
          <w:szCs w:val="24"/>
        </w:rPr>
        <w:t xml:space="preserve"> specific decision point for the class of 2019 is highlighted in orange.</w:t>
      </w:r>
    </w:p>
    <w:p w14:paraId="61106D21" w14:textId="77777777" w:rsidR="00A51026" w:rsidRPr="001E558C" w:rsidRDefault="00A51026" w:rsidP="00A51026">
      <w:pPr>
        <w:contextualSpacing/>
        <w:rPr>
          <w:szCs w:val="24"/>
        </w:rPr>
      </w:pPr>
    </w:p>
    <w:p w14:paraId="61106D22" w14:textId="77777777" w:rsidR="007C1275" w:rsidRDefault="007C1275" w:rsidP="007C1275">
      <w:pPr>
        <w:jc w:val="center"/>
        <w:rPr>
          <w:b/>
          <w:sz w:val="32"/>
          <w:szCs w:val="32"/>
        </w:rPr>
      </w:pPr>
      <w:r w:rsidRPr="00B47DB0">
        <w:rPr>
          <w:b/>
          <w:sz w:val="32"/>
          <w:szCs w:val="32"/>
        </w:rPr>
        <w:t>Graduating Classes 2015-2020 Across Academic Years</w:t>
      </w:r>
    </w:p>
    <w:p w14:paraId="61106D23" w14:textId="77777777" w:rsidR="007C1275" w:rsidRPr="00B87D79" w:rsidRDefault="007C1275" w:rsidP="007C1275">
      <w:pPr>
        <w:jc w:val="center"/>
        <w:rPr>
          <w:b/>
          <w:szCs w:val="24"/>
        </w:rPr>
      </w:pPr>
    </w:p>
    <w:tbl>
      <w:tblPr>
        <w:tblW w:w="9555" w:type="dxa"/>
        <w:tblInd w:w="93" w:type="dxa"/>
        <w:tblLook w:val="04A0" w:firstRow="1" w:lastRow="0" w:firstColumn="1" w:lastColumn="0" w:noHBand="0" w:noVBand="1"/>
      </w:tblPr>
      <w:tblGrid>
        <w:gridCol w:w="630"/>
        <w:gridCol w:w="262"/>
        <w:gridCol w:w="681"/>
        <w:gridCol w:w="1320"/>
        <w:gridCol w:w="262"/>
        <w:gridCol w:w="681"/>
        <w:gridCol w:w="901"/>
        <w:gridCol w:w="262"/>
        <w:gridCol w:w="718"/>
        <w:gridCol w:w="736"/>
        <w:gridCol w:w="262"/>
        <w:gridCol w:w="681"/>
        <w:gridCol w:w="736"/>
        <w:gridCol w:w="262"/>
        <w:gridCol w:w="681"/>
        <w:gridCol w:w="528"/>
      </w:tblGrid>
      <w:tr w:rsidR="00471E58" w:rsidRPr="007C1275" w14:paraId="61106D2F" w14:textId="77777777" w:rsidTr="00AF16B9">
        <w:trPr>
          <w:trHeight w:val="615"/>
        </w:trPr>
        <w:tc>
          <w:tcPr>
            <w:tcW w:w="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106D24"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Class of</w:t>
            </w:r>
          </w:p>
        </w:tc>
        <w:tc>
          <w:tcPr>
            <w:tcW w:w="262" w:type="dxa"/>
            <w:tcBorders>
              <w:top w:val="single" w:sz="8" w:space="0" w:color="auto"/>
              <w:left w:val="nil"/>
              <w:bottom w:val="nil"/>
              <w:right w:val="nil"/>
            </w:tcBorders>
            <w:shd w:val="clear" w:color="000000" w:fill="000000"/>
            <w:vAlign w:val="center"/>
            <w:hideMark/>
          </w:tcPr>
          <w:p w14:paraId="61106D25"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2001" w:type="dxa"/>
            <w:gridSpan w:val="2"/>
            <w:tcBorders>
              <w:top w:val="single" w:sz="8" w:space="0" w:color="auto"/>
              <w:left w:val="nil"/>
              <w:bottom w:val="single" w:sz="4" w:space="0" w:color="auto"/>
              <w:right w:val="single" w:sz="8" w:space="0" w:color="000000"/>
            </w:tcBorders>
            <w:shd w:val="clear" w:color="auto" w:fill="auto"/>
            <w:vAlign w:val="center"/>
            <w:hideMark/>
          </w:tcPr>
          <w:p w14:paraId="61106D26" w14:textId="77777777" w:rsidR="007C1275" w:rsidRPr="007C1275" w:rsidRDefault="007C1275" w:rsidP="00AF16B9">
            <w:pPr>
              <w:widowControl/>
              <w:jc w:val="center"/>
              <w:rPr>
                <w:rFonts w:ascii="Calibri" w:hAnsi="Calibri"/>
                <w:b/>
                <w:bCs/>
                <w:snapToGrid/>
                <w:color w:val="000000"/>
                <w:sz w:val="20"/>
              </w:rPr>
            </w:pPr>
            <w:r w:rsidRPr="007C1275">
              <w:rPr>
                <w:rFonts w:ascii="Calibri" w:hAnsi="Calibri"/>
                <w:b/>
                <w:bCs/>
                <w:snapToGrid/>
                <w:color w:val="000000"/>
                <w:sz w:val="20"/>
              </w:rPr>
              <w:t>School Year                      14</w:t>
            </w:r>
            <w:r w:rsidR="00AF16B9">
              <w:rPr>
                <w:rFonts w:ascii="Calibri" w:hAnsi="Calibri"/>
                <w:b/>
                <w:bCs/>
                <w:snapToGrid/>
                <w:color w:val="000000"/>
                <w:sz w:val="20"/>
              </w:rPr>
              <w:t>–</w:t>
            </w:r>
            <w:r w:rsidRPr="007C1275">
              <w:rPr>
                <w:rFonts w:ascii="Calibri" w:hAnsi="Calibri"/>
                <w:b/>
                <w:bCs/>
                <w:snapToGrid/>
                <w:color w:val="000000"/>
                <w:sz w:val="20"/>
              </w:rPr>
              <w:t>15</w:t>
            </w:r>
          </w:p>
        </w:tc>
        <w:tc>
          <w:tcPr>
            <w:tcW w:w="262" w:type="dxa"/>
            <w:tcBorders>
              <w:top w:val="single" w:sz="8" w:space="0" w:color="auto"/>
              <w:left w:val="nil"/>
              <w:bottom w:val="single" w:sz="4" w:space="0" w:color="auto"/>
              <w:right w:val="nil"/>
            </w:tcBorders>
            <w:shd w:val="clear" w:color="000000" w:fill="000000"/>
            <w:vAlign w:val="center"/>
            <w:hideMark/>
          </w:tcPr>
          <w:p w14:paraId="61106D27"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141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1106D28" w14:textId="77777777" w:rsidR="007C1275" w:rsidRPr="007C1275" w:rsidRDefault="007C1275" w:rsidP="00AF16B9">
            <w:pPr>
              <w:widowControl/>
              <w:jc w:val="center"/>
              <w:rPr>
                <w:rFonts w:ascii="Calibri" w:hAnsi="Calibri"/>
                <w:b/>
                <w:bCs/>
                <w:snapToGrid/>
                <w:color w:val="000000"/>
                <w:sz w:val="20"/>
              </w:rPr>
            </w:pPr>
            <w:r w:rsidRPr="007C1275">
              <w:rPr>
                <w:rFonts w:ascii="Calibri" w:hAnsi="Calibri"/>
                <w:b/>
                <w:bCs/>
                <w:snapToGrid/>
                <w:color w:val="000000"/>
                <w:sz w:val="20"/>
              </w:rPr>
              <w:t>School Year 15</w:t>
            </w:r>
            <w:r w:rsidR="00AF16B9">
              <w:rPr>
                <w:rFonts w:ascii="Calibri" w:hAnsi="Calibri"/>
                <w:b/>
                <w:bCs/>
                <w:snapToGrid/>
                <w:color w:val="000000"/>
                <w:sz w:val="20"/>
              </w:rPr>
              <w:t>–</w:t>
            </w:r>
            <w:r w:rsidRPr="007C1275">
              <w:rPr>
                <w:rFonts w:ascii="Calibri" w:hAnsi="Calibri"/>
                <w:b/>
                <w:bCs/>
                <w:snapToGrid/>
                <w:color w:val="000000"/>
                <w:sz w:val="20"/>
              </w:rPr>
              <w:t>16*</w:t>
            </w:r>
          </w:p>
        </w:tc>
        <w:tc>
          <w:tcPr>
            <w:tcW w:w="262" w:type="dxa"/>
            <w:tcBorders>
              <w:top w:val="single" w:sz="8" w:space="0" w:color="auto"/>
              <w:left w:val="nil"/>
              <w:bottom w:val="single" w:sz="4" w:space="0" w:color="auto"/>
              <w:right w:val="nil"/>
            </w:tcBorders>
            <w:shd w:val="clear" w:color="000000" w:fill="000000"/>
            <w:vAlign w:val="center"/>
            <w:hideMark/>
          </w:tcPr>
          <w:p w14:paraId="61106D29"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141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1106D2A" w14:textId="77777777" w:rsidR="007C1275" w:rsidRPr="007C1275" w:rsidRDefault="007C1275" w:rsidP="00AF16B9">
            <w:pPr>
              <w:widowControl/>
              <w:jc w:val="center"/>
              <w:rPr>
                <w:rFonts w:ascii="Calibri" w:hAnsi="Calibri"/>
                <w:b/>
                <w:bCs/>
                <w:snapToGrid/>
                <w:color w:val="000000"/>
                <w:sz w:val="20"/>
              </w:rPr>
            </w:pPr>
            <w:r w:rsidRPr="007C1275">
              <w:rPr>
                <w:rFonts w:ascii="Calibri" w:hAnsi="Calibri"/>
                <w:b/>
                <w:bCs/>
                <w:snapToGrid/>
                <w:color w:val="000000"/>
                <w:sz w:val="20"/>
              </w:rPr>
              <w:t>School Year 16</w:t>
            </w:r>
            <w:r w:rsidR="00AF16B9">
              <w:rPr>
                <w:rFonts w:ascii="Calibri" w:hAnsi="Calibri"/>
                <w:b/>
                <w:bCs/>
                <w:snapToGrid/>
                <w:color w:val="000000"/>
                <w:sz w:val="20"/>
              </w:rPr>
              <w:t>–</w:t>
            </w:r>
            <w:r w:rsidRPr="007C1275">
              <w:rPr>
                <w:rFonts w:ascii="Calibri" w:hAnsi="Calibri"/>
                <w:b/>
                <w:bCs/>
                <w:snapToGrid/>
                <w:color w:val="000000"/>
                <w:sz w:val="20"/>
              </w:rPr>
              <w:t>17</w:t>
            </w:r>
          </w:p>
        </w:tc>
        <w:tc>
          <w:tcPr>
            <w:tcW w:w="262" w:type="dxa"/>
            <w:tcBorders>
              <w:top w:val="single" w:sz="8" w:space="0" w:color="auto"/>
              <w:left w:val="nil"/>
              <w:bottom w:val="single" w:sz="4" w:space="0" w:color="auto"/>
              <w:right w:val="nil"/>
            </w:tcBorders>
            <w:shd w:val="clear" w:color="000000" w:fill="000000"/>
            <w:vAlign w:val="center"/>
            <w:hideMark/>
          </w:tcPr>
          <w:p w14:paraId="61106D2B"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141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1106D2C" w14:textId="77777777" w:rsidR="007C1275" w:rsidRPr="007C1275" w:rsidRDefault="007C1275" w:rsidP="00AF16B9">
            <w:pPr>
              <w:widowControl/>
              <w:jc w:val="center"/>
              <w:rPr>
                <w:rFonts w:ascii="Calibri" w:hAnsi="Calibri"/>
                <w:b/>
                <w:bCs/>
                <w:snapToGrid/>
                <w:color w:val="000000"/>
                <w:sz w:val="20"/>
              </w:rPr>
            </w:pPr>
            <w:r w:rsidRPr="007C1275">
              <w:rPr>
                <w:rFonts w:ascii="Calibri" w:hAnsi="Calibri"/>
                <w:b/>
                <w:bCs/>
                <w:snapToGrid/>
                <w:color w:val="000000"/>
                <w:sz w:val="20"/>
              </w:rPr>
              <w:t>School Year 17</w:t>
            </w:r>
            <w:r w:rsidR="00AF16B9">
              <w:rPr>
                <w:rFonts w:ascii="Calibri" w:hAnsi="Calibri"/>
                <w:b/>
                <w:bCs/>
                <w:snapToGrid/>
                <w:color w:val="000000"/>
                <w:sz w:val="20"/>
              </w:rPr>
              <w:t>–</w:t>
            </w:r>
            <w:r w:rsidRPr="007C1275">
              <w:rPr>
                <w:rFonts w:ascii="Calibri" w:hAnsi="Calibri"/>
                <w:b/>
                <w:bCs/>
                <w:snapToGrid/>
                <w:color w:val="000000"/>
                <w:sz w:val="20"/>
              </w:rPr>
              <w:t>18</w:t>
            </w:r>
          </w:p>
        </w:tc>
        <w:tc>
          <w:tcPr>
            <w:tcW w:w="262" w:type="dxa"/>
            <w:tcBorders>
              <w:top w:val="single" w:sz="8" w:space="0" w:color="auto"/>
              <w:left w:val="nil"/>
              <w:bottom w:val="single" w:sz="4" w:space="0" w:color="auto"/>
              <w:right w:val="nil"/>
            </w:tcBorders>
            <w:shd w:val="clear" w:color="000000" w:fill="000000"/>
            <w:vAlign w:val="center"/>
            <w:hideMark/>
          </w:tcPr>
          <w:p w14:paraId="61106D2D"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1363" w:type="dxa"/>
            <w:gridSpan w:val="2"/>
            <w:tcBorders>
              <w:top w:val="single" w:sz="8" w:space="0" w:color="auto"/>
              <w:left w:val="nil"/>
              <w:bottom w:val="single" w:sz="4" w:space="0" w:color="auto"/>
              <w:right w:val="single" w:sz="8" w:space="0" w:color="000000"/>
            </w:tcBorders>
            <w:shd w:val="clear" w:color="auto" w:fill="auto"/>
            <w:vAlign w:val="center"/>
            <w:hideMark/>
          </w:tcPr>
          <w:p w14:paraId="61106D2E" w14:textId="77777777" w:rsidR="007C1275" w:rsidRPr="007C1275" w:rsidRDefault="007C1275" w:rsidP="00AF16B9">
            <w:pPr>
              <w:widowControl/>
              <w:jc w:val="center"/>
              <w:rPr>
                <w:rFonts w:ascii="Calibri" w:hAnsi="Calibri"/>
                <w:b/>
                <w:bCs/>
                <w:snapToGrid/>
                <w:color w:val="000000"/>
                <w:sz w:val="20"/>
              </w:rPr>
            </w:pPr>
            <w:r w:rsidRPr="007C1275">
              <w:rPr>
                <w:rFonts w:ascii="Calibri" w:hAnsi="Calibri"/>
                <w:b/>
                <w:bCs/>
                <w:snapToGrid/>
                <w:color w:val="000000"/>
                <w:sz w:val="20"/>
              </w:rPr>
              <w:t>School Year 18</w:t>
            </w:r>
            <w:r w:rsidR="00AF16B9">
              <w:rPr>
                <w:rFonts w:ascii="Calibri" w:hAnsi="Calibri"/>
                <w:b/>
                <w:bCs/>
                <w:snapToGrid/>
                <w:color w:val="000000"/>
                <w:sz w:val="20"/>
              </w:rPr>
              <w:t>–</w:t>
            </w:r>
            <w:r w:rsidRPr="007C1275">
              <w:rPr>
                <w:rFonts w:ascii="Calibri" w:hAnsi="Calibri"/>
                <w:b/>
                <w:bCs/>
                <w:snapToGrid/>
                <w:color w:val="000000"/>
                <w:sz w:val="20"/>
              </w:rPr>
              <w:t>19</w:t>
            </w:r>
          </w:p>
        </w:tc>
      </w:tr>
      <w:tr w:rsidR="00471E58" w:rsidRPr="007C1275" w14:paraId="61106D40" w14:textId="77777777" w:rsidTr="00AF16B9">
        <w:trPr>
          <w:trHeight w:val="315"/>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61106D30" w14:textId="77777777" w:rsidR="007C1275" w:rsidRPr="007C1275" w:rsidRDefault="007C1275" w:rsidP="007C1275">
            <w:pPr>
              <w:widowControl/>
              <w:rPr>
                <w:rFonts w:ascii="Calibri" w:hAnsi="Calibri"/>
                <w:b/>
                <w:bCs/>
                <w:snapToGrid/>
                <w:color w:val="000000"/>
                <w:sz w:val="20"/>
              </w:rPr>
            </w:pPr>
          </w:p>
        </w:tc>
        <w:tc>
          <w:tcPr>
            <w:tcW w:w="262" w:type="dxa"/>
            <w:tcBorders>
              <w:top w:val="nil"/>
              <w:left w:val="nil"/>
              <w:bottom w:val="nil"/>
              <w:right w:val="nil"/>
            </w:tcBorders>
            <w:shd w:val="clear" w:color="000000" w:fill="000000"/>
            <w:vAlign w:val="center"/>
            <w:hideMark/>
          </w:tcPr>
          <w:p w14:paraId="61106D31"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681" w:type="dxa"/>
            <w:tcBorders>
              <w:top w:val="nil"/>
              <w:left w:val="nil"/>
              <w:bottom w:val="single" w:sz="4" w:space="0" w:color="auto"/>
              <w:right w:val="single" w:sz="4" w:space="0" w:color="auto"/>
            </w:tcBorders>
            <w:shd w:val="clear" w:color="auto" w:fill="auto"/>
            <w:vAlign w:val="center"/>
            <w:hideMark/>
          </w:tcPr>
          <w:p w14:paraId="61106D32"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grade</w:t>
            </w:r>
          </w:p>
        </w:tc>
        <w:tc>
          <w:tcPr>
            <w:tcW w:w="1320" w:type="dxa"/>
            <w:tcBorders>
              <w:top w:val="nil"/>
              <w:left w:val="nil"/>
              <w:bottom w:val="single" w:sz="4" w:space="0" w:color="auto"/>
              <w:right w:val="single" w:sz="8" w:space="0" w:color="auto"/>
            </w:tcBorders>
            <w:shd w:val="clear" w:color="auto" w:fill="auto"/>
            <w:vAlign w:val="center"/>
            <w:hideMark/>
          </w:tcPr>
          <w:p w14:paraId="61106D33"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test</w:t>
            </w:r>
          </w:p>
        </w:tc>
        <w:tc>
          <w:tcPr>
            <w:tcW w:w="262" w:type="dxa"/>
            <w:tcBorders>
              <w:top w:val="nil"/>
              <w:left w:val="nil"/>
              <w:bottom w:val="single" w:sz="4" w:space="0" w:color="auto"/>
              <w:right w:val="nil"/>
            </w:tcBorders>
            <w:shd w:val="clear" w:color="000000" w:fill="000000"/>
            <w:vAlign w:val="center"/>
            <w:hideMark/>
          </w:tcPr>
          <w:p w14:paraId="61106D34"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35"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grade</w:t>
            </w:r>
          </w:p>
        </w:tc>
        <w:tc>
          <w:tcPr>
            <w:tcW w:w="736" w:type="dxa"/>
            <w:tcBorders>
              <w:top w:val="nil"/>
              <w:left w:val="nil"/>
              <w:bottom w:val="single" w:sz="4" w:space="0" w:color="auto"/>
              <w:right w:val="single" w:sz="8" w:space="0" w:color="auto"/>
            </w:tcBorders>
            <w:shd w:val="clear" w:color="auto" w:fill="auto"/>
            <w:vAlign w:val="center"/>
            <w:hideMark/>
          </w:tcPr>
          <w:p w14:paraId="61106D36"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test</w:t>
            </w:r>
          </w:p>
        </w:tc>
        <w:tc>
          <w:tcPr>
            <w:tcW w:w="262" w:type="dxa"/>
            <w:tcBorders>
              <w:top w:val="nil"/>
              <w:left w:val="nil"/>
              <w:bottom w:val="single" w:sz="4" w:space="0" w:color="auto"/>
              <w:right w:val="nil"/>
            </w:tcBorders>
            <w:shd w:val="clear" w:color="000000" w:fill="000000"/>
            <w:vAlign w:val="center"/>
            <w:hideMark/>
          </w:tcPr>
          <w:p w14:paraId="61106D37"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38"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grade</w:t>
            </w:r>
          </w:p>
        </w:tc>
        <w:tc>
          <w:tcPr>
            <w:tcW w:w="736" w:type="dxa"/>
            <w:tcBorders>
              <w:top w:val="nil"/>
              <w:left w:val="nil"/>
              <w:bottom w:val="single" w:sz="4" w:space="0" w:color="auto"/>
              <w:right w:val="single" w:sz="8" w:space="0" w:color="auto"/>
            </w:tcBorders>
            <w:shd w:val="clear" w:color="auto" w:fill="auto"/>
            <w:vAlign w:val="center"/>
            <w:hideMark/>
          </w:tcPr>
          <w:p w14:paraId="61106D39"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test</w:t>
            </w:r>
          </w:p>
        </w:tc>
        <w:tc>
          <w:tcPr>
            <w:tcW w:w="262" w:type="dxa"/>
            <w:tcBorders>
              <w:top w:val="nil"/>
              <w:left w:val="nil"/>
              <w:bottom w:val="single" w:sz="4" w:space="0" w:color="auto"/>
              <w:right w:val="nil"/>
            </w:tcBorders>
            <w:shd w:val="clear" w:color="000000" w:fill="000000"/>
            <w:vAlign w:val="center"/>
            <w:hideMark/>
          </w:tcPr>
          <w:p w14:paraId="61106D3A"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3B"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grade</w:t>
            </w:r>
          </w:p>
        </w:tc>
        <w:tc>
          <w:tcPr>
            <w:tcW w:w="736" w:type="dxa"/>
            <w:tcBorders>
              <w:top w:val="nil"/>
              <w:left w:val="nil"/>
              <w:bottom w:val="single" w:sz="4" w:space="0" w:color="auto"/>
              <w:right w:val="single" w:sz="8" w:space="0" w:color="auto"/>
            </w:tcBorders>
            <w:shd w:val="clear" w:color="auto" w:fill="auto"/>
            <w:vAlign w:val="center"/>
            <w:hideMark/>
          </w:tcPr>
          <w:p w14:paraId="61106D3C"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test</w:t>
            </w:r>
          </w:p>
        </w:tc>
        <w:tc>
          <w:tcPr>
            <w:tcW w:w="262" w:type="dxa"/>
            <w:tcBorders>
              <w:top w:val="nil"/>
              <w:left w:val="nil"/>
              <w:bottom w:val="single" w:sz="4" w:space="0" w:color="auto"/>
              <w:right w:val="nil"/>
            </w:tcBorders>
            <w:shd w:val="clear" w:color="000000" w:fill="000000"/>
            <w:vAlign w:val="center"/>
            <w:hideMark/>
          </w:tcPr>
          <w:p w14:paraId="61106D3D"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nil"/>
              <w:bottom w:val="single" w:sz="4" w:space="0" w:color="auto"/>
              <w:right w:val="single" w:sz="4" w:space="0" w:color="auto"/>
            </w:tcBorders>
            <w:shd w:val="clear" w:color="auto" w:fill="auto"/>
            <w:vAlign w:val="center"/>
            <w:hideMark/>
          </w:tcPr>
          <w:p w14:paraId="61106D3E"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grade</w:t>
            </w:r>
          </w:p>
        </w:tc>
        <w:tc>
          <w:tcPr>
            <w:tcW w:w="682" w:type="dxa"/>
            <w:tcBorders>
              <w:top w:val="nil"/>
              <w:left w:val="nil"/>
              <w:bottom w:val="single" w:sz="4" w:space="0" w:color="auto"/>
              <w:right w:val="single" w:sz="8" w:space="0" w:color="auto"/>
            </w:tcBorders>
            <w:shd w:val="clear" w:color="auto" w:fill="auto"/>
            <w:vAlign w:val="center"/>
            <w:hideMark/>
          </w:tcPr>
          <w:p w14:paraId="61106D3F"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test</w:t>
            </w:r>
          </w:p>
        </w:tc>
      </w:tr>
      <w:tr w:rsidR="00471E58" w:rsidRPr="007C1275" w14:paraId="61106D51" w14:textId="77777777" w:rsidTr="00AF16B9">
        <w:trPr>
          <w:trHeight w:val="825"/>
        </w:trPr>
        <w:tc>
          <w:tcPr>
            <w:tcW w:w="630" w:type="dxa"/>
            <w:tcBorders>
              <w:top w:val="nil"/>
              <w:left w:val="single" w:sz="8" w:space="0" w:color="auto"/>
              <w:bottom w:val="single" w:sz="4" w:space="0" w:color="auto"/>
              <w:right w:val="single" w:sz="8" w:space="0" w:color="auto"/>
            </w:tcBorders>
            <w:shd w:val="clear" w:color="auto" w:fill="auto"/>
            <w:vAlign w:val="center"/>
            <w:hideMark/>
          </w:tcPr>
          <w:p w14:paraId="61106D41"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2015</w:t>
            </w:r>
          </w:p>
        </w:tc>
        <w:tc>
          <w:tcPr>
            <w:tcW w:w="262" w:type="dxa"/>
            <w:tcBorders>
              <w:top w:val="nil"/>
              <w:left w:val="nil"/>
              <w:bottom w:val="single" w:sz="4" w:space="0" w:color="auto"/>
              <w:right w:val="nil"/>
            </w:tcBorders>
            <w:shd w:val="clear" w:color="000000" w:fill="000000"/>
            <w:vAlign w:val="center"/>
            <w:hideMark/>
          </w:tcPr>
          <w:p w14:paraId="61106D42"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43"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12</w:t>
            </w:r>
          </w:p>
        </w:tc>
        <w:tc>
          <w:tcPr>
            <w:tcW w:w="1320" w:type="dxa"/>
            <w:tcBorders>
              <w:top w:val="nil"/>
              <w:left w:val="nil"/>
              <w:bottom w:val="single" w:sz="4" w:space="0" w:color="auto"/>
              <w:right w:val="single" w:sz="8" w:space="0" w:color="auto"/>
            </w:tcBorders>
            <w:shd w:val="clear" w:color="auto" w:fill="auto"/>
            <w:vAlign w:val="center"/>
            <w:hideMark/>
          </w:tcPr>
          <w:p w14:paraId="61106D44"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 Retest</w:t>
            </w:r>
          </w:p>
        </w:tc>
        <w:tc>
          <w:tcPr>
            <w:tcW w:w="262" w:type="dxa"/>
            <w:tcBorders>
              <w:top w:val="nil"/>
              <w:left w:val="nil"/>
              <w:bottom w:val="single" w:sz="4" w:space="0" w:color="auto"/>
              <w:right w:val="nil"/>
            </w:tcBorders>
            <w:shd w:val="clear" w:color="000000" w:fill="000000"/>
            <w:vAlign w:val="center"/>
            <w:hideMark/>
          </w:tcPr>
          <w:p w14:paraId="61106D45"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000000" w:fill="D8D8D8"/>
            <w:vAlign w:val="center"/>
            <w:hideMark/>
          </w:tcPr>
          <w:p w14:paraId="61106D46"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736" w:type="dxa"/>
            <w:tcBorders>
              <w:top w:val="nil"/>
              <w:left w:val="nil"/>
              <w:bottom w:val="single" w:sz="4" w:space="0" w:color="auto"/>
              <w:right w:val="single" w:sz="8" w:space="0" w:color="auto"/>
            </w:tcBorders>
            <w:shd w:val="clear" w:color="000000" w:fill="D8D8D8"/>
            <w:vAlign w:val="center"/>
            <w:hideMark/>
          </w:tcPr>
          <w:p w14:paraId="61106D47"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4" w:space="0" w:color="auto"/>
              <w:right w:val="nil"/>
            </w:tcBorders>
            <w:shd w:val="clear" w:color="000000" w:fill="000000"/>
            <w:vAlign w:val="center"/>
            <w:hideMark/>
          </w:tcPr>
          <w:p w14:paraId="61106D48"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000000" w:fill="D8D8D8"/>
            <w:vAlign w:val="center"/>
            <w:hideMark/>
          </w:tcPr>
          <w:p w14:paraId="61106D49"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736" w:type="dxa"/>
            <w:tcBorders>
              <w:top w:val="nil"/>
              <w:left w:val="nil"/>
              <w:bottom w:val="single" w:sz="4" w:space="0" w:color="auto"/>
              <w:right w:val="single" w:sz="8" w:space="0" w:color="auto"/>
            </w:tcBorders>
            <w:shd w:val="clear" w:color="000000" w:fill="D8D8D8"/>
            <w:vAlign w:val="center"/>
            <w:hideMark/>
          </w:tcPr>
          <w:p w14:paraId="61106D4A"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4" w:space="0" w:color="auto"/>
              <w:right w:val="nil"/>
            </w:tcBorders>
            <w:shd w:val="clear" w:color="000000" w:fill="000000"/>
            <w:vAlign w:val="center"/>
            <w:hideMark/>
          </w:tcPr>
          <w:p w14:paraId="61106D4B"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000000" w:fill="D8D8D8"/>
            <w:vAlign w:val="center"/>
            <w:hideMark/>
          </w:tcPr>
          <w:p w14:paraId="61106D4C"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736" w:type="dxa"/>
            <w:tcBorders>
              <w:top w:val="nil"/>
              <w:left w:val="nil"/>
              <w:bottom w:val="single" w:sz="4" w:space="0" w:color="auto"/>
              <w:right w:val="single" w:sz="8" w:space="0" w:color="auto"/>
            </w:tcBorders>
            <w:shd w:val="clear" w:color="000000" w:fill="D8D8D8"/>
            <w:vAlign w:val="center"/>
            <w:hideMark/>
          </w:tcPr>
          <w:p w14:paraId="61106D4D"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4" w:space="0" w:color="auto"/>
              <w:right w:val="nil"/>
            </w:tcBorders>
            <w:shd w:val="clear" w:color="000000" w:fill="000000"/>
            <w:vAlign w:val="center"/>
            <w:hideMark/>
          </w:tcPr>
          <w:p w14:paraId="61106D4E"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nil"/>
              <w:bottom w:val="single" w:sz="4" w:space="0" w:color="auto"/>
              <w:right w:val="single" w:sz="4" w:space="0" w:color="auto"/>
            </w:tcBorders>
            <w:shd w:val="clear" w:color="000000" w:fill="D8D8D8"/>
            <w:vAlign w:val="center"/>
            <w:hideMark/>
          </w:tcPr>
          <w:p w14:paraId="61106D4F"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2" w:type="dxa"/>
            <w:tcBorders>
              <w:top w:val="nil"/>
              <w:left w:val="nil"/>
              <w:bottom w:val="single" w:sz="4" w:space="0" w:color="auto"/>
              <w:right w:val="single" w:sz="8" w:space="0" w:color="auto"/>
            </w:tcBorders>
            <w:shd w:val="clear" w:color="000000" w:fill="D8D8D8"/>
            <w:vAlign w:val="center"/>
            <w:hideMark/>
          </w:tcPr>
          <w:p w14:paraId="61106D50"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r>
      <w:tr w:rsidR="00471E58" w:rsidRPr="007C1275" w14:paraId="61106D62" w14:textId="77777777" w:rsidTr="00AF16B9">
        <w:trPr>
          <w:trHeight w:val="825"/>
        </w:trPr>
        <w:tc>
          <w:tcPr>
            <w:tcW w:w="630" w:type="dxa"/>
            <w:tcBorders>
              <w:top w:val="nil"/>
              <w:left w:val="single" w:sz="8" w:space="0" w:color="auto"/>
              <w:bottom w:val="single" w:sz="4" w:space="0" w:color="auto"/>
              <w:right w:val="single" w:sz="8" w:space="0" w:color="auto"/>
            </w:tcBorders>
            <w:shd w:val="clear" w:color="auto" w:fill="auto"/>
            <w:vAlign w:val="center"/>
            <w:hideMark/>
          </w:tcPr>
          <w:p w14:paraId="61106D52"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2016</w:t>
            </w:r>
          </w:p>
        </w:tc>
        <w:tc>
          <w:tcPr>
            <w:tcW w:w="262" w:type="dxa"/>
            <w:tcBorders>
              <w:top w:val="nil"/>
              <w:left w:val="nil"/>
              <w:bottom w:val="single" w:sz="4" w:space="0" w:color="auto"/>
              <w:right w:val="nil"/>
            </w:tcBorders>
            <w:shd w:val="clear" w:color="000000" w:fill="000000"/>
            <w:vAlign w:val="center"/>
            <w:hideMark/>
          </w:tcPr>
          <w:p w14:paraId="61106D53"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54"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11</w:t>
            </w:r>
          </w:p>
        </w:tc>
        <w:tc>
          <w:tcPr>
            <w:tcW w:w="1320" w:type="dxa"/>
            <w:tcBorders>
              <w:top w:val="nil"/>
              <w:left w:val="nil"/>
              <w:bottom w:val="single" w:sz="4" w:space="0" w:color="auto"/>
              <w:right w:val="single" w:sz="8" w:space="0" w:color="auto"/>
            </w:tcBorders>
            <w:shd w:val="clear" w:color="auto" w:fill="auto"/>
            <w:vAlign w:val="center"/>
            <w:hideMark/>
          </w:tcPr>
          <w:p w14:paraId="61106D55"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 Retest</w:t>
            </w:r>
          </w:p>
        </w:tc>
        <w:tc>
          <w:tcPr>
            <w:tcW w:w="262" w:type="dxa"/>
            <w:tcBorders>
              <w:top w:val="nil"/>
              <w:left w:val="nil"/>
              <w:bottom w:val="single" w:sz="4" w:space="0" w:color="auto"/>
              <w:right w:val="nil"/>
            </w:tcBorders>
            <w:shd w:val="clear" w:color="000000" w:fill="000000"/>
            <w:vAlign w:val="center"/>
            <w:hideMark/>
          </w:tcPr>
          <w:p w14:paraId="61106D56"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57"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12</w:t>
            </w:r>
          </w:p>
        </w:tc>
        <w:tc>
          <w:tcPr>
            <w:tcW w:w="736" w:type="dxa"/>
            <w:tcBorders>
              <w:top w:val="nil"/>
              <w:left w:val="nil"/>
              <w:bottom w:val="single" w:sz="4" w:space="0" w:color="auto"/>
              <w:right w:val="single" w:sz="8" w:space="0" w:color="auto"/>
            </w:tcBorders>
            <w:shd w:val="clear" w:color="auto" w:fill="auto"/>
            <w:vAlign w:val="center"/>
            <w:hideMark/>
          </w:tcPr>
          <w:p w14:paraId="61106D58"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 Retest</w:t>
            </w:r>
          </w:p>
        </w:tc>
        <w:tc>
          <w:tcPr>
            <w:tcW w:w="262" w:type="dxa"/>
            <w:tcBorders>
              <w:top w:val="nil"/>
              <w:left w:val="nil"/>
              <w:bottom w:val="single" w:sz="4" w:space="0" w:color="auto"/>
              <w:right w:val="nil"/>
            </w:tcBorders>
            <w:shd w:val="clear" w:color="000000" w:fill="000000"/>
            <w:vAlign w:val="center"/>
            <w:hideMark/>
          </w:tcPr>
          <w:p w14:paraId="61106D59"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000000" w:fill="D8D8D8"/>
            <w:vAlign w:val="center"/>
            <w:hideMark/>
          </w:tcPr>
          <w:p w14:paraId="61106D5A"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736" w:type="dxa"/>
            <w:tcBorders>
              <w:top w:val="nil"/>
              <w:left w:val="nil"/>
              <w:bottom w:val="single" w:sz="4" w:space="0" w:color="auto"/>
              <w:right w:val="single" w:sz="8" w:space="0" w:color="auto"/>
            </w:tcBorders>
            <w:shd w:val="clear" w:color="000000" w:fill="D8D8D8"/>
            <w:vAlign w:val="center"/>
            <w:hideMark/>
          </w:tcPr>
          <w:p w14:paraId="61106D5B"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4" w:space="0" w:color="auto"/>
              <w:right w:val="nil"/>
            </w:tcBorders>
            <w:shd w:val="clear" w:color="000000" w:fill="000000"/>
            <w:vAlign w:val="center"/>
            <w:hideMark/>
          </w:tcPr>
          <w:p w14:paraId="61106D5C"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000000" w:fill="D8D8D8"/>
            <w:vAlign w:val="center"/>
            <w:hideMark/>
          </w:tcPr>
          <w:p w14:paraId="61106D5D"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736" w:type="dxa"/>
            <w:tcBorders>
              <w:top w:val="nil"/>
              <w:left w:val="nil"/>
              <w:bottom w:val="single" w:sz="4" w:space="0" w:color="auto"/>
              <w:right w:val="single" w:sz="8" w:space="0" w:color="auto"/>
            </w:tcBorders>
            <w:shd w:val="clear" w:color="000000" w:fill="D8D8D8"/>
            <w:vAlign w:val="center"/>
            <w:hideMark/>
          </w:tcPr>
          <w:p w14:paraId="61106D5E"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4" w:space="0" w:color="auto"/>
              <w:right w:val="nil"/>
            </w:tcBorders>
            <w:shd w:val="clear" w:color="000000" w:fill="000000"/>
            <w:vAlign w:val="center"/>
            <w:hideMark/>
          </w:tcPr>
          <w:p w14:paraId="61106D5F"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nil"/>
              <w:bottom w:val="single" w:sz="4" w:space="0" w:color="auto"/>
              <w:right w:val="single" w:sz="4" w:space="0" w:color="auto"/>
            </w:tcBorders>
            <w:shd w:val="clear" w:color="000000" w:fill="D8D8D8"/>
            <w:vAlign w:val="center"/>
            <w:hideMark/>
          </w:tcPr>
          <w:p w14:paraId="61106D60"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2" w:type="dxa"/>
            <w:tcBorders>
              <w:top w:val="nil"/>
              <w:left w:val="nil"/>
              <w:bottom w:val="single" w:sz="4" w:space="0" w:color="auto"/>
              <w:right w:val="single" w:sz="8" w:space="0" w:color="auto"/>
            </w:tcBorders>
            <w:shd w:val="clear" w:color="000000" w:fill="D8D8D8"/>
            <w:vAlign w:val="center"/>
            <w:hideMark/>
          </w:tcPr>
          <w:p w14:paraId="61106D61"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r>
      <w:tr w:rsidR="00471E58" w:rsidRPr="007C1275" w14:paraId="61106D73" w14:textId="77777777" w:rsidTr="00AF16B9">
        <w:trPr>
          <w:trHeight w:val="825"/>
        </w:trPr>
        <w:tc>
          <w:tcPr>
            <w:tcW w:w="630" w:type="dxa"/>
            <w:tcBorders>
              <w:top w:val="nil"/>
              <w:left w:val="single" w:sz="8" w:space="0" w:color="auto"/>
              <w:bottom w:val="single" w:sz="4" w:space="0" w:color="auto"/>
              <w:right w:val="single" w:sz="8" w:space="0" w:color="auto"/>
            </w:tcBorders>
            <w:shd w:val="clear" w:color="auto" w:fill="auto"/>
            <w:vAlign w:val="center"/>
            <w:hideMark/>
          </w:tcPr>
          <w:p w14:paraId="61106D63"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2017</w:t>
            </w:r>
          </w:p>
        </w:tc>
        <w:tc>
          <w:tcPr>
            <w:tcW w:w="262" w:type="dxa"/>
            <w:tcBorders>
              <w:top w:val="nil"/>
              <w:left w:val="nil"/>
              <w:bottom w:val="single" w:sz="4" w:space="0" w:color="auto"/>
              <w:right w:val="nil"/>
            </w:tcBorders>
            <w:shd w:val="clear" w:color="000000" w:fill="000000"/>
            <w:vAlign w:val="center"/>
            <w:hideMark/>
          </w:tcPr>
          <w:p w14:paraId="61106D64"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681" w:type="dxa"/>
            <w:tcBorders>
              <w:top w:val="nil"/>
              <w:left w:val="single" w:sz="8" w:space="0" w:color="auto"/>
              <w:bottom w:val="single" w:sz="4" w:space="0" w:color="auto"/>
              <w:right w:val="single" w:sz="4" w:space="0" w:color="auto"/>
            </w:tcBorders>
            <w:shd w:val="clear" w:color="000000" w:fill="FFFF00"/>
            <w:vAlign w:val="center"/>
            <w:hideMark/>
          </w:tcPr>
          <w:p w14:paraId="61106D65"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10</w:t>
            </w:r>
          </w:p>
        </w:tc>
        <w:tc>
          <w:tcPr>
            <w:tcW w:w="1320" w:type="dxa"/>
            <w:tcBorders>
              <w:top w:val="nil"/>
              <w:left w:val="nil"/>
              <w:bottom w:val="single" w:sz="4" w:space="0" w:color="auto"/>
              <w:right w:val="single" w:sz="8" w:space="0" w:color="auto"/>
            </w:tcBorders>
            <w:shd w:val="clear" w:color="000000" w:fill="FFFF00"/>
            <w:vAlign w:val="center"/>
            <w:hideMark/>
          </w:tcPr>
          <w:p w14:paraId="61106D66"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w:t>
            </w:r>
            <w:r w:rsidR="00526AC8">
              <w:rPr>
                <w:rFonts w:ascii="Calibri" w:hAnsi="Calibri"/>
                <w:snapToGrid/>
                <w:color w:val="000000"/>
                <w:sz w:val="20"/>
              </w:rPr>
              <w:t>**</w:t>
            </w:r>
          </w:p>
        </w:tc>
        <w:tc>
          <w:tcPr>
            <w:tcW w:w="262" w:type="dxa"/>
            <w:tcBorders>
              <w:top w:val="nil"/>
              <w:left w:val="nil"/>
              <w:bottom w:val="single" w:sz="4" w:space="0" w:color="auto"/>
              <w:right w:val="nil"/>
            </w:tcBorders>
            <w:shd w:val="clear" w:color="000000" w:fill="000000"/>
            <w:vAlign w:val="center"/>
            <w:hideMark/>
          </w:tcPr>
          <w:p w14:paraId="61106D67"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68"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11</w:t>
            </w:r>
          </w:p>
        </w:tc>
        <w:tc>
          <w:tcPr>
            <w:tcW w:w="736" w:type="dxa"/>
            <w:tcBorders>
              <w:top w:val="nil"/>
              <w:left w:val="nil"/>
              <w:bottom w:val="single" w:sz="4" w:space="0" w:color="auto"/>
              <w:right w:val="single" w:sz="8" w:space="0" w:color="auto"/>
            </w:tcBorders>
            <w:shd w:val="clear" w:color="auto" w:fill="auto"/>
            <w:vAlign w:val="center"/>
            <w:hideMark/>
          </w:tcPr>
          <w:p w14:paraId="61106D69"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 Retest</w:t>
            </w:r>
          </w:p>
        </w:tc>
        <w:tc>
          <w:tcPr>
            <w:tcW w:w="262" w:type="dxa"/>
            <w:tcBorders>
              <w:top w:val="nil"/>
              <w:left w:val="nil"/>
              <w:bottom w:val="single" w:sz="4" w:space="0" w:color="auto"/>
              <w:right w:val="nil"/>
            </w:tcBorders>
            <w:shd w:val="clear" w:color="000000" w:fill="000000"/>
            <w:vAlign w:val="center"/>
            <w:hideMark/>
          </w:tcPr>
          <w:p w14:paraId="61106D6A"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6B"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12</w:t>
            </w:r>
          </w:p>
        </w:tc>
        <w:tc>
          <w:tcPr>
            <w:tcW w:w="736" w:type="dxa"/>
            <w:tcBorders>
              <w:top w:val="nil"/>
              <w:left w:val="nil"/>
              <w:bottom w:val="single" w:sz="4" w:space="0" w:color="auto"/>
              <w:right w:val="single" w:sz="8" w:space="0" w:color="auto"/>
            </w:tcBorders>
            <w:shd w:val="clear" w:color="auto" w:fill="auto"/>
            <w:vAlign w:val="center"/>
            <w:hideMark/>
          </w:tcPr>
          <w:p w14:paraId="61106D6C"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 Retest</w:t>
            </w:r>
          </w:p>
        </w:tc>
        <w:tc>
          <w:tcPr>
            <w:tcW w:w="262" w:type="dxa"/>
            <w:tcBorders>
              <w:top w:val="nil"/>
              <w:left w:val="nil"/>
              <w:bottom w:val="single" w:sz="4" w:space="0" w:color="auto"/>
              <w:right w:val="nil"/>
            </w:tcBorders>
            <w:shd w:val="clear" w:color="000000" w:fill="000000"/>
            <w:vAlign w:val="center"/>
            <w:hideMark/>
          </w:tcPr>
          <w:p w14:paraId="61106D6D"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000000" w:fill="D8D8D8"/>
            <w:vAlign w:val="center"/>
            <w:hideMark/>
          </w:tcPr>
          <w:p w14:paraId="61106D6E"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736" w:type="dxa"/>
            <w:tcBorders>
              <w:top w:val="nil"/>
              <w:left w:val="nil"/>
              <w:bottom w:val="single" w:sz="4" w:space="0" w:color="auto"/>
              <w:right w:val="single" w:sz="8" w:space="0" w:color="auto"/>
            </w:tcBorders>
            <w:shd w:val="clear" w:color="000000" w:fill="D8D8D8"/>
            <w:vAlign w:val="center"/>
            <w:hideMark/>
          </w:tcPr>
          <w:p w14:paraId="61106D6F"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4" w:space="0" w:color="auto"/>
              <w:right w:val="nil"/>
            </w:tcBorders>
            <w:shd w:val="clear" w:color="000000" w:fill="000000"/>
            <w:vAlign w:val="center"/>
            <w:hideMark/>
          </w:tcPr>
          <w:p w14:paraId="61106D70"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nil"/>
              <w:bottom w:val="single" w:sz="4" w:space="0" w:color="auto"/>
              <w:right w:val="single" w:sz="4" w:space="0" w:color="auto"/>
            </w:tcBorders>
            <w:shd w:val="clear" w:color="000000" w:fill="D8D8D8"/>
            <w:vAlign w:val="center"/>
            <w:hideMark/>
          </w:tcPr>
          <w:p w14:paraId="61106D71"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2" w:type="dxa"/>
            <w:tcBorders>
              <w:top w:val="nil"/>
              <w:left w:val="nil"/>
              <w:bottom w:val="single" w:sz="4" w:space="0" w:color="auto"/>
              <w:right w:val="single" w:sz="8" w:space="0" w:color="auto"/>
            </w:tcBorders>
            <w:shd w:val="clear" w:color="000000" w:fill="D8D8D8"/>
            <w:vAlign w:val="center"/>
            <w:hideMark/>
          </w:tcPr>
          <w:p w14:paraId="61106D72"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r>
      <w:tr w:rsidR="00471E58" w:rsidRPr="007C1275" w14:paraId="61106D84" w14:textId="77777777" w:rsidTr="00AF16B9">
        <w:trPr>
          <w:trHeight w:val="825"/>
        </w:trPr>
        <w:tc>
          <w:tcPr>
            <w:tcW w:w="630" w:type="dxa"/>
            <w:tcBorders>
              <w:top w:val="nil"/>
              <w:left w:val="single" w:sz="8" w:space="0" w:color="auto"/>
              <w:bottom w:val="single" w:sz="4" w:space="0" w:color="auto"/>
              <w:right w:val="single" w:sz="8" w:space="0" w:color="auto"/>
            </w:tcBorders>
            <w:shd w:val="clear" w:color="auto" w:fill="auto"/>
            <w:vAlign w:val="center"/>
            <w:hideMark/>
          </w:tcPr>
          <w:p w14:paraId="61106D74"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2018</w:t>
            </w:r>
          </w:p>
        </w:tc>
        <w:tc>
          <w:tcPr>
            <w:tcW w:w="262" w:type="dxa"/>
            <w:tcBorders>
              <w:top w:val="nil"/>
              <w:left w:val="nil"/>
              <w:bottom w:val="single" w:sz="4" w:space="0" w:color="auto"/>
              <w:right w:val="nil"/>
            </w:tcBorders>
            <w:shd w:val="clear" w:color="000000" w:fill="000000"/>
            <w:vAlign w:val="center"/>
            <w:hideMark/>
          </w:tcPr>
          <w:p w14:paraId="61106D75"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76"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9</w:t>
            </w:r>
          </w:p>
        </w:tc>
        <w:tc>
          <w:tcPr>
            <w:tcW w:w="1320" w:type="dxa"/>
            <w:tcBorders>
              <w:top w:val="nil"/>
              <w:left w:val="nil"/>
              <w:bottom w:val="single" w:sz="4" w:space="0" w:color="auto"/>
              <w:right w:val="single" w:sz="8" w:space="0" w:color="auto"/>
            </w:tcBorders>
            <w:shd w:val="clear" w:color="auto" w:fill="auto"/>
            <w:vAlign w:val="center"/>
            <w:hideMark/>
          </w:tcPr>
          <w:p w14:paraId="61106D77"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xml:space="preserve">PARCC </w:t>
            </w:r>
            <w:r w:rsidR="00AF16B9">
              <w:rPr>
                <w:rFonts w:ascii="Calibri" w:hAnsi="Calibri"/>
                <w:snapToGrid/>
                <w:color w:val="000000"/>
                <w:sz w:val="20"/>
              </w:rPr>
              <w:t>C</w:t>
            </w:r>
            <w:r w:rsidRPr="007C1275">
              <w:rPr>
                <w:rFonts w:ascii="Calibri" w:hAnsi="Calibri"/>
                <w:snapToGrid/>
                <w:color w:val="000000"/>
                <w:sz w:val="20"/>
              </w:rPr>
              <w:t>hoice</w:t>
            </w:r>
          </w:p>
        </w:tc>
        <w:tc>
          <w:tcPr>
            <w:tcW w:w="262" w:type="dxa"/>
            <w:tcBorders>
              <w:top w:val="nil"/>
              <w:left w:val="nil"/>
              <w:bottom w:val="single" w:sz="4" w:space="0" w:color="auto"/>
              <w:right w:val="nil"/>
            </w:tcBorders>
            <w:shd w:val="clear" w:color="000000" w:fill="000000"/>
            <w:vAlign w:val="center"/>
            <w:hideMark/>
          </w:tcPr>
          <w:p w14:paraId="61106D78"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000000" w:fill="FFFF00"/>
            <w:vAlign w:val="center"/>
            <w:hideMark/>
          </w:tcPr>
          <w:p w14:paraId="61106D79"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10</w:t>
            </w:r>
          </w:p>
        </w:tc>
        <w:tc>
          <w:tcPr>
            <w:tcW w:w="736" w:type="dxa"/>
            <w:tcBorders>
              <w:top w:val="nil"/>
              <w:left w:val="nil"/>
              <w:bottom w:val="single" w:sz="4" w:space="0" w:color="auto"/>
              <w:right w:val="single" w:sz="8" w:space="0" w:color="auto"/>
            </w:tcBorders>
            <w:shd w:val="clear" w:color="000000" w:fill="FFFF00"/>
            <w:vAlign w:val="center"/>
            <w:hideMark/>
          </w:tcPr>
          <w:p w14:paraId="61106D7A"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w:t>
            </w:r>
            <w:r w:rsidR="00526AC8">
              <w:rPr>
                <w:rFonts w:ascii="Calibri" w:hAnsi="Calibri"/>
                <w:snapToGrid/>
                <w:color w:val="000000"/>
                <w:sz w:val="20"/>
              </w:rPr>
              <w:t>**</w:t>
            </w:r>
          </w:p>
        </w:tc>
        <w:tc>
          <w:tcPr>
            <w:tcW w:w="262" w:type="dxa"/>
            <w:tcBorders>
              <w:top w:val="nil"/>
              <w:left w:val="nil"/>
              <w:bottom w:val="single" w:sz="4" w:space="0" w:color="auto"/>
              <w:right w:val="nil"/>
            </w:tcBorders>
            <w:shd w:val="clear" w:color="000000" w:fill="000000"/>
            <w:vAlign w:val="center"/>
            <w:hideMark/>
          </w:tcPr>
          <w:p w14:paraId="61106D7B"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7C"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11</w:t>
            </w:r>
          </w:p>
        </w:tc>
        <w:tc>
          <w:tcPr>
            <w:tcW w:w="736" w:type="dxa"/>
            <w:tcBorders>
              <w:top w:val="nil"/>
              <w:left w:val="nil"/>
              <w:bottom w:val="single" w:sz="4" w:space="0" w:color="auto"/>
              <w:right w:val="single" w:sz="8" w:space="0" w:color="auto"/>
            </w:tcBorders>
            <w:shd w:val="clear" w:color="auto" w:fill="auto"/>
            <w:vAlign w:val="center"/>
            <w:hideMark/>
          </w:tcPr>
          <w:p w14:paraId="61106D7D"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 Retest</w:t>
            </w:r>
          </w:p>
        </w:tc>
        <w:tc>
          <w:tcPr>
            <w:tcW w:w="262" w:type="dxa"/>
            <w:tcBorders>
              <w:top w:val="nil"/>
              <w:left w:val="nil"/>
              <w:bottom w:val="single" w:sz="4" w:space="0" w:color="auto"/>
              <w:right w:val="nil"/>
            </w:tcBorders>
            <w:shd w:val="clear" w:color="000000" w:fill="000000"/>
            <w:vAlign w:val="center"/>
            <w:hideMark/>
          </w:tcPr>
          <w:p w14:paraId="61106D7E"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7F"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12</w:t>
            </w:r>
          </w:p>
        </w:tc>
        <w:tc>
          <w:tcPr>
            <w:tcW w:w="736" w:type="dxa"/>
            <w:tcBorders>
              <w:top w:val="nil"/>
              <w:left w:val="nil"/>
              <w:bottom w:val="single" w:sz="4" w:space="0" w:color="auto"/>
              <w:right w:val="single" w:sz="8" w:space="0" w:color="auto"/>
            </w:tcBorders>
            <w:shd w:val="clear" w:color="auto" w:fill="auto"/>
            <w:vAlign w:val="center"/>
            <w:hideMark/>
          </w:tcPr>
          <w:p w14:paraId="61106D80"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 Retest</w:t>
            </w:r>
          </w:p>
        </w:tc>
        <w:tc>
          <w:tcPr>
            <w:tcW w:w="262" w:type="dxa"/>
            <w:tcBorders>
              <w:top w:val="nil"/>
              <w:left w:val="nil"/>
              <w:bottom w:val="single" w:sz="4" w:space="0" w:color="auto"/>
              <w:right w:val="nil"/>
            </w:tcBorders>
            <w:shd w:val="clear" w:color="000000" w:fill="000000"/>
            <w:vAlign w:val="center"/>
            <w:hideMark/>
          </w:tcPr>
          <w:p w14:paraId="61106D81"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nil"/>
              <w:bottom w:val="single" w:sz="4" w:space="0" w:color="auto"/>
              <w:right w:val="single" w:sz="4" w:space="0" w:color="auto"/>
            </w:tcBorders>
            <w:shd w:val="clear" w:color="000000" w:fill="D8D8D8"/>
            <w:vAlign w:val="center"/>
            <w:hideMark/>
          </w:tcPr>
          <w:p w14:paraId="61106D82"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2" w:type="dxa"/>
            <w:tcBorders>
              <w:top w:val="nil"/>
              <w:left w:val="nil"/>
              <w:bottom w:val="single" w:sz="4" w:space="0" w:color="auto"/>
              <w:right w:val="single" w:sz="8" w:space="0" w:color="auto"/>
            </w:tcBorders>
            <w:shd w:val="clear" w:color="000000" w:fill="D8D8D8"/>
            <w:vAlign w:val="center"/>
            <w:hideMark/>
          </w:tcPr>
          <w:p w14:paraId="61106D83"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r>
      <w:tr w:rsidR="00471E58" w:rsidRPr="007C1275" w14:paraId="61106D95" w14:textId="77777777" w:rsidTr="00AF16B9">
        <w:trPr>
          <w:trHeight w:val="825"/>
        </w:trPr>
        <w:tc>
          <w:tcPr>
            <w:tcW w:w="630" w:type="dxa"/>
            <w:tcBorders>
              <w:top w:val="nil"/>
              <w:left w:val="single" w:sz="8" w:space="0" w:color="auto"/>
              <w:bottom w:val="single" w:sz="4" w:space="0" w:color="auto"/>
              <w:right w:val="single" w:sz="8" w:space="0" w:color="auto"/>
            </w:tcBorders>
            <w:shd w:val="clear" w:color="auto" w:fill="auto"/>
            <w:vAlign w:val="center"/>
            <w:hideMark/>
          </w:tcPr>
          <w:p w14:paraId="61106D85"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2019</w:t>
            </w:r>
          </w:p>
        </w:tc>
        <w:tc>
          <w:tcPr>
            <w:tcW w:w="262" w:type="dxa"/>
            <w:tcBorders>
              <w:top w:val="nil"/>
              <w:left w:val="nil"/>
              <w:bottom w:val="single" w:sz="4" w:space="0" w:color="auto"/>
              <w:right w:val="nil"/>
            </w:tcBorders>
            <w:shd w:val="clear" w:color="000000" w:fill="000000"/>
            <w:vAlign w:val="center"/>
            <w:hideMark/>
          </w:tcPr>
          <w:p w14:paraId="61106D86"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87"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8</w:t>
            </w:r>
          </w:p>
        </w:tc>
        <w:tc>
          <w:tcPr>
            <w:tcW w:w="1320" w:type="dxa"/>
            <w:tcBorders>
              <w:top w:val="nil"/>
              <w:left w:val="nil"/>
              <w:bottom w:val="single" w:sz="4" w:space="0" w:color="auto"/>
              <w:right w:val="single" w:sz="8" w:space="0" w:color="auto"/>
            </w:tcBorders>
            <w:shd w:val="clear" w:color="auto" w:fill="auto"/>
            <w:vAlign w:val="center"/>
            <w:hideMark/>
          </w:tcPr>
          <w:p w14:paraId="61106D88"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MCAS/PARCC Choice</w:t>
            </w:r>
          </w:p>
        </w:tc>
        <w:tc>
          <w:tcPr>
            <w:tcW w:w="262" w:type="dxa"/>
            <w:tcBorders>
              <w:top w:val="nil"/>
              <w:left w:val="nil"/>
              <w:bottom w:val="single" w:sz="4" w:space="0" w:color="auto"/>
              <w:right w:val="nil"/>
            </w:tcBorders>
            <w:shd w:val="clear" w:color="000000" w:fill="000000"/>
            <w:vAlign w:val="center"/>
            <w:hideMark/>
          </w:tcPr>
          <w:p w14:paraId="61106D89"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8A"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9</w:t>
            </w:r>
          </w:p>
        </w:tc>
        <w:tc>
          <w:tcPr>
            <w:tcW w:w="736" w:type="dxa"/>
            <w:tcBorders>
              <w:top w:val="nil"/>
              <w:left w:val="nil"/>
              <w:bottom w:val="single" w:sz="4" w:space="0" w:color="auto"/>
              <w:right w:val="single" w:sz="8" w:space="0" w:color="auto"/>
            </w:tcBorders>
            <w:shd w:val="clear" w:color="auto" w:fill="auto"/>
            <w:vAlign w:val="center"/>
            <w:hideMark/>
          </w:tcPr>
          <w:p w14:paraId="61106D8B"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4" w:space="0" w:color="auto"/>
              <w:right w:val="nil"/>
            </w:tcBorders>
            <w:shd w:val="clear" w:color="000000" w:fill="000000"/>
            <w:vAlign w:val="center"/>
            <w:hideMark/>
          </w:tcPr>
          <w:p w14:paraId="61106D8C"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000000" w:fill="FCD5B4"/>
            <w:vAlign w:val="center"/>
            <w:hideMark/>
          </w:tcPr>
          <w:p w14:paraId="61106D8D"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10</w:t>
            </w:r>
            <w:r w:rsidR="00526AC8">
              <w:rPr>
                <w:rFonts w:ascii="Calibri" w:hAnsi="Calibri"/>
                <w:snapToGrid/>
                <w:color w:val="000000"/>
                <w:sz w:val="20"/>
              </w:rPr>
              <w:t>***</w:t>
            </w:r>
          </w:p>
        </w:tc>
        <w:tc>
          <w:tcPr>
            <w:tcW w:w="736" w:type="dxa"/>
            <w:tcBorders>
              <w:top w:val="nil"/>
              <w:left w:val="nil"/>
              <w:bottom w:val="single" w:sz="4" w:space="0" w:color="auto"/>
              <w:right w:val="single" w:sz="8" w:space="0" w:color="auto"/>
            </w:tcBorders>
            <w:shd w:val="clear" w:color="000000" w:fill="FCD5B4"/>
            <w:vAlign w:val="center"/>
            <w:hideMark/>
          </w:tcPr>
          <w:p w14:paraId="61106D8E"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4" w:space="0" w:color="auto"/>
              <w:right w:val="nil"/>
            </w:tcBorders>
            <w:shd w:val="clear" w:color="000000" w:fill="000000"/>
            <w:vAlign w:val="center"/>
            <w:hideMark/>
          </w:tcPr>
          <w:p w14:paraId="61106D8F"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4" w:space="0" w:color="auto"/>
              <w:right w:val="single" w:sz="4" w:space="0" w:color="auto"/>
            </w:tcBorders>
            <w:shd w:val="clear" w:color="auto" w:fill="auto"/>
            <w:vAlign w:val="center"/>
            <w:hideMark/>
          </w:tcPr>
          <w:p w14:paraId="61106D90"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11</w:t>
            </w:r>
          </w:p>
        </w:tc>
        <w:tc>
          <w:tcPr>
            <w:tcW w:w="736" w:type="dxa"/>
            <w:tcBorders>
              <w:top w:val="nil"/>
              <w:left w:val="nil"/>
              <w:bottom w:val="single" w:sz="4" w:space="0" w:color="auto"/>
              <w:right w:val="single" w:sz="8" w:space="0" w:color="auto"/>
            </w:tcBorders>
            <w:shd w:val="clear" w:color="auto" w:fill="auto"/>
            <w:vAlign w:val="center"/>
            <w:hideMark/>
          </w:tcPr>
          <w:p w14:paraId="61106D91"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4" w:space="0" w:color="auto"/>
              <w:right w:val="nil"/>
            </w:tcBorders>
            <w:shd w:val="clear" w:color="000000" w:fill="000000"/>
            <w:vAlign w:val="center"/>
            <w:hideMark/>
          </w:tcPr>
          <w:p w14:paraId="61106D92"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nil"/>
              <w:bottom w:val="single" w:sz="4" w:space="0" w:color="auto"/>
              <w:right w:val="single" w:sz="4" w:space="0" w:color="auto"/>
            </w:tcBorders>
            <w:shd w:val="clear" w:color="auto" w:fill="auto"/>
            <w:vAlign w:val="center"/>
            <w:hideMark/>
          </w:tcPr>
          <w:p w14:paraId="61106D93"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12</w:t>
            </w:r>
          </w:p>
        </w:tc>
        <w:tc>
          <w:tcPr>
            <w:tcW w:w="682" w:type="dxa"/>
            <w:tcBorders>
              <w:top w:val="nil"/>
              <w:left w:val="nil"/>
              <w:bottom w:val="single" w:sz="4" w:space="0" w:color="auto"/>
              <w:right w:val="single" w:sz="8" w:space="0" w:color="auto"/>
            </w:tcBorders>
            <w:shd w:val="clear" w:color="auto" w:fill="auto"/>
            <w:vAlign w:val="center"/>
            <w:hideMark/>
          </w:tcPr>
          <w:p w14:paraId="61106D94"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r>
      <w:tr w:rsidR="00471E58" w:rsidRPr="007C1275" w14:paraId="61106DA6" w14:textId="77777777" w:rsidTr="00AF16B9">
        <w:trPr>
          <w:trHeight w:val="825"/>
        </w:trPr>
        <w:tc>
          <w:tcPr>
            <w:tcW w:w="630" w:type="dxa"/>
            <w:tcBorders>
              <w:top w:val="nil"/>
              <w:left w:val="single" w:sz="8" w:space="0" w:color="auto"/>
              <w:bottom w:val="single" w:sz="8" w:space="0" w:color="auto"/>
              <w:right w:val="single" w:sz="8" w:space="0" w:color="auto"/>
            </w:tcBorders>
            <w:shd w:val="clear" w:color="auto" w:fill="auto"/>
            <w:vAlign w:val="center"/>
            <w:hideMark/>
          </w:tcPr>
          <w:p w14:paraId="61106D96"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2020</w:t>
            </w:r>
          </w:p>
        </w:tc>
        <w:tc>
          <w:tcPr>
            <w:tcW w:w="262" w:type="dxa"/>
            <w:tcBorders>
              <w:top w:val="nil"/>
              <w:left w:val="nil"/>
              <w:bottom w:val="single" w:sz="8" w:space="0" w:color="auto"/>
              <w:right w:val="nil"/>
            </w:tcBorders>
            <w:shd w:val="clear" w:color="000000" w:fill="000000"/>
            <w:vAlign w:val="center"/>
            <w:hideMark/>
          </w:tcPr>
          <w:p w14:paraId="61106D97" w14:textId="77777777" w:rsidR="007C1275" w:rsidRPr="007C1275" w:rsidRDefault="007C1275" w:rsidP="007C1275">
            <w:pPr>
              <w:widowControl/>
              <w:jc w:val="center"/>
              <w:rPr>
                <w:rFonts w:ascii="Calibri" w:hAnsi="Calibri"/>
                <w:b/>
                <w:bCs/>
                <w:snapToGrid/>
                <w:color w:val="000000"/>
                <w:sz w:val="20"/>
              </w:rPr>
            </w:pPr>
            <w:r w:rsidRPr="007C1275">
              <w:rPr>
                <w:rFonts w:ascii="Calibri" w:hAnsi="Calibri"/>
                <w:b/>
                <w:bCs/>
                <w:snapToGrid/>
                <w:color w:val="000000"/>
                <w:sz w:val="20"/>
              </w:rPr>
              <w:t> </w:t>
            </w:r>
          </w:p>
        </w:tc>
        <w:tc>
          <w:tcPr>
            <w:tcW w:w="681" w:type="dxa"/>
            <w:tcBorders>
              <w:top w:val="nil"/>
              <w:left w:val="single" w:sz="8" w:space="0" w:color="auto"/>
              <w:bottom w:val="single" w:sz="8" w:space="0" w:color="auto"/>
              <w:right w:val="single" w:sz="4" w:space="0" w:color="auto"/>
            </w:tcBorders>
            <w:shd w:val="clear" w:color="auto" w:fill="auto"/>
            <w:vAlign w:val="center"/>
            <w:hideMark/>
          </w:tcPr>
          <w:p w14:paraId="61106D98"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7</w:t>
            </w:r>
          </w:p>
        </w:tc>
        <w:tc>
          <w:tcPr>
            <w:tcW w:w="1320" w:type="dxa"/>
            <w:tcBorders>
              <w:top w:val="nil"/>
              <w:left w:val="nil"/>
              <w:bottom w:val="single" w:sz="8" w:space="0" w:color="auto"/>
              <w:right w:val="single" w:sz="8" w:space="0" w:color="auto"/>
            </w:tcBorders>
            <w:shd w:val="clear" w:color="auto" w:fill="auto"/>
            <w:vAlign w:val="center"/>
            <w:hideMark/>
          </w:tcPr>
          <w:p w14:paraId="61106D99"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MCAS/PARCC Choice</w:t>
            </w:r>
          </w:p>
        </w:tc>
        <w:tc>
          <w:tcPr>
            <w:tcW w:w="262" w:type="dxa"/>
            <w:tcBorders>
              <w:top w:val="nil"/>
              <w:left w:val="nil"/>
              <w:bottom w:val="single" w:sz="8" w:space="0" w:color="auto"/>
              <w:right w:val="nil"/>
            </w:tcBorders>
            <w:shd w:val="clear" w:color="000000" w:fill="000000"/>
            <w:vAlign w:val="center"/>
            <w:hideMark/>
          </w:tcPr>
          <w:p w14:paraId="61106D9A"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8" w:space="0" w:color="auto"/>
              <w:right w:val="single" w:sz="4" w:space="0" w:color="auto"/>
            </w:tcBorders>
            <w:shd w:val="clear" w:color="auto" w:fill="auto"/>
            <w:vAlign w:val="center"/>
            <w:hideMark/>
          </w:tcPr>
          <w:p w14:paraId="61106D9B"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8</w:t>
            </w:r>
          </w:p>
        </w:tc>
        <w:tc>
          <w:tcPr>
            <w:tcW w:w="736" w:type="dxa"/>
            <w:tcBorders>
              <w:top w:val="nil"/>
              <w:left w:val="nil"/>
              <w:bottom w:val="single" w:sz="8" w:space="0" w:color="auto"/>
              <w:right w:val="single" w:sz="8" w:space="0" w:color="auto"/>
            </w:tcBorders>
            <w:shd w:val="clear" w:color="auto" w:fill="auto"/>
            <w:vAlign w:val="center"/>
            <w:hideMark/>
          </w:tcPr>
          <w:p w14:paraId="61106D9C"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8" w:space="0" w:color="auto"/>
              <w:right w:val="nil"/>
            </w:tcBorders>
            <w:shd w:val="clear" w:color="000000" w:fill="000000"/>
            <w:vAlign w:val="center"/>
            <w:hideMark/>
          </w:tcPr>
          <w:p w14:paraId="61106D9D"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8" w:space="0" w:color="auto"/>
              <w:right w:val="single" w:sz="4" w:space="0" w:color="auto"/>
            </w:tcBorders>
            <w:shd w:val="clear" w:color="auto" w:fill="auto"/>
            <w:vAlign w:val="center"/>
            <w:hideMark/>
          </w:tcPr>
          <w:p w14:paraId="61106D9E"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9</w:t>
            </w:r>
          </w:p>
        </w:tc>
        <w:tc>
          <w:tcPr>
            <w:tcW w:w="736" w:type="dxa"/>
            <w:tcBorders>
              <w:top w:val="nil"/>
              <w:left w:val="nil"/>
              <w:bottom w:val="single" w:sz="8" w:space="0" w:color="auto"/>
              <w:right w:val="single" w:sz="8" w:space="0" w:color="auto"/>
            </w:tcBorders>
            <w:shd w:val="clear" w:color="auto" w:fill="auto"/>
            <w:vAlign w:val="center"/>
            <w:hideMark/>
          </w:tcPr>
          <w:p w14:paraId="61106D9F"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8" w:space="0" w:color="auto"/>
              <w:right w:val="nil"/>
            </w:tcBorders>
            <w:shd w:val="clear" w:color="000000" w:fill="000000"/>
            <w:vAlign w:val="center"/>
            <w:hideMark/>
          </w:tcPr>
          <w:p w14:paraId="61106DA0"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single" w:sz="8" w:space="0" w:color="auto"/>
              <w:bottom w:val="single" w:sz="8" w:space="0" w:color="auto"/>
              <w:right w:val="single" w:sz="4" w:space="0" w:color="auto"/>
            </w:tcBorders>
            <w:shd w:val="clear" w:color="000000" w:fill="FFFF00"/>
            <w:vAlign w:val="center"/>
            <w:hideMark/>
          </w:tcPr>
          <w:p w14:paraId="61106DA1"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10</w:t>
            </w:r>
            <w:r w:rsidR="00526AC8">
              <w:rPr>
                <w:rFonts w:ascii="Calibri" w:hAnsi="Calibri"/>
                <w:snapToGrid/>
                <w:color w:val="000000"/>
                <w:sz w:val="20"/>
              </w:rPr>
              <w:t>**</w:t>
            </w:r>
          </w:p>
        </w:tc>
        <w:tc>
          <w:tcPr>
            <w:tcW w:w="736" w:type="dxa"/>
            <w:tcBorders>
              <w:top w:val="nil"/>
              <w:left w:val="nil"/>
              <w:bottom w:val="single" w:sz="8" w:space="0" w:color="auto"/>
              <w:right w:val="single" w:sz="8" w:space="0" w:color="auto"/>
            </w:tcBorders>
            <w:shd w:val="clear" w:color="000000" w:fill="FFFF00"/>
            <w:vAlign w:val="center"/>
            <w:hideMark/>
          </w:tcPr>
          <w:p w14:paraId="61106DA2"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262" w:type="dxa"/>
            <w:tcBorders>
              <w:top w:val="nil"/>
              <w:left w:val="nil"/>
              <w:bottom w:val="single" w:sz="8" w:space="0" w:color="auto"/>
              <w:right w:val="nil"/>
            </w:tcBorders>
            <w:shd w:val="clear" w:color="000000" w:fill="000000"/>
            <w:vAlign w:val="center"/>
            <w:hideMark/>
          </w:tcPr>
          <w:p w14:paraId="61106DA3"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c>
          <w:tcPr>
            <w:tcW w:w="681" w:type="dxa"/>
            <w:tcBorders>
              <w:top w:val="nil"/>
              <w:left w:val="nil"/>
              <w:bottom w:val="single" w:sz="8" w:space="0" w:color="auto"/>
              <w:right w:val="single" w:sz="4" w:space="0" w:color="auto"/>
            </w:tcBorders>
            <w:shd w:val="clear" w:color="auto" w:fill="auto"/>
            <w:vAlign w:val="center"/>
            <w:hideMark/>
          </w:tcPr>
          <w:p w14:paraId="61106DA4"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11</w:t>
            </w:r>
          </w:p>
        </w:tc>
        <w:tc>
          <w:tcPr>
            <w:tcW w:w="682" w:type="dxa"/>
            <w:tcBorders>
              <w:top w:val="nil"/>
              <w:left w:val="nil"/>
              <w:bottom w:val="single" w:sz="8" w:space="0" w:color="auto"/>
              <w:right w:val="single" w:sz="8" w:space="0" w:color="auto"/>
            </w:tcBorders>
            <w:shd w:val="clear" w:color="auto" w:fill="auto"/>
            <w:vAlign w:val="center"/>
            <w:hideMark/>
          </w:tcPr>
          <w:p w14:paraId="61106DA5" w14:textId="77777777" w:rsidR="007C1275" w:rsidRPr="007C1275" w:rsidRDefault="007C1275" w:rsidP="007C1275">
            <w:pPr>
              <w:widowControl/>
              <w:jc w:val="center"/>
              <w:rPr>
                <w:rFonts w:ascii="Calibri" w:hAnsi="Calibri"/>
                <w:snapToGrid/>
                <w:color w:val="000000"/>
                <w:sz w:val="20"/>
              </w:rPr>
            </w:pPr>
            <w:r w:rsidRPr="007C1275">
              <w:rPr>
                <w:rFonts w:ascii="Calibri" w:hAnsi="Calibri"/>
                <w:snapToGrid/>
                <w:color w:val="000000"/>
                <w:sz w:val="20"/>
              </w:rPr>
              <w:t> </w:t>
            </w:r>
          </w:p>
        </w:tc>
      </w:tr>
    </w:tbl>
    <w:p w14:paraId="61106DA7" w14:textId="77777777" w:rsidR="00F079B8" w:rsidRDefault="007C1275">
      <w:pPr>
        <w:rPr>
          <w:b/>
          <w:sz w:val="20"/>
        </w:rPr>
      </w:pPr>
      <w:r w:rsidRPr="007C1275">
        <w:rPr>
          <w:b/>
          <w:sz w:val="20"/>
        </w:rPr>
        <w:t>*Fall of 2015: B</w:t>
      </w:r>
      <w:r w:rsidR="00B87D79">
        <w:rPr>
          <w:b/>
          <w:sz w:val="20"/>
        </w:rPr>
        <w:t xml:space="preserve">oard of Elementary and Secondary Education </w:t>
      </w:r>
      <w:r w:rsidRPr="007C1275">
        <w:rPr>
          <w:b/>
          <w:sz w:val="20"/>
        </w:rPr>
        <w:t>votes on PARCC Adoption</w:t>
      </w:r>
    </w:p>
    <w:p w14:paraId="61106DA8" w14:textId="77777777" w:rsidR="00526AC8" w:rsidRPr="00526AC8" w:rsidRDefault="00526AC8">
      <w:pPr>
        <w:rPr>
          <w:b/>
          <w:sz w:val="20"/>
        </w:rPr>
      </w:pPr>
      <w:r w:rsidRPr="00526AC8">
        <w:rPr>
          <w:b/>
          <w:sz w:val="20"/>
        </w:rPr>
        <w:lastRenderedPageBreak/>
        <w:t>** Competency Determination year</w:t>
      </w:r>
    </w:p>
    <w:p w14:paraId="61106DA9" w14:textId="77777777" w:rsidR="00526AC8" w:rsidRPr="00526AC8" w:rsidRDefault="00526AC8">
      <w:pPr>
        <w:rPr>
          <w:b/>
          <w:sz w:val="20"/>
        </w:rPr>
      </w:pPr>
      <w:r w:rsidRPr="00526AC8">
        <w:rPr>
          <w:b/>
          <w:sz w:val="20"/>
        </w:rPr>
        <w:t>***  Decision point for the class of 2019</w:t>
      </w:r>
    </w:p>
    <w:p w14:paraId="61106DAA" w14:textId="77777777" w:rsidR="00526AC8" w:rsidRDefault="00526AC8">
      <w:pPr>
        <w:rPr>
          <w:szCs w:val="24"/>
        </w:rPr>
      </w:pPr>
    </w:p>
    <w:sectPr w:rsidR="00526AC8" w:rsidSect="00B87D79">
      <w:endnotePr>
        <w:numFmt w:val="decimal"/>
      </w:endnotePr>
      <w:type w:val="continuous"/>
      <w:pgSz w:w="12240" w:h="15840" w:code="1"/>
      <w:pgMar w:top="1440" w:right="1296" w:bottom="1152" w:left="1296" w:header="1440" w:footer="576"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06DB0" w14:textId="77777777" w:rsidR="00F324BD" w:rsidRDefault="00F324BD">
      <w:r>
        <w:separator/>
      </w:r>
    </w:p>
  </w:endnote>
  <w:endnote w:type="continuationSeparator" w:id="0">
    <w:p w14:paraId="61106DB1" w14:textId="77777777" w:rsidR="00F324BD" w:rsidRDefault="00F3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6DB2" w14:textId="77777777" w:rsidR="00E30B67" w:rsidRDefault="001C7D22">
    <w:pPr>
      <w:pStyle w:val="Footer"/>
      <w:framePr w:wrap="around" w:vAnchor="text" w:hAnchor="margin" w:xAlign="right" w:y="1"/>
      <w:rPr>
        <w:rStyle w:val="PageNumber"/>
      </w:rPr>
    </w:pPr>
    <w:r>
      <w:rPr>
        <w:rStyle w:val="PageNumber"/>
      </w:rPr>
      <w:fldChar w:fldCharType="begin"/>
    </w:r>
    <w:r w:rsidR="00E30B67">
      <w:rPr>
        <w:rStyle w:val="PageNumber"/>
      </w:rPr>
      <w:instrText xml:space="preserve">PAGE  </w:instrText>
    </w:r>
    <w:r>
      <w:rPr>
        <w:rStyle w:val="PageNumber"/>
      </w:rPr>
      <w:fldChar w:fldCharType="end"/>
    </w:r>
  </w:p>
  <w:p w14:paraId="61106DB3" w14:textId="77777777" w:rsidR="00E30B67" w:rsidRDefault="00E30B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6DB4" w14:textId="77777777" w:rsidR="00E30B67" w:rsidRDefault="001C7D22">
    <w:pPr>
      <w:pStyle w:val="Footer"/>
      <w:jc w:val="right"/>
    </w:pPr>
    <w:r>
      <w:fldChar w:fldCharType="begin"/>
    </w:r>
    <w:r w:rsidR="00E30B67">
      <w:instrText xml:space="preserve"> PAGE   \* MERGEFORMAT </w:instrText>
    </w:r>
    <w:r>
      <w:fldChar w:fldCharType="separate"/>
    </w:r>
    <w:r w:rsidR="005F1EBF">
      <w:rPr>
        <w:noProof/>
      </w:rPr>
      <w:t>2</w:t>
    </w:r>
    <w:r>
      <w:rPr>
        <w:noProof/>
      </w:rPr>
      <w:fldChar w:fldCharType="end"/>
    </w:r>
  </w:p>
  <w:p w14:paraId="61106DB5" w14:textId="77777777" w:rsidR="00E30B67" w:rsidRDefault="00E30B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06DAE" w14:textId="77777777" w:rsidR="00F324BD" w:rsidRDefault="00F324BD">
      <w:r>
        <w:separator/>
      </w:r>
    </w:p>
  </w:footnote>
  <w:footnote w:type="continuationSeparator" w:id="0">
    <w:p w14:paraId="61106DAF" w14:textId="77777777" w:rsidR="00F324BD" w:rsidRDefault="00F32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07B9E"/>
    <w:multiLevelType w:val="hybridMultilevel"/>
    <w:tmpl w:val="BE3A38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4">
    <w:nsid w:val="1D7D7C12"/>
    <w:multiLevelType w:val="hybridMultilevel"/>
    <w:tmpl w:val="421C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F15C5"/>
    <w:multiLevelType w:val="hybridMultilevel"/>
    <w:tmpl w:val="B1689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80382"/>
    <w:multiLevelType w:val="hybridMultilevel"/>
    <w:tmpl w:val="A2B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274DB"/>
    <w:multiLevelType w:val="hybridMultilevel"/>
    <w:tmpl w:val="AB9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2">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5F14B86"/>
    <w:multiLevelType w:val="hybridMultilevel"/>
    <w:tmpl w:val="4F56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1E147F"/>
    <w:multiLevelType w:val="multilevel"/>
    <w:tmpl w:val="0BFABD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6B421DAE"/>
    <w:multiLevelType w:val="multilevel"/>
    <w:tmpl w:val="A55EA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078C5"/>
    <w:multiLevelType w:val="hybridMultilevel"/>
    <w:tmpl w:val="E5D81618"/>
    <w:lvl w:ilvl="0" w:tplc="1930990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2"/>
  </w:num>
  <w:num w:numId="3">
    <w:abstractNumId w:val="0"/>
  </w:num>
  <w:num w:numId="4">
    <w:abstractNumId w:val="16"/>
  </w:num>
  <w:num w:numId="5">
    <w:abstractNumId w:val="15"/>
  </w:num>
  <w:num w:numId="6">
    <w:abstractNumId w:val="1"/>
  </w:num>
  <w:num w:numId="7">
    <w:abstractNumId w:val="11"/>
  </w:num>
  <w:num w:numId="8">
    <w:abstractNumId w:val="13"/>
  </w:num>
  <w:num w:numId="9">
    <w:abstractNumId w:val="6"/>
  </w:num>
  <w:num w:numId="10">
    <w:abstractNumId w:val="17"/>
  </w:num>
  <w:num w:numId="11">
    <w:abstractNumId w:val="2"/>
  </w:num>
  <w:num w:numId="12">
    <w:abstractNumId w:val="10"/>
  </w:num>
  <w:num w:numId="13">
    <w:abstractNumId w:val="9"/>
  </w:num>
  <w:num w:numId="14">
    <w:abstractNumId w:val="19"/>
  </w:num>
  <w:num w:numId="15">
    <w:abstractNumId w:val="20"/>
  </w:num>
  <w:num w:numId="16">
    <w:abstractNumId w:val="7"/>
  </w:num>
  <w:num w:numId="17">
    <w:abstractNumId w:val="8"/>
  </w:num>
  <w:num w:numId="18">
    <w:abstractNumId w:val="4"/>
  </w:num>
  <w:num w:numId="19">
    <w:abstractNumId w:val="5"/>
  </w:num>
  <w:num w:numId="20">
    <w:abstractNumId w:val="14"/>
  </w:num>
  <w:num w:numId="21">
    <w:abstractNumId w:val="3"/>
  </w:num>
  <w:num w:numId="22">
    <w:abstractNumId w:val="3"/>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2D"/>
    <w:rsid w:val="00001329"/>
    <w:rsid w:val="000063B9"/>
    <w:rsid w:val="000072AA"/>
    <w:rsid w:val="0001606C"/>
    <w:rsid w:val="0002643E"/>
    <w:rsid w:val="00027086"/>
    <w:rsid w:val="00030DD3"/>
    <w:rsid w:val="00034C92"/>
    <w:rsid w:val="00043474"/>
    <w:rsid w:val="00047684"/>
    <w:rsid w:val="00052B9E"/>
    <w:rsid w:val="00053AA3"/>
    <w:rsid w:val="00055A3D"/>
    <w:rsid w:val="00056B96"/>
    <w:rsid w:val="00063782"/>
    <w:rsid w:val="0007158E"/>
    <w:rsid w:val="0007250C"/>
    <w:rsid w:val="00077595"/>
    <w:rsid w:val="0008487B"/>
    <w:rsid w:val="000853D9"/>
    <w:rsid w:val="00090BBA"/>
    <w:rsid w:val="00097A70"/>
    <w:rsid w:val="000A0B86"/>
    <w:rsid w:val="000A1302"/>
    <w:rsid w:val="000A5AA5"/>
    <w:rsid w:val="000A5B7E"/>
    <w:rsid w:val="000B2C99"/>
    <w:rsid w:val="000B33E7"/>
    <w:rsid w:val="000B63DE"/>
    <w:rsid w:val="000B6697"/>
    <w:rsid w:val="000C427B"/>
    <w:rsid w:val="000D052C"/>
    <w:rsid w:val="000E1B88"/>
    <w:rsid w:val="000E1DFE"/>
    <w:rsid w:val="000E3F4E"/>
    <w:rsid w:val="000E3F88"/>
    <w:rsid w:val="000E6832"/>
    <w:rsid w:val="000F7EAB"/>
    <w:rsid w:val="00102267"/>
    <w:rsid w:val="00103AB9"/>
    <w:rsid w:val="00106D61"/>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2D24"/>
    <w:rsid w:val="001A4CA9"/>
    <w:rsid w:val="001B167D"/>
    <w:rsid w:val="001B3A5F"/>
    <w:rsid w:val="001B71EB"/>
    <w:rsid w:val="001C2471"/>
    <w:rsid w:val="001C2712"/>
    <w:rsid w:val="001C3BE3"/>
    <w:rsid w:val="001C7D22"/>
    <w:rsid w:val="001D5E40"/>
    <w:rsid w:val="001D7ECC"/>
    <w:rsid w:val="001E0FC4"/>
    <w:rsid w:val="001E111C"/>
    <w:rsid w:val="001F01C9"/>
    <w:rsid w:val="001F1874"/>
    <w:rsid w:val="001F26EB"/>
    <w:rsid w:val="001F76FC"/>
    <w:rsid w:val="00202DBD"/>
    <w:rsid w:val="002049E8"/>
    <w:rsid w:val="002123AB"/>
    <w:rsid w:val="002150AA"/>
    <w:rsid w:val="00215989"/>
    <w:rsid w:val="00226754"/>
    <w:rsid w:val="00227D7E"/>
    <w:rsid w:val="0023149B"/>
    <w:rsid w:val="00237924"/>
    <w:rsid w:val="002425E3"/>
    <w:rsid w:val="00246035"/>
    <w:rsid w:val="0025000B"/>
    <w:rsid w:val="00261E31"/>
    <w:rsid w:val="00262458"/>
    <w:rsid w:val="00262C18"/>
    <w:rsid w:val="0026636C"/>
    <w:rsid w:val="0026673E"/>
    <w:rsid w:val="002673FE"/>
    <w:rsid w:val="00271AC1"/>
    <w:rsid w:val="0027262E"/>
    <w:rsid w:val="0027294B"/>
    <w:rsid w:val="002845F8"/>
    <w:rsid w:val="00292F0D"/>
    <w:rsid w:val="002A70A7"/>
    <w:rsid w:val="002B014B"/>
    <w:rsid w:val="002B359D"/>
    <w:rsid w:val="002C2E4F"/>
    <w:rsid w:val="002C337A"/>
    <w:rsid w:val="002C7591"/>
    <w:rsid w:val="002D1039"/>
    <w:rsid w:val="002E102C"/>
    <w:rsid w:val="002E41B2"/>
    <w:rsid w:val="002E51BC"/>
    <w:rsid w:val="002F061C"/>
    <w:rsid w:val="002F3284"/>
    <w:rsid w:val="002F71C2"/>
    <w:rsid w:val="00305463"/>
    <w:rsid w:val="00307527"/>
    <w:rsid w:val="003149DE"/>
    <w:rsid w:val="00317064"/>
    <w:rsid w:val="00324E4C"/>
    <w:rsid w:val="00330A7E"/>
    <w:rsid w:val="00334D40"/>
    <w:rsid w:val="00335770"/>
    <w:rsid w:val="00353491"/>
    <w:rsid w:val="00356545"/>
    <w:rsid w:val="003625A9"/>
    <w:rsid w:val="003641D0"/>
    <w:rsid w:val="00364FF1"/>
    <w:rsid w:val="0037790E"/>
    <w:rsid w:val="003833B1"/>
    <w:rsid w:val="00387541"/>
    <w:rsid w:val="003906C7"/>
    <w:rsid w:val="00391E0B"/>
    <w:rsid w:val="0039463A"/>
    <w:rsid w:val="00396344"/>
    <w:rsid w:val="003A17FE"/>
    <w:rsid w:val="003B31F6"/>
    <w:rsid w:val="003B4529"/>
    <w:rsid w:val="003C09FF"/>
    <w:rsid w:val="003C7113"/>
    <w:rsid w:val="003D5981"/>
    <w:rsid w:val="003E2E9E"/>
    <w:rsid w:val="003E34D1"/>
    <w:rsid w:val="003F2098"/>
    <w:rsid w:val="003F45CB"/>
    <w:rsid w:val="004066EF"/>
    <w:rsid w:val="004117E5"/>
    <w:rsid w:val="0041711A"/>
    <w:rsid w:val="0041778C"/>
    <w:rsid w:val="00432013"/>
    <w:rsid w:val="004320BB"/>
    <w:rsid w:val="004323E2"/>
    <w:rsid w:val="004357BF"/>
    <w:rsid w:val="004412C3"/>
    <w:rsid w:val="00441A20"/>
    <w:rsid w:val="0044226F"/>
    <w:rsid w:val="00442A7F"/>
    <w:rsid w:val="004528BB"/>
    <w:rsid w:val="00456F6B"/>
    <w:rsid w:val="00460249"/>
    <w:rsid w:val="004628FA"/>
    <w:rsid w:val="00463CF6"/>
    <w:rsid w:val="00467314"/>
    <w:rsid w:val="00471E58"/>
    <w:rsid w:val="00472450"/>
    <w:rsid w:val="00483A49"/>
    <w:rsid w:val="004864C6"/>
    <w:rsid w:val="00486520"/>
    <w:rsid w:val="0049108E"/>
    <w:rsid w:val="0049178A"/>
    <w:rsid w:val="00491797"/>
    <w:rsid w:val="00491C66"/>
    <w:rsid w:val="00497E17"/>
    <w:rsid w:val="004A16E4"/>
    <w:rsid w:val="004A2086"/>
    <w:rsid w:val="004A2E51"/>
    <w:rsid w:val="004A3523"/>
    <w:rsid w:val="004A3B5C"/>
    <w:rsid w:val="004A46FF"/>
    <w:rsid w:val="004A5CA3"/>
    <w:rsid w:val="004B1A61"/>
    <w:rsid w:val="004C33BC"/>
    <w:rsid w:val="004D18E2"/>
    <w:rsid w:val="004D1CC7"/>
    <w:rsid w:val="004D2EA3"/>
    <w:rsid w:val="004D7E25"/>
    <w:rsid w:val="004E02B6"/>
    <w:rsid w:val="004E295A"/>
    <w:rsid w:val="004E7FFB"/>
    <w:rsid w:val="004F377F"/>
    <w:rsid w:val="00512093"/>
    <w:rsid w:val="00512A29"/>
    <w:rsid w:val="00526AC8"/>
    <w:rsid w:val="00526BBE"/>
    <w:rsid w:val="00531C9F"/>
    <w:rsid w:val="00534010"/>
    <w:rsid w:val="00540887"/>
    <w:rsid w:val="00550075"/>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1738"/>
    <w:rsid w:val="005C42DA"/>
    <w:rsid w:val="005E2191"/>
    <w:rsid w:val="005E32E7"/>
    <w:rsid w:val="005E4844"/>
    <w:rsid w:val="005E5D8E"/>
    <w:rsid w:val="005E67A9"/>
    <w:rsid w:val="005F1874"/>
    <w:rsid w:val="005F1EBF"/>
    <w:rsid w:val="00606ED9"/>
    <w:rsid w:val="00613BF0"/>
    <w:rsid w:val="006345E9"/>
    <w:rsid w:val="00636AC7"/>
    <w:rsid w:val="00641DFD"/>
    <w:rsid w:val="006560E6"/>
    <w:rsid w:val="00660AB1"/>
    <w:rsid w:val="0066491A"/>
    <w:rsid w:val="0066511D"/>
    <w:rsid w:val="00666BEC"/>
    <w:rsid w:val="00675689"/>
    <w:rsid w:val="00676217"/>
    <w:rsid w:val="00676769"/>
    <w:rsid w:val="00681E33"/>
    <w:rsid w:val="00685AD0"/>
    <w:rsid w:val="00690654"/>
    <w:rsid w:val="00692A67"/>
    <w:rsid w:val="00693BC1"/>
    <w:rsid w:val="0069716C"/>
    <w:rsid w:val="006A3BCD"/>
    <w:rsid w:val="006B5DD1"/>
    <w:rsid w:val="006C60B0"/>
    <w:rsid w:val="006D480F"/>
    <w:rsid w:val="006D4CBC"/>
    <w:rsid w:val="006D6ADA"/>
    <w:rsid w:val="006E620A"/>
    <w:rsid w:val="00705EED"/>
    <w:rsid w:val="0070733C"/>
    <w:rsid w:val="00717A96"/>
    <w:rsid w:val="0072082D"/>
    <w:rsid w:val="00723057"/>
    <w:rsid w:val="00723D53"/>
    <w:rsid w:val="0072430F"/>
    <w:rsid w:val="00730853"/>
    <w:rsid w:val="00731AF4"/>
    <w:rsid w:val="007332AB"/>
    <w:rsid w:val="007358F4"/>
    <w:rsid w:val="00735907"/>
    <w:rsid w:val="00735D52"/>
    <w:rsid w:val="00737900"/>
    <w:rsid w:val="007379AC"/>
    <w:rsid w:val="0074184A"/>
    <w:rsid w:val="00743AB6"/>
    <w:rsid w:val="00753271"/>
    <w:rsid w:val="0076386A"/>
    <w:rsid w:val="00766272"/>
    <w:rsid w:val="007709BB"/>
    <w:rsid w:val="00770F7B"/>
    <w:rsid w:val="007718AD"/>
    <w:rsid w:val="0078028D"/>
    <w:rsid w:val="007965D9"/>
    <w:rsid w:val="007966DA"/>
    <w:rsid w:val="007B0688"/>
    <w:rsid w:val="007B5B50"/>
    <w:rsid w:val="007B65CB"/>
    <w:rsid w:val="007B7FC8"/>
    <w:rsid w:val="007C1275"/>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302DC"/>
    <w:rsid w:val="0084143D"/>
    <w:rsid w:val="00843516"/>
    <w:rsid w:val="0084404F"/>
    <w:rsid w:val="0085082D"/>
    <w:rsid w:val="0085432C"/>
    <w:rsid w:val="00856A08"/>
    <w:rsid w:val="00860999"/>
    <w:rsid w:val="0086267F"/>
    <w:rsid w:val="00871C6C"/>
    <w:rsid w:val="00873E2A"/>
    <w:rsid w:val="0088140A"/>
    <w:rsid w:val="00881B8C"/>
    <w:rsid w:val="00881D9A"/>
    <w:rsid w:val="0088225A"/>
    <w:rsid w:val="00884064"/>
    <w:rsid w:val="00895CB2"/>
    <w:rsid w:val="00897963"/>
    <w:rsid w:val="008A1373"/>
    <w:rsid w:val="008A2E0F"/>
    <w:rsid w:val="008A6332"/>
    <w:rsid w:val="008B4475"/>
    <w:rsid w:val="008B73D8"/>
    <w:rsid w:val="008C1C16"/>
    <w:rsid w:val="008C2BE1"/>
    <w:rsid w:val="008C327E"/>
    <w:rsid w:val="008C551B"/>
    <w:rsid w:val="008C7DAC"/>
    <w:rsid w:val="008D08BB"/>
    <w:rsid w:val="008E1431"/>
    <w:rsid w:val="008F2EC4"/>
    <w:rsid w:val="008F7DF3"/>
    <w:rsid w:val="009073FC"/>
    <w:rsid w:val="00910DC8"/>
    <w:rsid w:val="00911054"/>
    <w:rsid w:val="0091782C"/>
    <w:rsid w:val="00920E7C"/>
    <w:rsid w:val="00921189"/>
    <w:rsid w:val="0092272F"/>
    <w:rsid w:val="00927714"/>
    <w:rsid w:val="00930EB6"/>
    <w:rsid w:val="00937A15"/>
    <w:rsid w:val="00942697"/>
    <w:rsid w:val="00943163"/>
    <w:rsid w:val="00946642"/>
    <w:rsid w:val="009475FC"/>
    <w:rsid w:val="00955A3E"/>
    <w:rsid w:val="0095696F"/>
    <w:rsid w:val="00957155"/>
    <w:rsid w:val="00963B70"/>
    <w:rsid w:val="00970D92"/>
    <w:rsid w:val="0097243C"/>
    <w:rsid w:val="00973BC4"/>
    <w:rsid w:val="00980B43"/>
    <w:rsid w:val="00991317"/>
    <w:rsid w:val="00991B9B"/>
    <w:rsid w:val="009A3651"/>
    <w:rsid w:val="009B4876"/>
    <w:rsid w:val="009D0E22"/>
    <w:rsid w:val="009D25AD"/>
    <w:rsid w:val="009D559B"/>
    <w:rsid w:val="009D5A72"/>
    <w:rsid w:val="009D6479"/>
    <w:rsid w:val="009D6BF9"/>
    <w:rsid w:val="009D73AA"/>
    <w:rsid w:val="009D7E77"/>
    <w:rsid w:val="009E3257"/>
    <w:rsid w:val="009E74CB"/>
    <w:rsid w:val="009F0450"/>
    <w:rsid w:val="009F1E11"/>
    <w:rsid w:val="009F3C73"/>
    <w:rsid w:val="009F64AE"/>
    <w:rsid w:val="00A00281"/>
    <w:rsid w:val="00A00EE1"/>
    <w:rsid w:val="00A0258F"/>
    <w:rsid w:val="00A15085"/>
    <w:rsid w:val="00A17111"/>
    <w:rsid w:val="00A20567"/>
    <w:rsid w:val="00A24C8B"/>
    <w:rsid w:val="00A30C5B"/>
    <w:rsid w:val="00A31947"/>
    <w:rsid w:val="00A36AED"/>
    <w:rsid w:val="00A375F5"/>
    <w:rsid w:val="00A40123"/>
    <w:rsid w:val="00A4026B"/>
    <w:rsid w:val="00A42F3D"/>
    <w:rsid w:val="00A443D7"/>
    <w:rsid w:val="00A46795"/>
    <w:rsid w:val="00A477B0"/>
    <w:rsid w:val="00A51026"/>
    <w:rsid w:val="00A57ACB"/>
    <w:rsid w:val="00A63A32"/>
    <w:rsid w:val="00A645C5"/>
    <w:rsid w:val="00A65A44"/>
    <w:rsid w:val="00A70BFE"/>
    <w:rsid w:val="00A72D38"/>
    <w:rsid w:val="00A74663"/>
    <w:rsid w:val="00A75214"/>
    <w:rsid w:val="00A76029"/>
    <w:rsid w:val="00A83364"/>
    <w:rsid w:val="00A925E5"/>
    <w:rsid w:val="00A964AC"/>
    <w:rsid w:val="00A97F6F"/>
    <w:rsid w:val="00AA1067"/>
    <w:rsid w:val="00AA2373"/>
    <w:rsid w:val="00AA618D"/>
    <w:rsid w:val="00AB0230"/>
    <w:rsid w:val="00AB18C4"/>
    <w:rsid w:val="00AB36A0"/>
    <w:rsid w:val="00AC07B4"/>
    <w:rsid w:val="00AC1060"/>
    <w:rsid w:val="00AC2B41"/>
    <w:rsid w:val="00AC2F36"/>
    <w:rsid w:val="00AC48C5"/>
    <w:rsid w:val="00AD11C2"/>
    <w:rsid w:val="00AD7FFB"/>
    <w:rsid w:val="00AE1D7A"/>
    <w:rsid w:val="00AE2073"/>
    <w:rsid w:val="00AE708E"/>
    <w:rsid w:val="00AF16B9"/>
    <w:rsid w:val="00AF411A"/>
    <w:rsid w:val="00B0265D"/>
    <w:rsid w:val="00B04CB4"/>
    <w:rsid w:val="00B06468"/>
    <w:rsid w:val="00B10CD1"/>
    <w:rsid w:val="00B12122"/>
    <w:rsid w:val="00B1307F"/>
    <w:rsid w:val="00B13AA8"/>
    <w:rsid w:val="00B14926"/>
    <w:rsid w:val="00B14D14"/>
    <w:rsid w:val="00B17575"/>
    <w:rsid w:val="00B23CC2"/>
    <w:rsid w:val="00B31568"/>
    <w:rsid w:val="00B34436"/>
    <w:rsid w:val="00B346EC"/>
    <w:rsid w:val="00B350AA"/>
    <w:rsid w:val="00B36CC5"/>
    <w:rsid w:val="00B4785F"/>
    <w:rsid w:val="00B51A14"/>
    <w:rsid w:val="00B6078C"/>
    <w:rsid w:val="00B632EA"/>
    <w:rsid w:val="00B64E34"/>
    <w:rsid w:val="00B678F6"/>
    <w:rsid w:val="00B70C76"/>
    <w:rsid w:val="00B714CF"/>
    <w:rsid w:val="00B71DC2"/>
    <w:rsid w:val="00B720CE"/>
    <w:rsid w:val="00B76A63"/>
    <w:rsid w:val="00B82F0A"/>
    <w:rsid w:val="00B852A2"/>
    <w:rsid w:val="00B87612"/>
    <w:rsid w:val="00B87D79"/>
    <w:rsid w:val="00B92842"/>
    <w:rsid w:val="00BA3BBC"/>
    <w:rsid w:val="00BA3DED"/>
    <w:rsid w:val="00BA4316"/>
    <w:rsid w:val="00BA576D"/>
    <w:rsid w:val="00BB0169"/>
    <w:rsid w:val="00BB0A92"/>
    <w:rsid w:val="00BB5EA5"/>
    <w:rsid w:val="00BB6D04"/>
    <w:rsid w:val="00BC47EE"/>
    <w:rsid w:val="00BC7C35"/>
    <w:rsid w:val="00BD4746"/>
    <w:rsid w:val="00BD52B8"/>
    <w:rsid w:val="00BE2AD9"/>
    <w:rsid w:val="00BE6925"/>
    <w:rsid w:val="00BF06B2"/>
    <w:rsid w:val="00BF57ED"/>
    <w:rsid w:val="00C02939"/>
    <w:rsid w:val="00C02C99"/>
    <w:rsid w:val="00C02E92"/>
    <w:rsid w:val="00C0735A"/>
    <w:rsid w:val="00C12A11"/>
    <w:rsid w:val="00C414E3"/>
    <w:rsid w:val="00C43DA7"/>
    <w:rsid w:val="00C44992"/>
    <w:rsid w:val="00C46D42"/>
    <w:rsid w:val="00C47075"/>
    <w:rsid w:val="00C50B0C"/>
    <w:rsid w:val="00C521C8"/>
    <w:rsid w:val="00C528BD"/>
    <w:rsid w:val="00C566D5"/>
    <w:rsid w:val="00C57231"/>
    <w:rsid w:val="00C62DE5"/>
    <w:rsid w:val="00C637A2"/>
    <w:rsid w:val="00C63E93"/>
    <w:rsid w:val="00C74B50"/>
    <w:rsid w:val="00C76ED7"/>
    <w:rsid w:val="00C802DC"/>
    <w:rsid w:val="00C827A2"/>
    <w:rsid w:val="00C82914"/>
    <w:rsid w:val="00C876DD"/>
    <w:rsid w:val="00C91411"/>
    <w:rsid w:val="00C9397B"/>
    <w:rsid w:val="00CA2D7A"/>
    <w:rsid w:val="00CA46AA"/>
    <w:rsid w:val="00CA57EB"/>
    <w:rsid w:val="00CA7373"/>
    <w:rsid w:val="00CA7396"/>
    <w:rsid w:val="00CA7F7A"/>
    <w:rsid w:val="00CB5098"/>
    <w:rsid w:val="00CB6E14"/>
    <w:rsid w:val="00CB7517"/>
    <w:rsid w:val="00CC6820"/>
    <w:rsid w:val="00CD2E04"/>
    <w:rsid w:val="00CE0A55"/>
    <w:rsid w:val="00CE739F"/>
    <w:rsid w:val="00CE76B7"/>
    <w:rsid w:val="00CF39B0"/>
    <w:rsid w:val="00CF4B25"/>
    <w:rsid w:val="00CF4F03"/>
    <w:rsid w:val="00D07B9A"/>
    <w:rsid w:val="00D229F5"/>
    <w:rsid w:val="00D22BBA"/>
    <w:rsid w:val="00D2338F"/>
    <w:rsid w:val="00D2572F"/>
    <w:rsid w:val="00D30764"/>
    <w:rsid w:val="00D32426"/>
    <w:rsid w:val="00D34B7E"/>
    <w:rsid w:val="00D372F5"/>
    <w:rsid w:val="00D40BD2"/>
    <w:rsid w:val="00D5037F"/>
    <w:rsid w:val="00D52B35"/>
    <w:rsid w:val="00D5524E"/>
    <w:rsid w:val="00D71AFA"/>
    <w:rsid w:val="00D8267B"/>
    <w:rsid w:val="00D84D0A"/>
    <w:rsid w:val="00D86934"/>
    <w:rsid w:val="00DA0850"/>
    <w:rsid w:val="00DA0FF8"/>
    <w:rsid w:val="00DA2496"/>
    <w:rsid w:val="00DB7F7C"/>
    <w:rsid w:val="00DC5246"/>
    <w:rsid w:val="00DD5420"/>
    <w:rsid w:val="00DE18A3"/>
    <w:rsid w:val="00DE43B9"/>
    <w:rsid w:val="00DF1633"/>
    <w:rsid w:val="00E01EFC"/>
    <w:rsid w:val="00E11F04"/>
    <w:rsid w:val="00E30B67"/>
    <w:rsid w:val="00E44774"/>
    <w:rsid w:val="00E458D9"/>
    <w:rsid w:val="00E45E92"/>
    <w:rsid w:val="00E45FAB"/>
    <w:rsid w:val="00E509C5"/>
    <w:rsid w:val="00E5661A"/>
    <w:rsid w:val="00E57A43"/>
    <w:rsid w:val="00E615E8"/>
    <w:rsid w:val="00E6486D"/>
    <w:rsid w:val="00E708B6"/>
    <w:rsid w:val="00E72A50"/>
    <w:rsid w:val="00E8146C"/>
    <w:rsid w:val="00E86F08"/>
    <w:rsid w:val="00E90AB5"/>
    <w:rsid w:val="00E90B3D"/>
    <w:rsid w:val="00EA43AE"/>
    <w:rsid w:val="00EA654A"/>
    <w:rsid w:val="00EB28BB"/>
    <w:rsid w:val="00EB65E2"/>
    <w:rsid w:val="00EC3811"/>
    <w:rsid w:val="00EC6614"/>
    <w:rsid w:val="00EC6B6F"/>
    <w:rsid w:val="00ED1D14"/>
    <w:rsid w:val="00ED4012"/>
    <w:rsid w:val="00ED7C97"/>
    <w:rsid w:val="00EE11C8"/>
    <w:rsid w:val="00EE1AA3"/>
    <w:rsid w:val="00EE295A"/>
    <w:rsid w:val="00EE3A31"/>
    <w:rsid w:val="00EE4119"/>
    <w:rsid w:val="00EE5C4E"/>
    <w:rsid w:val="00EE64FC"/>
    <w:rsid w:val="00EE6A34"/>
    <w:rsid w:val="00EF081E"/>
    <w:rsid w:val="00EF2EE2"/>
    <w:rsid w:val="00EF2F5D"/>
    <w:rsid w:val="00EF5DB0"/>
    <w:rsid w:val="00EF7985"/>
    <w:rsid w:val="00EF7A30"/>
    <w:rsid w:val="00F079B8"/>
    <w:rsid w:val="00F1120A"/>
    <w:rsid w:val="00F11BC7"/>
    <w:rsid w:val="00F13B09"/>
    <w:rsid w:val="00F1429A"/>
    <w:rsid w:val="00F22A5C"/>
    <w:rsid w:val="00F324BD"/>
    <w:rsid w:val="00F33734"/>
    <w:rsid w:val="00F35503"/>
    <w:rsid w:val="00F4186B"/>
    <w:rsid w:val="00F47F6A"/>
    <w:rsid w:val="00F502A4"/>
    <w:rsid w:val="00F5250F"/>
    <w:rsid w:val="00F56E73"/>
    <w:rsid w:val="00F60C57"/>
    <w:rsid w:val="00F61C39"/>
    <w:rsid w:val="00F64DB1"/>
    <w:rsid w:val="00F651A8"/>
    <w:rsid w:val="00F75C76"/>
    <w:rsid w:val="00F80B3A"/>
    <w:rsid w:val="00F8524A"/>
    <w:rsid w:val="00F871B5"/>
    <w:rsid w:val="00F95F6E"/>
    <w:rsid w:val="00F9630B"/>
    <w:rsid w:val="00F96CAB"/>
    <w:rsid w:val="00FA7E0D"/>
    <w:rsid w:val="00FB1D1F"/>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110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C2F36"/>
    <w:pPr>
      <w:keepNext/>
      <w:tabs>
        <w:tab w:val="center" w:pos="4680"/>
      </w:tabs>
      <w:jc w:val="center"/>
      <w:outlineLvl w:val="0"/>
    </w:pPr>
    <w:rPr>
      <w:b/>
    </w:rPr>
  </w:style>
  <w:style w:type="paragraph" w:styleId="Heading2">
    <w:name w:val="heading 2"/>
    <w:basedOn w:val="Normal"/>
    <w:next w:val="Normal"/>
    <w:qFormat/>
    <w:rsid w:val="00AC2F36"/>
    <w:pPr>
      <w:keepNext/>
      <w:ind w:left="720"/>
      <w:jc w:val="right"/>
      <w:outlineLvl w:val="1"/>
    </w:pPr>
    <w:rPr>
      <w:rFonts w:ascii="Arial" w:hAnsi="Arial"/>
      <w:i/>
      <w:sz w:val="18"/>
    </w:rPr>
  </w:style>
  <w:style w:type="paragraph" w:styleId="Heading3">
    <w:name w:val="heading 3"/>
    <w:basedOn w:val="Normal"/>
    <w:next w:val="Normal"/>
    <w:qFormat/>
    <w:rsid w:val="00AC2F36"/>
    <w:pPr>
      <w:keepNext/>
      <w:tabs>
        <w:tab w:val="left" w:pos="5400"/>
      </w:tabs>
      <w:ind w:left="720"/>
      <w:outlineLvl w:val="2"/>
    </w:pPr>
    <w:rPr>
      <w:rFonts w:ascii="Arial" w:hAnsi="Arial"/>
      <w:i/>
      <w:sz w:val="18"/>
    </w:rPr>
  </w:style>
  <w:style w:type="paragraph" w:styleId="Heading4">
    <w:name w:val="heading 4"/>
    <w:basedOn w:val="Normal"/>
    <w:next w:val="Normal"/>
    <w:qFormat/>
    <w:rsid w:val="00AC2F36"/>
    <w:pPr>
      <w:keepNext/>
      <w:outlineLvl w:val="3"/>
    </w:pPr>
    <w:rPr>
      <w:b/>
      <w:bCs/>
    </w:rPr>
  </w:style>
  <w:style w:type="paragraph" w:styleId="Heading5">
    <w:name w:val="heading 5"/>
    <w:basedOn w:val="Normal"/>
    <w:next w:val="Normal"/>
    <w:qFormat/>
    <w:rsid w:val="00AC2F36"/>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C2F36"/>
  </w:style>
  <w:style w:type="paragraph" w:styleId="Footer">
    <w:name w:val="footer"/>
    <w:basedOn w:val="Normal"/>
    <w:link w:val="FooterChar"/>
    <w:uiPriority w:val="99"/>
    <w:rsid w:val="00AC2F36"/>
    <w:pPr>
      <w:widowControl/>
      <w:tabs>
        <w:tab w:val="center" w:pos="4320"/>
        <w:tab w:val="right" w:pos="8640"/>
      </w:tabs>
    </w:pPr>
    <w:rPr>
      <w:snapToGrid/>
      <w:szCs w:val="24"/>
    </w:rPr>
  </w:style>
  <w:style w:type="paragraph" w:styleId="BodyText">
    <w:name w:val="Body Text"/>
    <w:basedOn w:val="Normal"/>
    <w:rsid w:val="00AC2F36"/>
    <w:pPr>
      <w:widowControl/>
    </w:pPr>
    <w:rPr>
      <w:rFonts w:ascii="Times" w:hAnsi="Times"/>
      <w:color w:val="000000"/>
    </w:rPr>
  </w:style>
  <w:style w:type="character" w:styleId="Hyperlink">
    <w:name w:val="Hyperlink"/>
    <w:uiPriority w:val="99"/>
    <w:rsid w:val="00AC2F36"/>
    <w:rPr>
      <w:color w:val="0000FF"/>
      <w:u w:val="single"/>
    </w:rPr>
  </w:style>
  <w:style w:type="paragraph" w:styleId="BodyText2">
    <w:name w:val="Body Text 2"/>
    <w:basedOn w:val="Normal"/>
    <w:rsid w:val="00AC2F36"/>
    <w:rPr>
      <w:i/>
      <w:iCs/>
    </w:rPr>
  </w:style>
  <w:style w:type="paragraph" w:styleId="BodyTextIndent">
    <w:name w:val="Body Text Indent"/>
    <w:basedOn w:val="Normal"/>
    <w:rsid w:val="00AC2F36"/>
    <w:pPr>
      <w:autoSpaceDE w:val="0"/>
      <w:autoSpaceDN w:val="0"/>
      <w:adjustRightInd w:val="0"/>
      <w:ind w:left="-360"/>
    </w:pPr>
    <w:rPr>
      <w:snapToGrid/>
      <w:szCs w:val="24"/>
    </w:rPr>
  </w:style>
  <w:style w:type="character" w:styleId="PageNumber">
    <w:name w:val="page number"/>
    <w:basedOn w:val="DefaultParagraphFont"/>
    <w:rsid w:val="00AC2F36"/>
  </w:style>
  <w:style w:type="paragraph" w:styleId="BodyTextIndent3">
    <w:name w:val="Body Text Indent 3"/>
    <w:basedOn w:val="Normal"/>
    <w:rsid w:val="00AC2F36"/>
    <w:pPr>
      <w:widowControl/>
      <w:ind w:left="360" w:hanging="360"/>
    </w:pPr>
    <w:rPr>
      <w:szCs w:val="24"/>
    </w:rPr>
  </w:style>
  <w:style w:type="paragraph" w:styleId="BodyText3">
    <w:name w:val="Body Text 3"/>
    <w:basedOn w:val="Normal"/>
    <w:rsid w:val="00AC2F36"/>
    <w:pPr>
      <w:autoSpaceDE w:val="0"/>
      <w:autoSpaceDN w:val="0"/>
      <w:adjustRightInd w:val="0"/>
    </w:pPr>
    <w:rPr>
      <w:b/>
      <w:bCs/>
    </w:rPr>
  </w:style>
  <w:style w:type="character" w:styleId="FollowedHyperlink">
    <w:name w:val="FollowedHyperlink"/>
    <w:rsid w:val="00AC2F36"/>
    <w:rPr>
      <w:color w:val="800080"/>
      <w:u w:val="single"/>
    </w:rPr>
  </w:style>
  <w:style w:type="character" w:styleId="Strong">
    <w:name w:val="Strong"/>
    <w:qFormat/>
    <w:rsid w:val="00AC2F36"/>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B06468"/>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FootnoteTextChar">
    <w:name w:val="Footnote Text Char"/>
    <w:basedOn w:val="DefaultParagraphFont"/>
    <w:link w:val="FootnoteText"/>
    <w:uiPriority w:val="99"/>
    <w:rsid w:val="00B06468"/>
  </w:style>
  <w:style w:type="paragraph" w:styleId="NoSpacing">
    <w:name w:val="No Spacing"/>
    <w:uiPriority w:val="1"/>
    <w:qFormat/>
    <w:rsid w:val="00B06468"/>
    <w:rPr>
      <w:rFonts w:asciiTheme="minorHAnsi" w:eastAsiaTheme="minorHAnsi" w:hAnsiTheme="minorHAnsi" w:cstheme="minorBidi"/>
      <w:sz w:val="22"/>
      <w:szCs w:val="22"/>
    </w:rPr>
  </w:style>
  <w:style w:type="character" w:styleId="CommentReference">
    <w:name w:val="annotation reference"/>
    <w:basedOn w:val="DefaultParagraphFont"/>
    <w:rsid w:val="00BD4746"/>
    <w:rPr>
      <w:sz w:val="16"/>
      <w:szCs w:val="16"/>
    </w:rPr>
  </w:style>
  <w:style w:type="paragraph" w:styleId="CommentText">
    <w:name w:val="annotation text"/>
    <w:basedOn w:val="Normal"/>
    <w:link w:val="CommentTextChar"/>
    <w:rsid w:val="00BD4746"/>
    <w:rPr>
      <w:sz w:val="20"/>
    </w:rPr>
  </w:style>
  <w:style w:type="character" w:customStyle="1" w:styleId="CommentTextChar">
    <w:name w:val="Comment Text Char"/>
    <w:basedOn w:val="DefaultParagraphFont"/>
    <w:link w:val="CommentText"/>
    <w:rsid w:val="00BD4746"/>
    <w:rPr>
      <w:snapToGrid w:val="0"/>
    </w:rPr>
  </w:style>
  <w:style w:type="paragraph" w:styleId="CommentSubject">
    <w:name w:val="annotation subject"/>
    <w:basedOn w:val="CommentText"/>
    <w:next w:val="CommentText"/>
    <w:link w:val="CommentSubjectChar"/>
    <w:rsid w:val="00BD4746"/>
    <w:rPr>
      <w:b/>
      <w:bCs/>
    </w:rPr>
  </w:style>
  <w:style w:type="character" w:customStyle="1" w:styleId="CommentSubjectChar">
    <w:name w:val="Comment Subject Char"/>
    <w:basedOn w:val="CommentTextChar"/>
    <w:link w:val="CommentSubject"/>
    <w:rsid w:val="00BD4746"/>
    <w:rPr>
      <w:b/>
      <w:bCs/>
      <w:snapToGrid w:val="0"/>
    </w:rPr>
  </w:style>
  <w:style w:type="paragraph" w:styleId="Revision">
    <w:name w:val="Revision"/>
    <w:hidden/>
    <w:uiPriority w:val="99"/>
    <w:semiHidden/>
    <w:rsid w:val="00AF16B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392582742">
      <w:bodyDiv w:val="1"/>
      <w:marLeft w:val="0"/>
      <w:marRight w:val="0"/>
      <w:marTop w:val="0"/>
      <w:marBottom w:val="0"/>
      <w:divBdr>
        <w:top w:val="none" w:sz="0" w:space="0" w:color="auto"/>
        <w:left w:val="none" w:sz="0" w:space="0" w:color="auto"/>
        <w:bottom w:val="none" w:sz="0" w:space="0" w:color="auto"/>
        <w:right w:val="none" w:sz="0" w:space="0" w:color="auto"/>
      </w:divBdr>
      <w:divsChild>
        <w:div w:id="961033451">
          <w:marLeft w:val="547"/>
          <w:marRight w:val="0"/>
          <w:marTop w:val="134"/>
          <w:marBottom w:val="0"/>
          <w:divBdr>
            <w:top w:val="none" w:sz="0" w:space="0" w:color="auto"/>
            <w:left w:val="none" w:sz="0" w:space="0" w:color="auto"/>
            <w:bottom w:val="none" w:sz="0" w:space="0" w:color="auto"/>
            <w:right w:val="none" w:sz="0" w:space="0" w:color="auto"/>
          </w:divBdr>
        </w:div>
        <w:div w:id="616985832">
          <w:marLeft w:val="547"/>
          <w:marRight w:val="0"/>
          <w:marTop w:val="134"/>
          <w:marBottom w:val="0"/>
          <w:divBdr>
            <w:top w:val="none" w:sz="0" w:space="0" w:color="auto"/>
            <w:left w:val="none" w:sz="0" w:space="0" w:color="auto"/>
            <w:bottom w:val="none" w:sz="0" w:space="0" w:color="auto"/>
            <w:right w:val="none" w:sz="0" w:space="0" w:color="auto"/>
          </w:divBdr>
        </w:div>
        <w:div w:id="212497937">
          <w:marLeft w:val="547"/>
          <w:marRight w:val="0"/>
          <w:marTop w:val="134"/>
          <w:marBottom w:val="0"/>
          <w:divBdr>
            <w:top w:val="none" w:sz="0" w:space="0" w:color="auto"/>
            <w:left w:val="none" w:sz="0" w:space="0" w:color="auto"/>
            <w:bottom w:val="none" w:sz="0" w:space="0" w:color="auto"/>
            <w:right w:val="none" w:sz="0" w:space="0" w:color="auto"/>
          </w:divBdr>
        </w:div>
      </w:divsChild>
    </w:div>
    <w:div w:id="407075491">
      <w:bodyDiv w:val="1"/>
      <w:marLeft w:val="0"/>
      <w:marRight w:val="0"/>
      <w:marTop w:val="0"/>
      <w:marBottom w:val="0"/>
      <w:divBdr>
        <w:top w:val="none" w:sz="0" w:space="0" w:color="auto"/>
        <w:left w:val="none" w:sz="0" w:space="0" w:color="auto"/>
        <w:bottom w:val="none" w:sz="0" w:space="0" w:color="auto"/>
        <w:right w:val="none" w:sz="0" w:space="0" w:color="auto"/>
      </w:divBdr>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15189487">
      <w:bodyDiv w:val="1"/>
      <w:marLeft w:val="0"/>
      <w:marRight w:val="0"/>
      <w:marTop w:val="0"/>
      <w:marBottom w:val="0"/>
      <w:divBdr>
        <w:top w:val="none" w:sz="0" w:space="0" w:color="auto"/>
        <w:left w:val="none" w:sz="0" w:space="0" w:color="auto"/>
        <w:bottom w:val="none" w:sz="0" w:space="0" w:color="auto"/>
        <w:right w:val="none" w:sz="0" w:space="0" w:color="auto"/>
      </w:divBdr>
    </w:div>
    <w:div w:id="666131502">
      <w:bodyDiv w:val="1"/>
      <w:marLeft w:val="0"/>
      <w:marRight w:val="0"/>
      <w:marTop w:val="0"/>
      <w:marBottom w:val="0"/>
      <w:divBdr>
        <w:top w:val="none" w:sz="0" w:space="0" w:color="auto"/>
        <w:left w:val="none" w:sz="0" w:space="0" w:color="auto"/>
        <w:bottom w:val="none" w:sz="0" w:space="0" w:color="auto"/>
        <w:right w:val="none" w:sz="0" w:space="0" w:color="auto"/>
      </w:divBdr>
    </w:div>
    <w:div w:id="701830987">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39693389">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76022248">
      <w:bodyDiv w:val="1"/>
      <w:marLeft w:val="0"/>
      <w:marRight w:val="0"/>
      <w:marTop w:val="0"/>
      <w:marBottom w:val="0"/>
      <w:divBdr>
        <w:top w:val="none" w:sz="0" w:space="0" w:color="auto"/>
        <w:left w:val="none" w:sz="0" w:space="0" w:color="auto"/>
        <w:bottom w:val="none" w:sz="0" w:space="0" w:color="auto"/>
        <w:right w:val="none" w:sz="0" w:space="0" w:color="auto"/>
      </w:divBdr>
      <w:divsChild>
        <w:div w:id="1615862348">
          <w:marLeft w:val="0"/>
          <w:marRight w:val="0"/>
          <w:marTop w:val="0"/>
          <w:marBottom w:val="0"/>
          <w:divBdr>
            <w:top w:val="none" w:sz="0" w:space="0" w:color="auto"/>
            <w:left w:val="none" w:sz="0" w:space="0" w:color="auto"/>
            <w:bottom w:val="none" w:sz="0" w:space="0" w:color="auto"/>
            <w:right w:val="none" w:sz="0" w:space="0" w:color="auto"/>
          </w:divBdr>
          <w:divsChild>
            <w:div w:id="551232086">
              <w:marLeft w:val="0"/>
              <w:marRight w:val="0"/>
              <w:marTop w:val="0"/>
              <w:marBottom w:val="0"/>
              <w:divBdr>
                <w:top w:val="none" w:sz="0" w:space="0" w:color="auto"/>
                <w:left w:val="none" w:sz="0" w:space="0" w:color="auto"/>
                <w:bottom w:val="none" w:sz="0" w:space="0" w:color="auto"/>
                <w:right w:val="none" w:sz="0" w:space="0" w:color="auto"/>
              </w:divBdr>
              <w:divsChild>
                <w:div w:id="532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39666204">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03237987">
      <w:bodyDiv w:val="1"/>
      <w:marLeft w:val="0"/>
      <w:marRight w:val="0"/>
      <w:marTop w:val="0"/>
      <w:marBottom w:val="0"/>
      <w:divBdr>
        <w:top w:val="none" w:sz="0" w:space="0" w:color="auto"/>
        <w:left w:val="none" w:sz="0" w:space="0" w:color="auto"/>
        <w:bottom w:val="none" w:sz="0" w:space="0" w:color="auto"/>
        <w:right w:val="none" w:sz="0" w:space="0" w:color="auto"/>
      </w:divBdr>
    </w:div>
    <w:div w:id="1748451929">
      <w:bodyDiv w:val="1"/>
      <w:marLeft w:val="0"/>
      <w:marRight w:val="0"/>
      <w:marTop w:val="0"/>
      <w:marBottom w:val="0"/>
      <w:divBdr>
        <w:top w:val="none" w:sz="0" w:space="0" w:color="auto"/>
        <w:left w:val="none" w:sz="0" w:space="0" w:color="auto"/>
        <w:bottom w:val="none" w:sz="0" w:space="0" w:color="auto"/>
        <w:right w:val="none" w:sz="0" w:space="0" w:color="auto"/>
      </w:divBdr>
    </w:div>
    <w:div w:id="1799496552">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DESE-231-7817</_dlc_DocId>
    <_dlc_DocIdUrl xmlns="733efe1c-5bbe-4968-87dc-d400e65c879f">
      <Url>https://sharepoint.doemass.org/ese/webteam/cps/_layouts/DocIdRedir.aspx?ID=DESE-231-7817</Url>
      <Description>DESE-231-7817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1106E-3A79-4C32-AD37-071A6622BC2A}">
  <ds:schemaRefs>
    <ds:schemaRef ds:uri="http://schemas.microsoft.com/sharepoint/events"/>
  </ds:schemaRefs>
</ds:datastoreItem>
</file>

<file path=customXml/itemProps2.xml><?xml version="1.0" encoding="utf-8"?>
<ds:datastoreItem xmlns:ds="http://schemas.openxmlformats.org/officeDocument/2006/customXml" ds:itemID="{0A609F89-6369-4972-861B-6119B5CC2DB0}">
  <ds:schemaRefs>
    <ds:schemaRef ds:uri="http://schemas.microsoft.com/sharepoint/v3/contenttype/forms"/>
  </ds:schemaRefs>
</ds:datastoreItem>
</file>

<file path=customXml/itemProps3.xml><?xml version="1.0" encoding="utf-8"?>
<ds:datastoreItem xmlns:ds="http://schemas.openxmlformats.org/officeDocument/2006/customXml" ds:itemID="{DC9353BE-9BB0-4095-9339-96831EC5C7F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33efe1c-5bbe-4968-87dc-d400e65c879f"/>
    <ds:schemaRef ds:uri="0a4e05da-b9bc-4326-ad73-01ef31b95567"/>
    <ds:schemaRef ds:uri="http://www.w3.org/XML/1998/namespace"/>
    <ds:schemaRef ds:uri="http://purl.org/dc/terms/"/>
  </ds:schemaRefs>
</ds:datastoreItem>
</file>

<file path=customXml/itemProps4.xml><?xml version="1.0" encoding="utf-8"?>
<ds:datastoreItem xmlns:ds="http://schemas.openxmlformats.org/officeDocument/2006/customXml" ds:itemID="{1A873DE2-E36B-489E-A135-8FF61FCB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044468-C05E-4F38-A713-F5196704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BESE Memorandum, Competency Determination Decision for the Class of 2019, June 2014</vt:lpstr>
    </vt:vector>
  </TitlesOfParts>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Memorandum, Competency Determination Decision for the Class of 2019, June 2014</dc:title>
  <dc:creator/>
  <cp:lastModifiedBy/>
  <cp:revision>1</cp:revision>
  <cp:lastPrinted>2011-01-14T19:54:00Z</cp:lastPrinted>
  <dcterms:created xsi:type="dcterms:W3CDTF">2014-06-19T17:39:00Z</dcterms:created>
  <dcterms:modified xsi:type="dcterms:W3CDTF">2014-06-19T17:39:00Z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2014</vt:lpwstr>
  </property>
</Properties>
</file>