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8E7" w:rsidRDefault="00AF5E40">
      <w:bookmarkStart w:id="0" w:name="_GoBack"/>
      <w:bookmarkEnd w:id="0"/>
      <w:r>
        <w:t>7/8/14</w:t>
      </w:r>
    </w:p>
    <w:p w:rsidR="00EE18E7" w:rsidRDefault="00EE18E7"/>
    <w:p w:rsidR="00EE18E7" w:rsidRDefault="00EE18E7" w:rsidP="006C604D">
      <w:pPr>
        <w:pStyle w:val="Title"/>
      </w:pPr>
      <w:r>
        <w:t xml:space="preserve">The </w:t>
      </w:r>
      <w:smartTag w:uri="urn:schemas-microsoft-com:office:smarttags" w:element="State">
        <w:smartTag w:uri="urn:schemas-microsoft-com:office:smarttags" w:element="place">
          <w:r>
            <w:t>Massachusetts</w:t>
          </w:r>
        </w:smartTag>
      </w:smartTag>
      <w:r>
        <w:t xml:space="preserve"> Foundation Budget</w:t>
      </w:r>
    </w:p>
    <w:p w:rsidR="00EE18E7" w:rsidRDefault="00EE18E7"/>
    <w:p w:rsidR="00EE18E7" w:rsidRDefault="00EE18E7" w:rsidP="006C604D">
      <w:r>
        <w:t xml:space="preserve">In </w:t>
      </w:r>
      <w:smartTag w:uri="urn:schemas-microsoft-com:office:smarttags" w:element="State">
        <w:smartTag w:uri="urn:schemas-microsoft-com:office:smarttags" w:element="place">
          <w:r>
            <w:t>Massachusetts</w:t>
          </w:r>
        </w:smartTag>
      </w:smartTag>
      <w:r>
        <w:t>, the definition of an adequate spending level for a school district is called its “foundation budget.”  It is a statistical measure that was developed by a group of superintendents and an economist in the early 1990s</w:t>
      </w:r>
      <w:r w:rsidR="00AC0D1D">
        <w:t xml:space="preserve">.  </w:t>
      </w:r>
      <w:r>
        <w:t>They developed a “model school budget” which quantified “for the average school district what constitutes an adequate—but not excessive—level of funding</w:t>
      </w:r>
      <w:r>
        <w:rPr>
          <w:rStyle w:val="FootnoteReference"/>
        </w:rPr>
        <w:footnoteReference w:id="1"/>
      </w:r>
      <w:r>
        <w:t>.”  The goal of the Chapter 70 formula is to ensure that every district has sufficient resources to meet its foundation budget spending level, through an equitable combination of local property taxes and state aid</w:t>
      </w:r>
      <w:r w:rsidR="00AC0D1D">
        <w:t>.</w:t>
      </w:r>
    </w:p>
    <w:p w:rsidR="00EE18E7" w:rsidRDefault="00EE18E7" w:rsidP="006C604D"/>
    <w:p w:rsidR="00EE18E7" w:rsidRDefault="00EE18E7" w:rsidP="006C604D">
      <w:r>
        <w:t>Each district’s foundation budget is updated each year to reflect inflation and changes in enrollment</w:t>
      </w:r>
      <w:r w:rsidR="00AC0D1D">
        <w:t xml:space="preserve">.  </w:t>
      </w:r>
      <w:r>
        <w:t>Enrollment plays an important role not just because of the total number of pupils, but also because there are differences in the costs associated with various educational programs, grade levels, and student needs</w:t>
      </w:r>
      <w:r w:rsidR="00AC0D1D">
        <w:t xml:space="preserve">.  </w:t>
      </w:r>
      <w:r>
        <w:t>Districts differ greatly in the percentages of their student population that fall into these enrollment categories</w:t>
      </w:r>
      <w:r w:rsidR="00AC0D1D">
        <w:t xml:space="preserve">.  </w:t>
      </w:r>
      <w:r>
        <w:t>As a result, when districts’ foundation budgets are presented in per pupil terms, there is considerable variation</w:t>
      </w:r>
      <w:r w:rsidR="00AC0D1D">
        <w:t xml:space="preserve">.  </w:t>
      </w:r>
      <w:r w:rsidRPr="005A0B47">
        <w:t>The FY</w:t>
      </w:r>
      <w:r w:rsidR="005E6FEC" w:rsidRPr="005A0B47">
        <w:t>1</w:t>
      </w:r>
      <w:r w:rsidR="005A0B47">
        <w:t>5</w:t>
      </w:r>
      <w:r w:rsidRPr="005A0B47">
        <w:t xml:space="preserve"> statewide average is $</w:t>
      </w:r>
      <w:r w:rsidR="00ED0548" w:rsidRPr="005A0B47">
        <w:t>10,</w:t>
      </w:r>
      <w:r w:rsidR="005A0B47" w:rsidRPr="005A0B47">
        <w:t>486</w:t>
      </w:r>
      <w:r w:rsidRPr="005A0B47">
        <w:t xml:space="preserve"> per pupil, but the range for academic districts </w:t>
      </w:r>
      <w:r w:rsidR="00597C3E" w:rsidRPr="005A0B47">
        <w:t>is</w:t>
      </w:r>
      <w:r w:rsidRPr="005A0B47">
        <w:t xml:space="preserve"> from $</w:t>
      </w:r>
      <w:r w:rsidR="005A0B47" w:rsidRPr="005A0B47">
        <w:t>8,608</w:t>
      </w:r>
      <w:r w:rsidRPr="005A0B47">
        <w:t xml:space="preserve"> in </w:t>
      </w:r>
      <w:r w:rsidR="005A0B47" w:rsidRPr="005A0B47">
        <w:t>Carlisle</w:t>
      </w:r>
      <w:r w:rsidR="009950A7" w:rsidRPr="005A0B47">
        <w:t xml:space="preserve"> </w:t>
      </w:r>
      <w:r w:rsidRPr="005A0B47">
        <w:t>to $</w:t>
      </w:r>
      <w:r w:rsidR="00413F36" w:rsidRPr="005A0B47">
        <w:t>12,</w:t>
      </w:r>
      <w:r w:rsidR="005A0B47" w:rsidRPr="005A0B47">
        <w:t>376</w:t>
      </w:r>
      <w:r w:rsidRPr="005A0B47">
        <w:t xml:space="preserve"> in </w:t>
      </w:r>
      <w:r w:rsidR="00C81A79" w:rsidRPr="005A0B47">
        <w:t>Boston</w:t>
      </w:r>
      <w:r w:rsidR="00AC0D1D" w:rsidRPr="005A0B47">
        <w:t xml:space="preserve">.  </w:t>
      </w:r>
      <w:r w:rsidRPr="005A0B47">
        <w:t>Vocational districts, whose programs are more expensive, range from $</w:t>
      </w:r>
      <w:r w:rsidR="00C879C4" w:rsidRPr="005A0B47">
        <w:t>14,</w:t>
      </w:r>
      <w:r w:rsidR="00F22278" w:rsidRPr="005A0B47">
        <w:t>6</w:t>
      </w:r>
      <w:r w:rsidR="005A0B47" w:rsidRPr="005A0B47">
        <w:t>72</w:t>
      </w:r>
      <w:r w:rsidR="00AC0D1D" w:rsidRPr="005A0B47">
        <w:t xml:space="preserve"> to</w:t>
      </w:r>
      <w:r w:rsidRPr="005A0B47">
        <w:t xml:space="preserve"> $</w:t>
      </w:r>
      <w:r w:rsidR="005A0B47" w:rsidRPr="005A0B47">
        <w:t>19,394</w:t>
      </w:r>
      <w:r w:rsidR="00C879C4" w:rsidRPr="005A0B47">
        <w:t>.</w:t>
      </w:r>
    </w:p>
    <w:p w:rsidR="00EE18E7" w:rsidRDefault="00EE18E7"/>
    <w:p w:rsidR="006B32C0" w:rsidRDefault="00EE18E7" w:rsidP="006C604D">
      <w:r>
        <w:t>The FY</w:t>
      </w:r>
      <w:r w:rsidR="006C604D">
        <w:t>15</w:t>
      </w:r>
      <w:r>
        <w:t xml:space="preserve"> foundation budget continues the </w:t>
      </w:r>
      <w:r w:rsidRPr="00AF7822">
        <w:t>major changes to the calculations</w:t>
      </w:r>
      <w:r>
        <w:t xml:space="preserve"> first implemented in FY07</w:t>
      </w:r>
      <w:r w:rsidR="00AC0D1D">
        <w:t xml:space="preserve">.  </w:t>
      </w:r>
      <w:r>
        <w:t>The changes directly align</w:t>
      </w:r>
      <w:r w:rsidR="008A5CDB">
        <w:t>ed</w:t>
      </w:r>
      <w:r>
        <w:t xml:space="preserve"> the foundation budget categories with the chart of accounts which schools use to track how they spend their money</w:t>
      </w:r>
      <w:r w:rsidR="00AC0D1D">
        <w:t xml:space="preserve">.  </w:t>
      </w:r>
    </w:p>
    <w:p w:rsidR="007A3EA1" w:rsidRDefault="007A3EA1" w:rsidP="006C604D"/>
    <w:p w:rsidR="00EE18E7" w:rsidRDefault="001E2045" w:rsidP="006C604D">
      <w:r>
        <w:t>It is notable that since FY05, charter school tuition rates have relied upon foundation budgets calculated for each sending district’s pupils at each charter school</w:t>
      </w:r>
      <w:r w:rsidR="00C879C4">
        <w:t>.</w:t>
      </w:r>
    </w:p>
    <w:p w:rsidR="008A5CDB" w:rsidRDefault="008A5CDB" w:rsidP="006C604D"/>
    <w:p w:rsidR="001E2045" w:rsidRDefault="001E2045"/>
    <w:p w:rsidR="00EE18E7" w:rsidRPr="006C604D" w:rsidRDefault="00EE18E7" w:rsidP="006C604D">
      <w:pPr>
        <w:pStyle w:val="Heading1"/>
      </w:pPr>
      <w:r w:rsidRPr="006C604D">
        <w:t>How</w:t>
      </w:r>
      <w:r w:rsidR="00597C3E" w:rsidRPr="006C604D">
        <w:t xml:space="preserve"> </w:t>
      </w:r>
      <w:r w:rsidR="00AC0D1D" w:rsidRPr="006C604D">
        <w:t>the</w:t>
      </w:r>
      <w:r w:rsidR="00597C3E" w:rsidRPr="006C604D">
        <w:t xml:space="preserve"> </w:t>
      </w:r>
      <w:r w:rsidRPr="006C604D">
        <w:t>Foundation Budget Is Calculated</w:t>
      </w:r>
    </w:p>
    <w:p w:rsidR="00EE18E7" w:rsidRDefault="00EE18E7"/>
    <w:p w:rsidR="00EE18E7" w:rsidRDefault="00EE18E7" w:rsidP="006C604D">
      <w:r>
        <w:t>A district’s foundation budget is derived by multiplying the number of pupils in fourteen enrollment categories by cost rates in eleven functional areas</w:t>
      </w:r>
      <w:r w:rsidR="00AC0D1D">
        <w:t xml:space="preserve">.  </w:t>
      </w:r>
      <w:r w:rsidRPr="00C67337">
        <w:t>Any district’s FY</w:t>
      </w:r>
      <w:r w:rsidR="00C67337" w:rsidRPr="00C67337">
        <w:t>15</w:t>
      </w:r>
      <w:r w:rsidRPr="00C67337">
        <w:t xml:space="preserve"> calculations can be seen on the “foundation budget” link available in the </w:t>
      </w:r>
      <w:hyperlink r:id="rId8" w:history="1">
        <w:r w:rsidR="009D4C58" w:rsidRPr="00C67337">
          <w:t>FY</w:t>
        </w:r>
        <w:r w:rsidR="00C67337" w:rsidRPr="00C67337">
          <w:t>15</w:t>
        </w:r>
        <w:r w:rsidR="009D4C58" w:rsidRPr="00C67337">
          <w:t xml:space="preserve"> Chapter 70 formula spreadsheet</w:t>
        </w:r>
      </w:hyperlink>
      <w:r w:rsidR="00AC0D1D" w:rsidRPr="00C67337">
        <w:t xml:space="preserve">.  </w:t>
      </w:r>
      <w:r w:rsidRPr="00C67337">
        <w:t xml:space="preserve">Here we use </w:t>
      </w:r>
      <w:r w:rsidR="00C53BB0" w:rsidRPr="00C67337">
        <w:t xml:space="preserve">the </w:t>
      </w:r>
      <w:r w:rsidR="009D4C58" w:rsidRPr="00AF7822">
        <w:t>Marshfield school district’s</w:t>
      </w:r>
      <w:r w:rsidR="009D4C58" w:rsidRPr="00AF7822">
        <w:t xml:space="preserve"> </w:t>
      </w:r>
      <w:r w:rsidR="009D4C58" w:rsidRPr="00AF7822">
        <w:t>calculations</w:t>
      </w:r>
      <w:r w:rsidRPr="00C67337">
        <w:t xml:space="preserve"> as an example</w:t>
      </w:r>
      <w:r w:rsidR="00AC0D1D" w:rsidRPr="00C67337">
        <w:t>.</w:t>
      </w:r>
    </w:p>
    <w:p w:rsidR="00EE18E7" w:rsidRDefault="00EE18E7" w:rsidP="006C604D">
      <w:pPr>
        <w:rPr>
          <w:u w:val="single"/>
        </w:rPr>
      </w:pPr>
    </w:p>
    <w:p w:rsidR="00EE18E7" w:rsidRDefault="00EE18E7" w:rsidP="006C604D">
      <w:pPr>
        <w:pStyle w:val="Heading2"/>
      </w:pPr>
      <w:r>
        <w:t xml:space="preserve">Foundation </w:t>
      </w:r>
      <w:r w:rsidR="00C67337">
        <w:t>E</w:t>
      </w:r>
      <w:r>
        <w:t>nrollment</w:t>
      </w:r>
    </w:p>
    <w:p w:rsidR="00EE18E7" w:rsidRDefault="00EE18E7" w:rsidP="006C604D"/>
    <w:p w:rsidR="00EE18E7" w:rsidRDefault="00EE18E7" w:rsidP="006C604D">
      <w:r>
        <w:t>Any given year’s foundation enrollment is a count of the number of pupils for whom a school district is financially responsible, on October 1st of the previous year</w:t>
      </w:r>
      <w:r>
        <w:rPr>
          <w:rStyle w:val="FootnoteReference"/>
        </w:rPr>
        <w:footnoteReference w:id="2"/>
      </w:r>
      <w:r w:rsidR="00AC0D1D">
        <w:t xml:space="preserve">.  </w:t>
      </w:r>
      <w:r>
        <w:t>It is comprised primarily of local resident school-children attending their community’s local or regional</w:t>
      </w:r>
      <w:r w:rsidR="00C879C4">
        <w:t xml:space="preserve"> </w:t>
      </w:r>
      <w:r>
        <w:t>school district</w:t>
      </w:r>
      <w:r w:rsidR="00AC0D1D">
        <w:t xml:space="preserve">.  </w:t>
      </w:r>
      <w:r>
        <w:t>However, the measure also includes students for whom the district is paying tuition, at Commonwealth charter schools, other school districts, special education schools and other settings</w:t>
      </w:r>
      <w:r w:rsidR="00AC0D1D">
        <w:t xml:space="preserve">.  </w:t>
      </w:r>
      <w:r>
        <w:t>It does not include tuitioned-in students from other districts, because their home districts are paying for those students’ costs</w:t>
      </w:r>
      <w:r w:rsidR="00C67337">
        <w:t>.</w:t>
      </w:r>
    </w:p>
    <w:p w:rsidR="00D41533" w:rsidRDefault="00D41533" w:rsidP="006C604D"/>
    <w:p w:rsidR="00D41533" w:rsidRDefault="00C67337" w:rsidP="006C604D">
      <w:r>
        <w:lastRenderedPageBreak/>
        <w:t xml:space="preserve">The columns going across the page are the fourteen enrollment categories used in the </w:t>
      </w:r>
      <w:r w:rsidR="00D41533">
        <w:t>foundation budget calculation.</w:t>
      </w:r>
    </w:p>
    <w:p w:rsidR="00D41533" w:rsidRDefault="00D41533" w:rsidP="006C604D"/>
    <w:p w:rsidR="00D41533" w:rsidRDefault="00D41533" w:rsidP="006C604D">
      <w:r>
        <w:rPr>
          <w:noProof/>
        </w:rPr>
        <w:drawing>
          <wp:inline distT="0" distB="0" distL="0" distR="0">
            <wp:extent cx="5486400" cy="1910733"/>
            <wp:effectExtent l="19050" t="19050" r="19050" b="13317"/>
            <wp:docPr id="2" name="Picture 1" descr="Screenshot of Marshfield's FY15 Chapter 70 Foundation Budget report, available in complete formula workbook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486400" cy="1910733"/>
                    </a:xfrm>
                    <a:prstGeom prst="rect">
                      <a:avLst/>
                    </a:prstGeom>
                    <a:noFill/>
                    <a:ln w="9525">
                      <a:solidFill>
                        <a:schemeClr val="tx1"/>
                      </a:solidFill>
                      <a:miter lim="800000"/>
                      <a:headEnd/>
                      <a:tailEnd/>
                    </a:ln>
                  </pic:spPr>
                </pic:pic>
              </a:graphicData>
            </a:graphic>
          </wp:inline>
        </w:drawing>
      </w:r>
    </w:p>
    <w:p w:rsidR="00D41533" w:rsidRDefault="00D41533" w:rsidP="006C604D"/>
    <w:p w:rsidR="00EE18E7" w:rsidRDefault="00EE18E7" w:rsidP="006C604D">
      <w:r>
        <w:t>Based upon the pupil-specific information submitted by each school district to the Massachu</w:t>
      </w:r>
      <w:r w:rsidR="00C879C4">
        <w:t xml:space="preserve">setts Department of </w:t>
      </w:r>
      <w:r w:rsidR="005E6FEC">
        <w:t xml:space="preserve">Elementary and Secondary </w:t>
      </w:r>
      <w:r w:rsidR="00C879C4">
        <w:t xml:space="preserve">Education, </w:t>
      </w:r>
      <w:r>
        <w:t>a student is classified as being in one of the following categories, which appear in columns 1 through 10 of the report</w:t>
      </w:r>
      <w:r w:rsidR="00C879C4">
        <w:t>.</w:t>
      </w:r>
    </w:p>
    <w:p w:rsidR="00EE18E7" w:rsidRDefault="00EE18E7">
      <w:pPr>
        <w:pStyle w:val="FootnoteText"/>
      </w:pPr>
    </w:p>
    <w:tbl>
      <w:tblPr>
        <w:tblStyle w:val="LightShading1"/>
        <w:tblW w:w="0" w:type="auto"/>
        <w:tblLook w:val="04A0" w:firstRow="1" w:lastRow="0" w:firstColumn="1" w:lastColumn="0" w:noHBand="0" w:noVBand="1"/>
      </w:tblPr>
      <w:tblGrid>
        <w:gridCol w:w="1160"/>
        <w:gridCol w:w="5968"/>
      </w:tblGrid>
      <w:tr w:rsidR="00D04516" w:rsidRPr="00D04516" w:rsidTr="00D04516">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160" w:type="dxa"/>
          </w:tcPr>
          <w:p w:rsidR="00D04516" w:rsidRPr="00D04516" w:rsidRDefault="00D04516">
            <w:pPr>
              <w:pStyle w:val="FootnoteText"/>
              <w:rPr>
                <w:sz w:val="20"/>
              </w:rPr>
            </w:pPr>
            <w:r w:rsidRPr="00D04516">
              <w:rPr>
                <w:sz w:val="20"/>
              </w:rPr>
              <w:t>Column</w:t>
            </w:r>
          </w:p>
        </w:tc>
        <w:tc>
          <w:tcPr>
            <w:tcW w:w="5968" w:type="dxa"/>
          </w:tcPr>
          <w:p w:rsidR="00D04516" w:rsidRPr="00D04516" w:rsidRDefault="00D04516">
            <w:pPr>
              <w:pStyle w:val="FootnoteText"/>
              <w:cnfStyle w:val="100000000000" w:firstRow="1" w:lastRow="0" w:firstColumn="0" w:lastColumn="0" w:oddVBand="0" w:evenVBand="0" w:oddHBand="0" w:evenHBand="0" w:firstRowFirstColumn="0" w:firstRowLastColumn="0" w:lastRowFirstColumn="0" w:lastRowLastColumn="0"/>
              <w:rPr>
                <w:sz w:val="20"/>
              </w:rPr>
            </w:pPr>
            <w:r w:rsidRPr="00D04516">
              <w:rPr>
                <w:sz w:val="20"/>
              </w:rPr>
              <w:t>Description</w:t>
            </w:r>
          </w:p>
        </w:tc>
      </w:tr>
      <w:tr w:rsidR="00D04516" w:rsidRPr="00D04516" w:rsidTr="00D04516">
        <w:trPr>
          <w:trHeight w:val="263"/>
        </w:trPr>
        <w:tc>
          <w:tcPr>
            <w:cnfStyle w:val="001000000000" w:firstRow="0" w:lastRow="0" w:firstColumn="1" w:lastColumn="0" w:oddVBand="0" w:evenVBand="0" w:oddHBand="0" w:evenHBand="0" w:firstRowFirstColumn="0" w:firstRowLastColumn="0" w:lastRowFirstColumn="0" w:lastRowLastColumn="0"/>
            <w:tcW w:w="1160" w:type="dxa"/>
          </w:tcPr>
          <w:p w:rsidR="00D04516" w:rsidRPr="00D04516" w:rsidRDefault="00D04516" w:rsidP="00D04516">
            <w:pPr>
              <w:rPr>
                <w:sz w:val="20"/>
              </w:rPr>
            </w:pPr>
            <w:r w:rsidRPr="00D04516">
              <w:rPr>
                <w:sz w:val="20"/>
              </w:rPr>
              <w:t>1</w:t>
            </w:r>
          </w:p>
        </w:tc>
        <w:tc>
          <w:tcPr>
            <w:tcW w:w="5968" w:type="dxa"/>
          </w:tcPr>
          <w:p w:rsidR="00D04516" w:rsidRPr="00D04516" w:rsidRDefault="00D04516">
            <w:pPr>
              <w:pStyle w:val="FootnoteText"/>
              <w:cnfStyle w:val="000000000000" w:firstRow="0" w:lastRow="0" w:firstColumn="0" w:lastColumn="0" w:oddVBand="0" w:evenVBand="0" w:oddHBand="0" w:evenHBand="0" w:firstRowFirstColumn="0" w:firstRowLastColumn="0" w:lastRowFirstColumn="0" w:lastRowLastColumn="0"/>
              <w:rPr>
                <w:sz w:val="20"/>
              </w:rPr>
            </w:pPr>
            <w:r w:rsidRPr="00D04516">
              <w:rPr>
                <w:sz w:val="20"/>
              </w:rPr>
              <w:t>regular education or special education pre-kindergarten</w:t>
            </w:r>
          </w:p>
        </w:tc>
      </w:tr>
      <w:tr w:rsidR="00D04516" w:rsidRPr="00D04516" w:rsidTr="00D04516">
        <w:trPr>
          <w:trHeight w:val="263"/>
        </w:trPr>
        <w:tc>
          <w:tcPr>
            <w:cnfStyle w:val="001000000000" w:firstRow="0" w:lastRow="0" w:firstColumn="1" w:lastColumn="0" w:oddVBand="0" w:evenVBand="0" w:oddHBand="0" w:evenHBand="0" w:firstRowFirstColumn="0" w:firstRowLastColumn="0" w:lastRowFirstColumn="0" w:lastRowLastColumn="0"/>
            <w:tcW w:w="1160" w:type="dxa"/>
          </w:tcPr>
          <w:p w:rsidR="00D04516" w:rsidRPr="00D04516" w:rsidRDefault="00D04516" w:rsidP="00D04516">
            <w:pPr>
              <w:rPr>
                <w:sz w:val="20"/>
              </w:rPr>
            </w:pPr>
            <w:r w:rsidRPr="00D04516">
              <w:rPr>
                <w:sz w:val="20"/>
              </w:rPr>
              <w:t>2</w:t>
            </w:r>
          </w:p>
        </w:tc>
        <w:tc>
          <w:tcPr>
            <w:tcW w:w="5968" w:type="dxa"/>
          </w:tcPr>
          <w:p w:rsidR="00D04516" w:rsidRPr="00D04516" w:rsidRDefault="00D04516">
            <w:pPr>
              <w:pStyle w:val="FootnoteText"/>
              <w:cnfStyle w:val="000000000000" w:firstRow="0" w:lastRow="0" w:firstColumn="0" w:lastColumn="0" w:oddVBand="0" w:evenVBand="0" w:oddHBand="0" w:evenHBand="0" w:firstRowFirstColumn="0" w:firstRowLastColumn="0" w:lastRowFirstColumn="0" w:lastRowLastColumn="0"/>
              <w:rPr>
                <w:sz w:val="20"/>
              </w:rPr>
            </w:pPr>
            <w:r w:rsidRPr="00D04516">
              <w:rPr>
                <w:sz w:val="20"/>
              </w:rPr>
              <w:t>regular or special education half-day kindergarten</w:t>
            </w:r>
          </w:p>
        </w:tc>
      </w:tr>
      <w:tr w:rsidR="00D04516" w:rsidRPr="00D04516" w:rsidTr="00D04516">
        <w:trPr>
          <w:trHeight w:val="263"/>
        </w:trPr>
        <w:tc>
          <w:tcPr>
            <w:cnfStyle w:val="001000000000" w:firstRow="0" w:lastRow="0" w:firstColumn="1" w:lastColumn="0" w:oddVBand="0" w:evenVBand="0" w:oddHBand="0" w:evenHBand="0" w:firstRowFirstColumn="0" w:firstRowLastColumn="0" w:lastRowFirstColumn="0" w:lastRowLastColumn="0"/>
            <w:tcW w:w="1160" w:type="dxa"/>
          </w:tcPr>
          <w:p w:rsidR="00D04516" w:rsidRPr="00D04516" w:rsidRDefault="00D04516" w:rsidP="00D04516">
            <w:pPr>
              <w:rPr>
                <w:sz w:val="20"/>
              </w:rPr>
            </w:pPr>
            <w:r w:rsidRPr="00D04516">
              <w:rPr>
                <w:sz w:val="20"/>
              </w:rPr>
              <w:t>3</w:t>
            </w:r>
          </w:p>
        </w:tc>
        <w:tc>
          <w:tcPr>
            <w:tcW w:w="5968" w:type="dxa"/>
          </w:tcPr>
          <w:p w:rsidR="00D04516" w:rsidRPr="00D04516" w:rsidRDefault="00D04516">
            <w:pPr>
              <w:pStyle w:val="FootnoteText"/>
              <w:cnfStyle w:val="000000000000" w:firstRow="0" w:lastRow="0" w:firstColumn="0" w:lastColumn="0" w:oddVBand="0" w:evenVBand="0" w:oddHBand="0" w:evenHBand="0" w:firstRowFirstColumn="0" w:firstRowLastColumn="0" w:lastRowFirstColumn="0" w:lastRowLastColumn="0"/>
              <w:rPr>
                <w:sz w:val="20"/>
              </w:rPr>
            </w:pPr>
            <w:r w:rsidRPr="00D04516">
              <w:rPr>
                <w:sz w:val="20"/>
              </w:rPr>
              <w:t>regular or special education full-day kindergarten</w:t>
            </w:r>
          </w:p>
        </w:tc>
      </w:tr>
      <w:tr w:rsidR="00D04516" w:rsidRPr="00D04516" w:rsidTr="00D04516">
        <w:trPr>
          <w:trHeight w:val="263"/>
        </w:trPr>
        <w:tc>
          <w:tcPr>
            <w:cnfStyle w:val="001000000000" w:firstRow="0" w:lastRow="0" w:firstColumn="1" w:lastColumn="0" w:oddVBand="0" w:evenVBand="0" w:oddHBand="0" w:evenHBand="0" w:firstRowFirstColumn="0" w:firstRowLastColumn="0" w:lastRowFirstColumn="0" w:lastRowLastColumn="0"/>
            <w:tcW w:w="1160" w:type="dxa"/>
          </w:tcPr>
          <w:p w:rsidR="00D04516" w:rsidRPr="00D04516" w:rsidRDefault="00D04516" w:rsidP="00D04516">
            <w:pPr>
              <w:rPr>
                <w:sz w:val="20"/>
              </w:rPr>
            </w:pPr>
            <w:r w:rsidRPr="00D04516">
              <w:rPr>
                <w:sz w:val="20"/>
              </w:rPr>
              <w:t>4</w:t>
            </w:r>
          </w:p>
        </w:tc>
        <w:tc>
          <w:tcPr>
            <w:tcW w:w="5968" w:type="dxa"/>
          </w:tcPr>
          <w:p w:rsidR="00D04516" w:rsidRPr="00D04516" w:rsidRDefault="00D04516">
            <w:pPr>
              <w:pStyle w:val="FootnoteText"/>
              <w:cnfStyle w:val="000000000000" w:firstRow="0" w:lastRow="0" w:firstColumn="0" w:lastColumn="0" w:oddVBand="0" w:evenVBand="0" w:oddHBand="0" w:evenHBand="0" w:firstRowFirstColumn="0" w:firstRowLastColumn="0" w:lastRowFirstColumn="0" w:lastRowLastColumn="0"/>
              <w:rPr>
                <w:sz w:val="20"/>
              </w:rPr>
            </w:pPr>
            <w:r w:rsidRPr="00D04516">
              <w:rPr>
                <w:sz w:val="20"/>
              </w:rPr>
              <w:t>regular or special education elementary (grades 1-5)</w:t>
            </w:r>
          </w:p>
        </w:tc>
      </w:tr>
      <w:tr w:rsidR="00D04516" w:rsidRPr="00D04516" w:rsidTr="00D04516">
        <w:trPr>
          <w:trHeight w:val="263"/>
        </w:trPr>
        <w:tc>
          <w:tcPr>
            <w:cnfStyle w:val="001000000000" w:firstRow="0" w:lastRow="0" w:firstColumn="1" w:lastColumn="0" w:oddVBand="0" w:evenVBand="0" w:oddHBand="0" w:evenHBand="0" w:firstRowFirstColumn="0" w:firstRowLastColumn="0" w:lastRowFirstColumn="0" w:lastRowLastColumn="0"/>
            <w:tcW w:w="1160" w:type="dxa"/>
          </w:tcPr>
          <w:p w:rsidR="00D04516" w:rsidRPr="00D04516" w:rsidRDefault="00D04516" w:rsidP="00D04516">
            <w:pPr>
              <w:rPr>
                <w:sz w:val="20"/>
              </w:rPr>
            </w:pPr>
            <w:r w:rsidRPr="00D04516">
              <w:rPr>
                <w:sz w:val="20"/>
              </w:rPr>
              <w:t>5</w:t>
            </w:r>
          </w:p>
        </w:tc>
        <w:tc>
          <w:tcPr>
            <w:tcW w:w="5968" w:type="dxa"/>
          </w:tcPr>
          <w:p w:rsidR="00D04516" w:rsidRPr="00D04516" w:rsidRDefault="00D04516">
            <w:pPr>
              <w:pStyle w:val="FootnoteText"/>
              <w:cnfStyle w:val="000000000000" w:firstRow="0" w:lastRow="0" w:firstColumn="0" w:lastColumn="0" w:oddVBand="0" w:evenVBand="0" w:oddHBand="0" w:evenHBand="0" w:firstRowFirstColumn="0" w:firstRowLastColumn="0" w:lastRowFirstColumn="0" w:lastRowLastColumn="0"/>
              <w:rPr>
                <w:sz w:val="20"/>
              </w:rPr>
            </w:pPr>
            <w:r w:rsidRPr="00D04516">
              <w:rPr>
                <w:sz w:val="20"/>
              </w:rPr>
              <w:t>regular or special education junior high/middle (grades 6-8)</w:t>
            </w:r>
          </w:p>
        </w:tc>
      </w:tr>
      <w:tr w:rsidR="00D04516" w:rsidRPr="00D04516" w:rsidTr="00D04516">
        <w:trPr>
          <w:trHeight w:val="263"/>
        </w:trPr>
        <w:tc>
          <w:tcPr>
            <w:cnfStyle w:val="001000000000" w:firstRow="0" w:lastRow="0" w:firstColumn="1" w:lastColumn="0" w:oddVBand="0" w:evenVBand="0" w:oddHBand="0" w:evenHBand="0" w:firstRowFirstColumn="0" w:firstRowLastColumn="0" w:lastRowFirstColumn="0" w:lastRowLastColumn="0"/>
            <w:tcW w:w="1160" w:type="dxa"/>
          </w:tcPr>
          <w:p w:rsidR="00D04516" w:rsidRPr="00D04516" w:rsidRDefault="00D04516" w:rsidP="00D04516">
            <w:pPr>
              <w:rPr>
                <w:sz w:val="20"/>
              </w:rPr>
            </w:pPr>
            <w:r w:rsidRPr="00D04516">
              <w:rPr>
                <w:sz w:val="20"/>
              </w:rPr>
              <w:t>6</w:t>
            </w:r>
          </w:p>
        </w:tc>
        <w:tc>
          <w:tcPr>
            <w:tcW w:w="5968" w:type="dxa"/>
          </w:tcPr>
          <w:p w:rsidR="00D04516" w:rsidRPr="00D04516" w:rsidRDefault="00D04516">
            <w:pPr>
              <w:pStyle w:val="FootnoteText"/>
              <w:cnfStyle w:val="000000000000" w:firstRow="0" w:lastRow="0" w:firstColumn="0" w:lastColumn="0" w:oddVBand="0" w:evenVBand="0" w:oddHBand="0" w:evenHBand="0" w:firstRowFirstColumn="0" w:firstRowLastColumn="0" w:lastRowFirstColumn="0" w:lastRowLastColumn="0"/>
              <w:rPr>
                <w:sz w:val="20"/>
              </w:rPr>
            </w:pPr>
            <w:r w:rsidRPr="00D04516">
              <w:rPr>
                <w:sz w:val="20"/>
              </w:rPr>
              <w:t>regular or special education senior high (grades 9-13)</w:t>
            </w:r>
          </w:p>
        </w:tc>
      </w:tr>
      <w:tr w:rsidR="00D04516" w:rsidRPr="00D04516" w:rsidTr="00D04516">
        <w:trPr>
          <w:trHeight w:val="263"/>
        </w:trPr>
        <w:tc>
          <w:tcPr>
            <w:cnfStyle w:val="001000000000" w:firstRow="0" w:lastRow="0" w:firstColumn="1" w:lastColumn="0" w:oddVBand="0" w:evenVBand="0" w:oddHBand="0" w:evenHBand="0" w:firstRowFirstColumn="0" w:firstRowLastColumn="0" w:lastRowFirstColumn="0" w:lastRowLastColumn="0"/>
            <w:tcW w:w="1160" w:type="dxa"/>
          </w:tcPr>
          <w:p w:rsidR="00D04516" w:rsidRPr="00D04516" w:rsidRDefault="00D04516" w:rsidP="00D04516">
            <w:pPr>
              <w:rPr>
                <w:sz w:val="20"/>
              </w:rPr>
            </w:pPr>
            <w:r w:rsidRPr="00D04516">
              <w:rPr>
                <w:sz w:val="20"/>
              </w:rPr>
              <w:t>7</w:t>
            </w:r>
          </w:p>
        </w:tc>
        <w:tc>
          <w:tcPr>
            <w:tcW w:w="5968" w:type="dxa"/>
          </w:tcPr>
          <w:p w:rsidR="00D04516" w:rsidRPr="00D04516" w:rsidRDefault="00D04516">
            <w:pPr>
              <w:pStyle w:val="FootnoteText"/>
              <w:cnfStyle w:val="000000000000" w:firstRow="0" w:lastRow="0" w:firstColumn="0" w:lastColumn="0" w:oddVBand="0" w:evenVBand="0" w:oddHBand="0" w:evenHBand="0" w:firstRowFirstColumn="0" w:firstRowLastColumn="0" w:lastRowFirstColumn="0" w:lastRowLastColumn="0"/>
              <w:rPr>
                <w:sz w:val="20"/>
              </w:rPr>
            </w:pPr>
            <w:r w:rsidRPr="00D04516">
              <w:rPr>
                <w:sz w:val="20"/>
              </w:rPr>
              <w:t>limited English pre-kindergarten</w:t>
            </w:r>
          </w:p>
        </w:tc>
      </w:tr>
      <w:tr w:rsidR="00D04516" w:rsidRPr="00D04516" w:rsidTr="00D04516">
        <w:trPr>
          <w:trHeight w:val="263"/>
        </w:trPr>
        <w:tc>
          <w:tcPr>
            <w:cnfStyle w:val="001000000000" w:firstRow="0" w:lastRow="0" w:firstColumn="1" w:lastColumn="0" w:oddVBand="0" w:evenVBand="0" w:oddHBand="0" w:evenHBand="0" w:firstRowFirstColumn="0" w:firstRowLastColumn="0" w:lastRowFirstColumn="0" w:lastRowLastColumn="0"/>
            <w:tcW w:w="1160" w:type="dxa"/>
          </w:tcPr>
          <w:p w:rsidR="00D04516" w:rsidRPr="00D04516" w:rsidRDefault="00D04516" w:rsidP="00D04516">
            <w:pPr>
              <w:rPr>
                <w:sz w:val="20"/>
              </w:rPr>
            </w:pPr>
            <w:r w:rsidRPr="00D04516">
              <w:rPr>
                <w:sz w:val="20"/>
              </w:rPr>
              <w:t>8</w:t>
            </w:r>
          </w:p>
        </w:tc>
        <w:tc>
          <w:tcPr>
            <w:tcW w:w="5968" w:type="dxa"/>
          </w:tcPr>
          <w:p w:rsidR="00D04516" w:rsidRPr="00D04516" w:rsidRDefault="00D04516">
            <w:pPr>
              <w:pStyle w:val="FootnoteText"/>
              <w:cnfStyle w:val="000000000000" w:firstRow="0" w:lastRow="0" w:firstColumn="0" w:lastColumn="0" w:oddVBand="0" w:evenVBand="0" w:oddHBand="0" w:evenHBand="0" w:firstRowFirstColumn="0" w:firstRowLastColumn="0" w:lastRowFirstColumn="0" w:lastRowLastColumn="0"/>
              <w:rPr>
                <w:sz w:val="20"/>
              </w:rPr>
            </w:pPr>
            <w:r w:rsidRPr="00D04516">
              <w:rPr>
                <w:sz w:val="20"/>
              </w:rPr>
              <w:t>limited English half-day kindergarten</w:t>
            </w:r>
          </w:p>
        </w:tc>
      </w:tr>
      <w:tr w:rsidR="00D04516" w:rsidRPr="00D04516" w:rsidTr="00D04516">
        <w:trPr>
          <w:trHeight w:val="263"/>
        </w:trPr>
        <w:tc>
          <w:tcPr>
            <w:cnfStyle w:val="001000000000" w:firstRow="0" w:lastRow="0" w:firstColumn="1" w:lastColumn="0" w:oddVBand="0" w:evenVBand="0" w:oddHBand="0" w:evenHBand="0" w:firstRowFirstColumn="0" w:firstRowLastColumn="0" w:lastRowFirstColumn="0" w:lastRowLastColumn="0"/>
            <w:tcW w:w="1160" w:type="dxa"/>
          </w:tcPr>
          <w:p w:rsidR="00D04516" w:rsidRPr="00D04516" w:rsidRDefault="00D04516" w:rsidP="00D04516">
            <w:pPr>
              <w:rPr>
                <w:sz w:val="20"/>
              </w:rPr>
            </w:pPr>
            <w:r w:rsidRPr="00D04516">
              <w:rPr>
                <w:sz w:val="20"/>
              </w:rPr>
              <w:t>9</w:t>
            </w:r>
          </w:p>
        </w:tc>
        <w:tc>
          <w:tcPr>
            <w:tcW w:w="5968" w:type="dxa"/>
          </w:tcPr>
          <w:p w:rsidR="00D04516" w:rsidRPr="00D04516" w:rsidRDefault="00D04516">
            <w:pPr>
              <w:pStyle w:val="FootnoteText"/>
              <w:cnfStyle w:val="000000000000" w:firstRow="0" w:lastRow="0" w:firstColumn="0" w:lastColumn="0" w:oddVBand="0" w:evenVBand="0" w:oddHBand="0" w:evenHBand="0" w:firstRowFirstColumn="0" w:firstRowLastColumn="0" w:lastRowFirstColumn="0" w:lastRowLastColumn="0"/>
              <w:rPr>
                <w:sz w:val="20"/>
              </w:rPr>
            </w:pPr>
            <w:r w:rsidRPr="00D04516">
              <w:rPr>
                <w:sz w:val="20"/>
              </w:rPr>
              <w:t>limited English (grades 1-12)</w:t>
            </w:r>
          </w:p>
        </w:tc>
      </w:tr>
      <w:tr w:rsidR="00D04516" w:rsidRPr="00D04516" w:rsidTr="00D04516">
        <w:trPr>
          <w:trHeight w:val="263"/>
        </w:trPr>
        <w:tc>
          <w:tcPr>
            <w:cnfStyle w:val="001000000000" w:firstRow="0" w:lastRow="0" w:firstColumn="1" w:lastColumn="0" w:oddVBand="0" w:evenVBand="0" w:oddHBand="0" w:evenHBand="0" w:firstRowFirstColumn="0" w:firstRowLastColumn="0" w:lastRowFirstColumn="0" w:lastRowLastColumn="0"/>
            <w:tcW w:w="1160" w:type="dxa"/>
          </w:tcPr>
          <w:p w:rsidR="00D04516" w:rsidRPr="00D04516" w:rsidRDefault="00D04516" w:rsidP="00D04516">
            <w:pPr>
              <w:rPr>
                <w:sz w:val="20"/>
              </w:rPr>
            </w:pPr>
            <w:r w:rsidRPr="00D04516">
              <w:rPr>
                <w:sz w:val="20"/>
              </w:rPr>
              <w:t>10</w:t>
            </w:r>
          </w:p>
        </w:tc>
        <w:tc>
          <w:tcPr>
            <w:tcW w:w="5968" w:type="dxa"/>
          </w:tcPr>
          <w:p w:rsidR="00D04516" w:rsidRPr="00D04516" w:rsidRDefault="00D04516">
            <w:pPr>
              <w:pStyle w:val="FootnoteText"/>
              <w:cnfStyle w:val="000000000000" w:firstRow="0" w:lastRow="0" w:firstColumn="0" w:lastColumn="0" w:oddVBand="0" w:evenVBand="0" w:oddHBand="0" w:evenHBand="0" w:firstRowFirstColumn="0" w:firstRowLastColumn="0" w:lastRowFirstColumn="0" w:lastRowLastColumn="0"/>
              <w:rPr>
                <w:sz w:val="20"/>
              </w:rPr>
            </w:pPr>
            <w:r w:rsidRPr="00D04516">
              <w:rPr>
                <w:sz w:val="20"/>
              </w:rPr>
              <w:t>vocational education (grades 9-12)</w:t>
            </w:r>
            <w:r w:rsidRPr="00D04516">
              <w:rPr>
                <w:rStyle w:val="FootnoteReference"/>
                <w:sz w:val="20"/>
              </w:rPr>
              <w:footnoteReference w:id="3"/>
            </w:r>
          </w:p>
        </w:tc>
      </w:tr>
    </w:tbl>
    <w:p w:rsidR="006C604D" w:rsidRDefault="006C604D">
      <w:pPr>
        <w:pStyle w:val="FootnoteText"/>
      </w:pPr>
    </w:p>
    <w:p w:rsidR="00EE18E7" w:rsidRPr="00C72A64" w:rsidRDefault="00EE18E7" w:rsidP="00D04516">
      <w:r w:rsidRPr="00C72A64">
        <w:t>These headcounts are used to compute total foundation enrollment at the far right of the report</w:t>
      </w:r>
      <w:r w:rsidR="00AC0D1D" w:rsidRPr="00C72A64">
        <w:t xml:space="preserve">.  </w:t>
      </w:r>
      <w:r w:rsidRPr="00C72A64">
        <w:t>Note that for the purpose of computing this total, pre-school and half-day kindergarten categories count as .5 full-time equivalent pupils because they typically attend for half the school day</w:t>
      </w:r>
      <w:r w:rsidR="00AC0D1D" w:rsidRPr="00C72A64">
        <w:t xml:space="preserve">.  </w:t>
      </w:r>
      <w:r w:rsidRPr="00C67337">
        <w:t xml:space="preserve">For example, </w:t>
      </w:r>
      <w:r w:rsidR="004801CC" w:rsidRPr="00C67337">
        <w:t>Marshfield</w:t>
      </w:r>
      <w:r w:rsidR="003F027A" w:rsidRPr="00C67337">
        <w:t>’s</w:t>
      </w:r>
      <w:r w:rsidRPr="00C67337">
        <w:t xml:space="preserve"> total foundation enrollment of </w:t>
      </w:r>
      <w:r w:rsidR="00C67337" w:rsidRPr="00C67337">
        <w:t>4,299</w:t>
      </w:r>
      <w:r w:rsidR="003F027A" w:rsidRPr="00C67337">
        <w:t xml:space="preserve"> </w:t>
      </w:r>
      <w:r w:rsidRPr="00C67337">
        <w:t xml:space="preserve">(shown in the last column on the right) counts </w:t>
      </w:r>
      <w:r w:rsidR="000353CC" w:rsidRPr="00C67337">
        <w:t xml:space="preserve">its </w:t>
      </w:r>
      <w:r w:rsidR="00C67337" w:rsidRPr="00C67337">
        <w:t>149</w:t>
      </w:r>
      <w:r w:rsidR="000353CC" w:rsidRPr="00C67337">
        <w:t xml:space="preserve"> p</w:t>
      </w:r>
      <w:r w:rsidRPr="00C67337">
        <w:t xml:space="preserve">re-schoolers </w:t>
      </w:r>
      <w:r w:rsidR="000353CC" w:rsidRPr="00C67337">
        <w:t>(column</w:t>
      </w:r>
      <w:r w:rsidR="003F027A" w:rsidRPr="00C67337">
        <w:t>s</w:t>
      </w:r>
      <w:r w:rsidR="000353CC" w:rsidRPr="00C67337">
        <w:t xml:space="preserve"> 1</w:t>
      </w:r>
      <w:r w:rsidR="003F027A" w:rsidRPr="00C67337">
        <w:t xml:space="preserve"> and 7</w:t>
      </w:r>
      <w:r w:rsidR="000353CC" w:rsidRPr="00C67337">
        <w:t xml:space="preserve">) as </w:t>
      </w:r>
      <w:r w:rsidR="00C67337" w:rsidRPr="00C67337">
        <w:t>75</w:t>
      </w:r>
      <w:r w:rsidR="000353CC" w:rsidRPr="00C67337">
        <w:t xml:space="preserve"> pupils; </w:t>
      </w:r>
      <w:r w:rsidR="00C67337" w:rsidRPr="00C67337">
        <w:t xml:space="preserve">and </w:t>
      </w:r>
      <w:r w:rsidRPr="00C67337">
        <w:t xml:space="preserve">its </w:t>
      </w:r>
      <w:r w:rsidR="00C67337" w:rsidRPr="00C67337">
        <w:t>242</w:t>
      </w:r>
      <w:r w:rsidRPr="00C67337">
        <w:t xml:space="preserve"> half-day kindergartners </w:t>
      </w:r>
      <w:r w:rsidR="003F027A" w:rsidRPr="00C67337">
        <w:t xml:space="preserve">(column 2) count as </w:t>
      </w:r>
      <w:r w:rsidR="00C67337" w:rsidRPr="00C67337">
        <w:t>121</w:t>
      </w:r>
      <w:r w:rsidR="000353CC" w:rsidRPr="00C67337">
        <w:t xml:space="preserve"> pupils</w:t>
      </w:r>
      <w:r w:rsidR="00C67337" w:rsidRPr="00C67337">
        <w:t>.</w:t>
      </w:r>
    </w:p>
    <w:p w:rsidR="00EE18E7" w:rsidRDefault="00EE18E7" w:rsidP="00D04516"/>
    <w:p w:rsidR="00EE18E7" w:rsidRDefault="00EE18E7" w:rsidP="00D04516">
      <w:r>
        <w:t>In columns 11 through 14 there are four cost increment categories that are intended to reflect the additional resources needed to educate special education and low-income students</w:t>
      </w:r>
      <w:r w:rsidR="00AC0D1D">
        <w:t xml:space="preserve">.  </w:t>
      </w:r>
      <w:r>
        <w:t>These students have already been counted in columns 1 through 10, and are therefore not added to total enrollment</w:t>
      </w:r>
      <w:r w:rsidR="001E5A83">
        <w:t>.</w:t>
      </w:r>
    </w:p>
    <w:p w:rsidR="00EE18E7" w:rsidRDefault="00EE18E7"/>
    <w:p w:rsidR="00EE18E7" w:rsidRDefault="00EE18E7" w:rsidP="00D04516">
      <w:pPr>
        <w:pStyle w:val="ListParagraph"/>
        <w:numPr>
          <w:ilvl w:val="0"/>
          <w:numId w:val="3"/>
        </w:numPr>
      </w:pPr>
      <w:r>
        <w:t xml:space="preserve">Assumed in-district special education enrollment (column 11) is set at 3.75 percent of foundation enrollment (not including pre-kindergarten and vocational pupils) and 4.75 </w:t>
      </w:r>
      <w:r>
        <w:lastRenderedPageBreak/>
        <w:t>percent of vocational enrollment</w:t>
      </w:r>
      <w:r w:rsidR="00AC0D1D">
        <w:t xml:space="preserve">.  </w:t>
      </w:r>
      <w:r>
        <w:t xml:space="preserve">These headcounts are “assumed” rather than actual counts of pupils, an approach </w:t>
      </w:r>
      <w:r w:rsidR="001E5A83">
        <w:t>which is practiced in other states around the country</w:t>
      </w:r>
      <w:r>
        <w:t>.</w:t>
      </w:r>
      <w:r>
        <w:rPr>
          <w:rStyle w:val="FootnoteReference"/>
        </w:rPr>
        <w:footnoteReference w:id="4"/>
      </w:r>
    </w:p>
    <w:p w:rsidR="00EE18E7" w:rsidRDefault="00EE18E7" w:rsidP="00D04516"/>
    <w:p w:rsidR="00EE18E7" w:rsidRDefault="00EE18E7" w:rsidP="00D04516">
      <w:pPr>
        <w:pStyle w:val="ListParagraph"/>
        <w:numPr>
          <w:ilvl w:val="0"/>
          <w:numId w:val="3"/>
        </w:numPr>
      </w:pPr>
      <w:r>
        <w:t>Assumed out-of-district special education enrollment (column 12) is set at one percent of total foundation enrollment (again not including pre-kindergarten and vocational pupils)</w:t>
      </w:r>
      <w:r w:rsidR="001E5A83">
        <w:t>.</w:t>
      </w:r>
    </w:p>
    <w:p w:rsidR="00EE18E7" w:rsidRDefault="00EE18E7" w:rsidP="00D04516"/>
    <w:p w:rsidR="00EE18E7" w:rsidRDefault="00EE18E7" w:rsidP="00D04516">
      <w:pPr>
        <w:pStyle w:val="ListParagraph"/>
        <w:numPr>
          <w:ilvl w:val="0"/>
          <w:numId w:val="3"/>
        </w:numPr>
      </w:pPr>
      <w:r>
        <w:t>Low-income status is reported on the basis of eligibility for free and reduced lunch programs</w:t>
      </w:r>
      <w:r w:rsidR="00AC0D1D">
        <w:t xml:space="preserve">.  </w:t>
      </w:r>
      <w:r w:rsidRPr="00D41533">
        <w:t>The FY</w:t>
      </w:r>
      <w:r w:rsidR="00D41533" w:rsidRPr="00D41533">
        <w:t xml:space="preserve">15 </w:t>
      </w:r>
      <w:r w:rsidRPr="00D41533">
        <w:t xml:space="preserve">increment for grade 1 to 8 low income students (column 13) is </w:t>
      </w:r>
      <w:r w:rsidR="00A45114" w:rsidRPr="00D41533">
        <w:t>$</w:t>
      </w:r>
      <w:r w:rsidR="001E5A83" w:rsidRPr="00D41533">
        <w:t>3,</w:t>
      </w:r>
      <w:r w:rsidR="00D41533" w:rsidRPr="00D41533">
        <w:t>422</w:t>
      </w:r>
      <w:r w:rsidR="001E5A83" w:rsidRPr="00D41533">
        <w:t xml:space="preserve"> </w:t>
      </w:r>
      <w:r w:rsidRPr="00D41533">
        <w:t>per pupil</w:t>
      </w:r>
      <w:r w:rsidR="00AC0D1D" w:rsidRPr="00D41533">
        <w:t xml:space="preserve">.  </w:t>
      </w:r>
      <w:r w:rsidRPr="00D41533">
        <w:t>The FY</w:t>
      </w:r>
      <w:r w:rsidR="00D41533" w:rsidRPr="00D41533">
        <w:t>15</w:t>
      </w:r>
      <w:r w:rsidRPr="00D41533">
        <w:t xml:space="preserve"> increment for grade 9 to 12 low income students is $</w:t>
      </w:r>
      <w:r w:rsidR="001E5A83" w:rsidRPr="00D41533">
        <w:t>2,7</w:t>
      </w:r>
      <w:r w:rsidR="00D41533" w:rsidRPr="00D41533">
        <w:t>67</w:t>
      </w:r>
      <w:r>
        <w:t xml:space="preserve"> </w:t>
      </w:r>
      <w:r w:rsidRPr="00D04516">
        <w:t>(column 14)</w:t>
      </w:r>
      <w:r w:rsidR="00AC0D1D" w:rsidRPr="00D04516">
        <w:t xml:space="preserve">.  </w:t>
      </w:r>
      <w:r w:rsidRPr="00D04516">
        <w:t xml:space="preserve">Massachusetts </w:t>
      </w:r>
      <w:proofErr w:type="gramStart"/>
      <w:r w:rsidRPr="00D04516">
        <w:t>has been ranked</w:t>
      </w:r>
      <w:proofErr w:type="gramEnd"/>
      <w:r w:rsidRPr="00D04516">
        <w:t xml:space="preserve"> as having the highest such poverty factors in the nation.</w:t>
      </w:r>
      <w:r w:rsidRPr="00D41533">
        <w:rPr>
          <w:rStyle w:val="FootnoteReference"/>
        </w:rPr>
        <w:footnoteReference w:id="5"/>
      </w:r>
    </w:p>
    <w:p w:rsidR="008A5CDB" w:rsidRDefault="008A5CDB"/>
    <w:p w:rsidR="00EE18E7" w:rsidRDefault="00EE18E7" w:rsidP="00D04516">
      <w:pPr>
        <w:pStyle w:val="Heading2"/>
      </w:pPr>
      <w:r>
        <w:t>Associating a cost with each enrollment category and function</w:t>
      </w:r>
    </w:p>
    <w:p w:rsidR="00EE18E7" w:rsidRDefault="00EE18E7"/>
    <w:p w:rsidR="00EE18E7" w:rsidRDefault="00EE18E7">
      <w:pPr>
        <w:pStyle w:val="FootnoteText"/>
      </w:pPr>
      <w:r>
        <w:t>Each pupil generates a specific cost in each functional category</w:t>
      </w:r>
      <w:r w:rsidR="00AC0D1D">
        <w:t xml:space="preserve">.  </w:t>
      </w:r>
      <w:r>
        <w:t>The costs are higher at the upper grades</w:t>
      </w:r>
      <w:r w:rsidR="00AC0D1D">
        <w:t xml:space="preserve">.  </w:t>
      </w:r>
      <w:r>
        <w:t>They are also higher in the limited English and vocational programs</w:t>
      </w:r>
      <w:r w:rsidR="00AC0D1D">
        <w:t xml:space="preserve">.  </w:t>
      </w:r>
      <w:r>
        <w:t>Special education and low-income increments add substantial costs as well</w:t>
      </w:r>
      <w:r w:rsidR="00AC0D1D">
        <w:t xml:space="preserve">.  </w:t>
      </w:r>
    </w:p>
    <w:p w:rsidR="00EE18E7" w:rsidRDefault="00EE18E7">
      <w:pPr>
        <w:pStyle w:val="FootnoteText"/>
      </w:pPr>
    </w:p>
    <w:p w:rsidR="001632C8" w:rsidRDefault="00EE18E7">
      <w:pPr>
        <w:pStyle w:val="FootnoteText"/>
      </w:pPr>
      <w:r w:rsidRPr="004B6244">
        <w:t xml:space="preserve">A summary of the </w:t>
      </w:r>
      <w:r w:rsidRPr="00AF7822">
        <w:t>assumpt</w:t>
      </w:r>
      <w:r w:rsidRPr="00AF7822">
        <w:t>i</w:t>
      </w:r>
      <w:r w:rsidRPr="00AF7822">
        <w:t>ons underlying foundation rates</w:t>
      </w:r>
      <w:r w:rsidRPr="004B6244">
        <w:t xml:space="preserve"> describes how all eleven categories </w:t>
      </w:r>
      <w:proofErr w:type="gramStart"/>
      <w:r w:rsidRPr="004B6244">
        <w:t>are derived</w:t>
      </w:r>
      <w:proofErr w:type="gramEnd"/>
      <w:r w:rsidR="00AC0D1D" w:rsidRPr="004B6244">
        <w:t xml:space="preserve">.  </w:t>
      </w:r>
      <w:r w:rsidRPr="004B6244">
        <w:t>The largest dollar amount is represented by the class size and salary assumptions for teachers</w:t>
      </w:r>
      <w:r w:rsidR="00AC0D1D" w:rsidRPr="004B6244">
        <w:t xml:space="preserve">.  </w:t>
      </w:r>
      <w:r w:rsidRPr="0097446D">
        <w:t>The statutory class sizes of 22 for elementary, 25 for junior high/middle, and 17 for high school remain in effect</w:t>
      </w:r>
      <w:r w:rsidR="00AC0D1D" w:rsidRPr="0097446D">
        <w:t xml:space="preserve">.  </w:t>
      </w:r>
      <w:r w:rsidRPr="0097446D">
        <w:t>The FY94 teacher salary of $38,000 has been factored up by inflation so that in FY</w:t>
      </w:r>
      <w:r w:rsidR="0097446D" w:rsidRPr="0097446D">
        <w:t>15</w:t>
      </w:r>
      <w:r w:rsidRPr="0097446D">
        <w:t xml:space="preserve"> it stands at $</w:t>
      </w:r>
      <w:r w:rsidR="007D0BB0">
        <w:t>65,929</w:t>
      </w:r>
      <w:r w:rsidR="005E5188" w:rsidRPr="0097446D">
        <w:t>.</w:t>
      </w:r>
    </w:p>
    <w:p w:rsidR="00D04516" w:rsidRDefault="00D04516" w:rsidP="00D04516">
      <w:pPr>
        <w:pStyle w:val="FootnoteText"/>
      </w:pPr>
    </w:p>
    <w:p w:rsidR="00EE18E7" w:rsidRDefault="00EE18E7" w:rsidP="00D04516">
      <w:pPr>
        <w:pStyle w:val="Heading2"/>
      </w:pPr>
      <w:r>
        <w:t>The Wage Adjustment Factor</w:t>
      </w:r>
    </w:p>
    <w:p w:rsidR="00EE18E7" w:rsidRDefault="00EE18E7">
      <w:pPr>
        <w:pStyle w:val="FootnoteText"/>
      </w:pPr>
    </w:p>
    <w:p w:rsidR="00EE18E7" w:rsidRDefault="00EE18E7" w:rsidP="00D04516">
      <w:r>
        <w:t>The “wage adjustment factor” gives a district credit for having higher school costs if it is located in a geographic area where average wages are higher than in other areas of the state</w:t>
      </w:r>
      <w:r w:rsidR="00AC0D1D">
        <w:t xml:space="preserve">.  </w:t>
      </w:r>
      <w:r>
        <w:t>In theory it is more expensive for them to attract teachers and other staff to come to work there, because the cost of living is higher</w:t>
      </w:r>
      <w:r w:rsidR="00AC0D1D">
        <w:t xml:space="preserve">.  </w:t>
      </w:r>
      <w:r>
        <w:t>Massachusetts is one of the few states in the country to use such a factor.</w:t>
      </w:r>
    </w:p>
    <w:p w:rsidR="00EE18E7" w:rsidRDefault="00EE18E7" w:rsidP="00D04516"/>
    <w:p w:rsidR="00EE18E7" w:rsidRDefault="00EE18E7" w:rsidP="00D04516">
      <w:r>
        <w:t>The wage factor is calculated using the latest available average wage data supplied by the state’s Department of Employment</w:t>
      </w:r>
      <w:r w:rsidR="00AC0D1D">
        <w:t xml:space="preserve">.  </w:t>
      </w:r>
      <w:r>
        <w:t>The factor reflects a town’s own average, but is much more heavily weighted to the average of the “labor market area” the town is located in</w:t>
      </w:r>
      <w:r w:rsidR="00AC0D1D">
        <w:t xml:space="preserve">.  </w:t>
      </w:r>
      <w:r>
        <w:t>There are 23 labor market areas used</w:t>
      </w:r>
      <w:r w:rsidR="00AC0D1D">
        <w:t xml:space="preserve">.  </w:t>
      </w:r>
      <w:r>
        <w:t>There are real differences in these averages, which represent the combined total for all industries both private and public</w:t>
      </w:r>
      <w:r w:rsidR="00D04516">
        <w:t>.</w:t>
      </w:r>
    </w:p>
    <w:p w:rsidR="00D04516" w:rsidRDefault="00D04516" w:rsidP="00D04516"/>
    <w:tbl>
      <w:tblPr>
        <w:tblW w:w="10216" w:type="dxa"/>
        <w:tblLook w:val="04A0" w:firstRow="1" w:lastRow="0" w:firstColumn="1" w:lastColumn="0" w:noHBand="0" w:noVBand="1"/>
      </w:tblPr>
      <w:tblGrid>
        <w:gridCol w:w="5265"/>
        <w:gridCol w:w="2034"/>
        <w:gridCol w:w="1670"/>
        <w:gridCol w:w="1247"/>
      </w:tblGrid>
      <w:tr w:rsidR="00AD2BD4" w:rsidRPr="00444D5E" w:rsidTr="004F3D05">
        <w:trPr>
          <w:trHeight w:val="271"/>
          <w:tblHeader/>
        </w:trPr>
        <w:tc>
          <w:tcPr>
            <w:tcW w:w="5265" w:type="dxa"/>
            <w:shd w:val="clear" w:color="auto" w:fill="auto"/>
            <w:noWrap/>
            <w:vAlign w:val="center"/>
            <w:hideMark/>
          </w:tcPr>
          <w:p w:rsidR="00AD2BD4" w:rsidRPr="0097446D" w:rsidRDefault="00AD2BD4" w:rsidP="00D04516">
            <w:pPr>
              <w:rPr>
                <w:rFonts w:eastAsia="Calibri"/>
                <w:b/>
              </w:rPr>
            </w:pPr>
          </w:p>
        </w:tc>
        <w:tc>
          <w:tcPr>
            <w:tcW w:w="2034" w:type="dxa"/>
            <w:shd w:val="clear" w:color="auto" w:fill="auto"/>
            <w:noWrap/>
            <w:vAlign w:val="center"/>
            <w:hideMark/>
          </w:tcPr>
          <w:p w:rsidR="00AD2BD4" w:rsidRPr="0097446D" w:rsidRDefault="00AD2BD4" w:rsidP="00D04516">
            <w:pPr>
              <w:rPr>
                <w:rFonts w:eastAsia="Calibri"/>
                <w:b/>
              </w:rPr>
            </w:pPr>
            <w:r w:rsidRPr="0097446D">
              <w:rPr>
                <w:rFonts w:eastAsia="Calibri"/>
                <w:b/>
              </w:rPr>
              <w:t>CY1</w:t>
            </w:r>
            <w:r w:rsidR="0097446D">
              <w:rPr>
                <w:rFonts w:eastAsia="Calibri"/>
                <w:b/>
              </w:rPr>
              <w:t>2</w:t>
            </w:r>
          </w:p>
        </w:tc>
        <w:tc>
          <w:tcPr>
            <w:tcW w:w="1670" w:type="dxa"/>
            <w:shd w:val="clear" w:color="auto" w:fill="auto"/>
            <w:noWrap/>
            <w:vAlign w:val="center"/>
            <w:hideMark/>
          </w:tcPr>
          <w:p w:rsidR="00AD2BD4" w:rsidRPr="0097446D" w:rsidRDefault="0097446D" w:rsidP="00D04516">
            <w:pPr>
              <w:rPr>
                <w:rFonts w:eastAsia="Calibri"/>
                <w:b/>
              </w:rPr>
            </w:pPr>
            <w:r w:rsidRPr="0097446D">
              <w:rPr>
                <w:rFonts w:eastAsia="Calibri"/>
                <w:b/>
              </w:rPr>
              <w:t>CY1</w:t>
            </w:r>
            <w:r>
              <w:rPr>
                <w:rFonts w:eastAsia="Calibri"/>
                <w:b/>
              </w:rPr>
              <w:t>2</w:t>
            </w:r>
          </w:p>
        </w:tc>
        <w:tc>
          <w:tcPr>
            <w:tcW w:w="1247" w:type="dxa"/>
            <w:shd w:val="clear" w:color="auto" w:fill="auto"/>
            <w:noWrap/>
            <w:vAlign w:val="center"/>
            <w:hideMark/>
          </w:tcPr>
          <w:p w:rsidR="00AD2BD4" w:rsidRPr="0097446D" w:rsidRDefault="0097446D" w:rsidP="00D04516">
            <w:pPr>
              <w:rPr>
                <w:rFonts w:eastAsia="Calibri"/>
                <w:b/>
              </w:rPr>
            </w:pPr>
            <w:r w:rsidRPr="0097446D">
              <w:rPr>
                <w:rFonts w:eastAsia="Calibri"/>
                <w:b/>
              </w:rPr>
              <w:t>CY1</w:t>
            </w:r>
            <w:r>
              <w:rPr>
                <w:rFonts w:eastAsia="Calibri"/>
                <w:b/>
              </w:rPr>
              <w:t>2</w:t>
            </w:r>
          </w:p>
        </w:tc>
      </w:tr>
      <w:tr w:rsidR="00AD2BD4" w:rsidRPr="00444D5E" w:rsidTr="004F3D05">
        <w:trPr>
          <w:trHeight w:val="231"/>
          <w:tblHeader/>
        </w:trPr>
        <w:tc>
          <w:tcPr>
            <w:tcW w:w="5265" w:type="dxa"/>
            <w:shd w:val="clear" w:color="auto" w:fill="auto"/>
            <w:noWrap/>
            <w:vAlign w:val="center"/>
            <w:hideMark/>
          </w:tcPr>
          <w:p w:rsidR="00AD2BD4" w:rsidRPr="0097446D" w:rsidRDefault="00AD2BD4" w:rsidP="00D04516">
            <w:pPr>
              <w:rPr>
                <w:rFonts w:eastAsia="Calibri"/>
                <w:b/>
              </w:rPr>
            </w:pPr>
            <w:r w:rsidRPr="0097446D">
              <w:rPr>
                <w:rFonts w:eastAsia="Calibri"/>
                <w:b/>
              </w:rPr>
              <w:t>Labor Market Area</w:t>
            </w:r>
          </w:p>
        </w:tc>
        <w:tc>
          <w:tcPr>
            <w:tcW w:w="2034" w:type="dxa"/>
            <w:shd w:val="clear" w:color="auto" w:fill="auto"/>
            <w:noWrap/>
            <w:vAlign w:val="center"/>
            <w:hideMark/>
          </w:tcPr>
          <w:p w:rsidR="00AD2BD4" w:rsidRPr="0097446D" w:rsidRDefault="00AD2BD4" w:rsidP="00D04516">
            <w:pPr>
              <w:rPr>
                <w:rFonts w:eastAsia="Calibri"/>
                <w:b/>
              </w:rPr>
            </w:pPr>
            <w:r w:rsidRPr="0097446D">
              <w:rPr>
                <w:rFonts w:eastAsia="Calibri"/>
                <w:b/>
              </w:rPr>
              <w:t>Wages</w:t>
            </w:r>
          </w:p>
        </w:tc>
        <w:tc>
          <w:tcPr>
            <w:tcW w:w="1670" w:type="dxa"/>
            <w:shd w:val="clear" w:color="auto" w:fill="auto"/>
            <w:noWrap/>
            <w:vAlign w:val="center"/>
            <w:hideMark/>
          </w:tcPr>
          <w:p w:rsidR="00AD2BD4" w:rsidRPr="0097446D" w:rsidRDefault="00AD2BD4" w:rsidP="00D04516">
            <w:pPr>
              <w:rPr>
                <w:rFonts w:eastAsia="Calibri"/>
                <w:b/>
              </w:rPr>
            </w:pPr>
            <w:r w:rsidRPr="0097446D">
              <w:rPr>
                <w:rFonts w:eastAsia="Calibri"/>
                <w:b/>
              </w:rPr>
              <w:t>Employment</w:t>
            </w:r>
          </w:p>
        </w:tc>
        <w:tc>
          <w:tcPr>
            <w:tcW w:w="1247" w:type="dxa"/>
            <w:shd w:val="clear" w:color="auto" w:fill="auto"/>
            <w:noWrap/>
            <w:vAlign w:val="center"/>
            <w:hideMark/>
          </w:tcPr>
          <w:p w:rsidR="00AD2BD4" w:rsidRPr="0097446D" w:rsidRDefault="00AD2BD4" w:rsidP="00D04516">
            <w:pPr>
              <w:rPr>
                <w:rFonts w:eastAsia="Calibri"/>
                <w:b/>
              </w:rPr>
            </w:pPr>
            <w:r w:rsidRPr="0097446D">
              <w:rPr>
                <w:rFonts w:eastAsia="Calibri"/>
                <w:b/>
              </w:rPr>
              <w:t>LMA Avg</w:t>
            </w:r>
          </w:p>
        </w:tc>
      </w:tr>
      <w:tr w:rsidR="0097446D" w:rsidRPr="00444D5E" w:rsidTr="006F04F0">
        <w:trPr>
          <w:trHeight w:val="271"/>
        </w:trPr>
        <w:tc>
          <w:tcPr>
            <w:tcW w:w="5265" w:type="dxa"/>
            <w:shd w:val="clear" w:color="auto" w:fill="auto"/>
            <w:noWrap/>
            <w:vAlign w:val="bottom"/>
            <w:hideMark/>
          </w:tcPr>
          <w:p w:rsidR="0097446D" w:rsidRDefault="0097446D" w:rsidP="0097446D">
            <w:r>
              <w:t>unassigned</w:t>
            </w:r>
          </w:p>
        </w:tc>
        <w:tc>
          <w:tcPr>
            <w:tcW w:w="2034" w:type="dxa"/>
            <w:shd w:val="clear" w:color="auto" w:fill="auto"/>
            <w:noWrap/>
            <w:vAlign w:val="bottom"/>
            <w:hideMark/>
          </w:tcPr>
          <w:p w:rsidR="0097446D" w:rsidRDefault="0097446D" w:rsidP="0097446D">
            <w:r>
              <w:t xml:space="preserve">        157,958,280 </w:t>
            </w:r>
          </w:p>
        </w:tc>
        <w:tc>
          <w:tcPr>
            <w:tcW w:w="1670" w:type="dxa"/>
            <w:shd w:val="clear" w:color="auto" w:fill="auto"/>
            <w:noWrap/>
            <w:vAlign w:val="bottom"/>
            <w:hideMark/>
          </w:tcPr>
          <w:p w:rsidR="0097446D" w:rsidRDefault="0097446D" w:rsidP="0097446D">
            <w:r>
              <w:t xml:space="preserve">             4,644 </w:t>
            </w:r>
          </w:p>
        </w:tc>
        <w:tc>
          <w:tcPr>
            <w:tcW w:w="1247" w:type="dxa"/>
            <w:shd w:val="clear" w:color="auto" w:fill="auto"/>
            <w:noWrap/>
            <w:vAlign w:val="bottom"/>
            <w:hideMark/>
          </w:tcPr>
          <w:p w:rsidR="0097446D" w:rsidRDefault="0097446D" w:rsidP="0097446D">
            <w:r>
              <w:t>34,013</w:t>
            </w:r>
          </w:p>
        </w:tc>
      </w:tr>
      <w:tr w:rsidR="0097446D" w:rsidRPr="00444D5E" w:rsidTr="006F04F0">
        <w:trPr>
          <w:trHeight w:val="271"/>
        </w:trPr>
        <w:tc>
          <w:tcPr>
            <w:tcW w:w="5265" w:type="dxa"/>
            <w:shd w:val="clear" w:color="auto" w:fill="auto"/>
            <w:noWrap/>
            <w:vAlign w:val="bottom"/>
            <w:hideMark/>
          </w:tcPr>
          <w:p w:rsidR="0097446D" w:rsidRDefault="0097446D" w:rsidP="0097446D">
            <w:r>
              <w:t>Great Barrington, MA LMA</w:t>
            </w:r>
          </w:p>
        </w:tc>
        <w:tc>
          <w:tcPr>
            <w:tcW w:w="2034" w:type="dxa"/>
            <w:shd w:val="clear" w:color="auto" w:fill="auto"/>
            <w:noWrap/>
            <w:vAlign w:val="bottom"/>
            <w:hideMark/>
          </w:tcPr>
          <w:p w:rsidR="0097446D" w:rsidRDefault="0097446D" w:rsidP="0097446D">
            <w:r>
              <w:t xml:space="preserve">        478,595,587 </w:t>
            </w:r>
          </w:p>
        </w:tc>
        <w:tc>
          <w:tcPr>
            <w:tcW w:w="1670" w:type="dxa"/>
            <w:shd w:val="clear" w:color="auto" w:fill="auto"/>
            <w:noWrap/>
            <w:vAlign w:val="bottom"/>
            <w:hideMark/>
          </w:tcPr>
          <w:p w:rsidR="0097446D" w:rsidRDefault="0097446D" w:rsidP="0097446D">
            <w:r>
              <w:t xml:space="preserve">            13,437 </w:t>
            </w:r>
          </w:p>
        </w:tc>
        <w:tc>
          <w:tcPr>
            <w:tcW w:w="1247" w:type="dxa"/>
            <w:shd w:val="clear" w:color="auto" w:fill="auto"/>
            <w:noWrap/>
            <w:vAlign w:val="bottom"/>
            <w:hideMark/>
          </w:tcPr>
          <w:p w:rsidR="0097446D" w:rsidRDefault="0097446D" w:rsidP="0097446D">
            <w:r>
              <w:t>35,618</w:t>
            </w:r>
          </w:p>
        </w:tc>
      </w:tr>
      <w:tr w:rsidR="0097446D" w:rsidRPr="00444D5E" w:rsidTr="006F04F0">
        <w:trPr>
          <w:trHeight w:val="271"/>
        </w:trPr>
        <w:tc>
          <w:tcPr>
            <w:tcW w:w="5265" w:type="dxa"/>
            <w:shd w:val="clear" w:color="auto" w:fill="auto"/>
            <w:noWrap/>
            <w:vAlign w:val="bottom"/>
            <w:hideMark/>
          </w:tcPr>
          <w:p w:rsidR="0097446D" w:rsidRDefault="0097446D" w:rsidP="0097446D">
            <w:r>
              <w:t>Tisbury, MA LMA</w:t>
            </w:r>
          </w:p>
        </w:tc>
        <w:tc>
          <w:tcPr>
            <w:tcW w:w="2034" w:type="dxa"/>
            <w:shd w:val="clear" w:color="auto" w:fill="auto"/>
            <w:noWrap/>
            <w:vAlign w:val="bottom"/>
            <w:hideMark/>
          </w:tcPr>
          <w:p w:rsidR="0097446D" w:rsidRDefault="0097446D" w:rsidP="0097446D">
            <w:r>
              <w:t xml:space="preserve">        348,462,856 </w:t>
            </w:r>
          </w:p>
        </w:tc>
        <w:tc>
          <w:tcPr>
            <w:tcW w:w="1670" w:type="dxa"/>
            <w:shd w:val="clear" w:color="auto" w:fill="auto"/>
            <w:noWrap/>
            <w:vAlign w:val="bottom"/>
            <w:hideMark/>
          </w:tcPr>
          <w:p w:rsidR="0097446D" w:rsidRDefault="0097446D" w:rsidP="0097446D">
            <w:r>
              <w:t xml:space="preserve">             8,038 </w:t>
            </w:r>
          </w:p>
        </w:tc>
        <w:tc>
          <w:tcPr>
            <w:tcW w:w="1247" w:type="dxa"/>
            <w:shd w:val="clear" w:color="auto" w:fill="auto"/>
            <w:noWrap/>
            <w:vAlign w:val="bottom"/>
            <w:hideMark/>
          </w:tcPr>
          <w:p w:rsidR="0097446D" w:rsidRDefault="0097446D" w:rsidP="0097446D">
            <w:r>
              <w:t>43,352</w:t>
            </w:r>
          </w:p>
        </w:tc>
      </w:tr>
      <w:tr w:rsidR="0097446D" w:rsidRPr="00444D5E" w:rsidTr="006F04F0">
        <w:trPr>
          <w:trHeight w:val="271"/>
        </w:trPr>
        <w:tc>
          <w:tcPr>
            <w:tcW w:w="5265" w:type="dxa"/>
            <w:shd w:val="clear" w:color="auto" w:fill="auto"/>
            <w:noWrap/>
            <w:vAlign w:val="bottom"/>
            <w:hideMark/>
          </w:tcPr>
          <w:p w:rsidR="0097446D" w:rsidRDefault="0097446D" w:rsidP="0097446D">
            <w:r>
              <w:t>Nantucket County/town LMA</w:t>
            </w:r>
          </w:p>
        </w:tc>
        <w:tc>
          <w:tcPr>
            <w:tcW w:w="2034" w:type="dxa"/>
            <w:shd w:val="clear" w:color="auto" w:fill="auto"/>
            <w:noWrap/>
            <w:vAlign w:val="bottom"/>
            <w:hideMark/>
          </w:tcPr>
          <w:p w:rsidR="0097446D" w:rsidRDefault="0097446D" w:rsidP="0097446D">
            <w:r>
              <w:t xml:space="preserve">        291,026,431 </w:t>
            </w:r>
          </w:p>
        </w:tc>
        <w:tc>
          <w:tcPr>
            <w:tcW w:w="1670" w:type="dxa"/>
            <w:shd w:val="clear" w:color="auto" w:fill="auto"/>
            <w:noWrap/>
            <w:vAlign w:val="bottom"/>
            <w:hideMark/>
          </w:tcPr>
          <w:p w:rsidR="0097446D" w:rsidRDefault="0097446D" w:rsidP="0097446D">
            <w:r>
              <w:t xml:space="preserve">             6,031 </w:t>
            </w:r>
          </w:p>
        </w:tc>
        <w:tc>
          <w:tcPr>
            <w:tcW w:w="1247" w:type="dxa"/>
            <w:shd w:val="clear" w:color="auto" w:fill="auto"/>
            <w:noWrap/>
            <w:vAlign w:val="bottom"/>
            <w:hideMark/>
          </w:tcPr>
          <w:p w:rsidR="0097446D" w:rsidRDefault="0097446D" w:rsidP="0097446D">
            <w:r>
              <w:t>48,255</w:t>
            </w:r>
          </w:p>
        </w:tc>
      </w:tr>
      <w:tr w:rsidR="0097446D" w:rsidRPr="00444D5E" w:rsidTr="006F04F0">
        <w:trPr>
          <w:trHeight w:val="271"/>
        </w:trPr>
        <w:tc>
          <w:tcPr>
            <w:tcW w:w="5265" w:type="dxa"/>
            <w:shd w:val="clear" w:color="auto" w:fill="auto"/>
            <w:noWrap/>
            <w:vAlign w:val="bottom"/>
            <w:hideMark/>
          </w:tcPr>
          <w:p w:rsidR="0097446D" w:rsidRDefault="0097446D" w:rsidP="0097446D">
            <w:r>
              <w:lastRenderedPageBreak/>
              <w:t>Amherst Center, MA Micropolitan NECTA</w:t>
            </w:r>
          </w:p>
        </w:tc>
        <w:tc>
          <w:tcPr>
            <w:tcW w:w="2034" w:type="dxa"/>
            <w:shd w:val="clear" w:color="auto" w:fill="auto"/>
            <w:noWrap/>
            <w:vAlign w:val="bottom"/>
            <w:hideMark/>
          </w:tcPr>
          <w:p w:rsidR="0097446D" w:rsidRDefault="0097446D" w:rsidP="0097446D">
            <w:r>
              <w:t xml:space="preserve">        750,266,716 </w:t>
            </w:r>
          </w:p>
        </w:tc>
        <w:tc>
          <w:tcPr>
            <w:tcW w:w="1670" w:type="dxa"/>
            <w:shd w:val="clear" w:color="auto" w:fill="auto"/>
            <w:noWrap/>
            <w:vAlign w:val="bottom"/>
            <w:hideMark/>
          </w:tcPr>
          <w:p w:rsidR="0097446D" w:rsidRDefault="0097446D" w:rsidP="0097446D">
            <w:r>
              <w:t xml:space="preserve">            16,825 </w:t>
            </w:r>
          </w:p>
        </w:tc>
        <w:tc>
          <w:tcPr>
            <w:tcW w:w="1247" w:type="dxa"/>
            <w:shd w:val="clear" w:color="auto" w:fill="auto"/>
            <w:noWrap/>
            <w:vAlign w:val="bottom"/>
            <w:hideMark/>
          </w:tcPr>
          <w:p w:rsidR="0097446D" w:rsidRDefault="0097446D" w:rsidP="0097446D">
            <w:r>
              <w:t>44,592</w:t>
            </w:r>
          </w:p>
        </w:tc>
      </w:tr>
      <w:tr w:rsidR="0097446D" w:rsidRPr="00444D5E" w:rsidTr="006F04F0">
        <w:trPr>
          <w:trHeight w:val="271"/>
        </w:trPr>
        <w:tc>
          <w:tcPr>
            <w:tcW w:w="5265" w:type="dxa"/>
            <w:shd w:val="clear" w:color="auto" w:fill="auto"/>
            <w:noWrap/>
            <w:vAlign w:val="bottom"/>
            <w:hideMark/>
          </w:tcPr>
          <w:p w:rsidR="0097446D" w:rsidRDefault="0097446D" w:rsidP="0097446D">
            <w:r>
              <w:t>Athol, MA Micropolitan NECTA</w:t>
            </w:r>
          </w:p>
        </w:tc>
        <w:tc>
          <w:tcPr>
            <w:tcW w:w="2034" w:type="dxa"/>
            <w:shd w:val="clear" w:color="auto" w:fill="auto"/>
            <w:noWrap/>
            <w:vAlign w:val="bottom"/>
            <w:hideMark/>
          </w:tcPr>
          <w:p w:rsidR="0097446D" w:rsidRDefault="0097446D" w:rsidP="0097446D">
            <w:r>
              <w:t xml:space="preserve">        201,688,512 </w:t>
            </w:r>
          </w:p>
        </w:tc>
        <w:tc>
          <w:tcPr>
            <w:tcW w:w="1670" w:type="dxa"/>
            <w:shd w:val="clear" w:color="auto" w:fill="auto"/>
            <w:noWrap/>
            <w:vAlign w:val="bottom"/>
            <w:hideMark/>
          </w:tcPr>
          <w:p w:rsidR="0097446D" w:rsidRDefault="0097446D" w:rsidP="0097446D">
            <w:r>
              <w:t xml:space="preserve">             5,688 </w:t>
            </w:r>
          </w:p>
        </w:tc>
        <w:tc>
          <w:tcPr>
            <w:tcW w:w="1247" w:type="dxa"/>
            <w:shd w:val="clear" w:color="auto" w:fill="auto"/>
            <w:noWrap/>
            <w:vAlign w:val="bottom"/>
            <w:hideMark/>
          </w:tcPr>
          <w:p w:rsidR="0097446D" w:rsidRDefault="0097446D" w:rsidP="0097446D">
            <w:r>
              <w:t>35,459</w:t>
            </w:r>
          </w:p>
        </w:tc>
      </w:tr>
      <w:tr w:rsidR="0097446D" w:rsidRPr="00444D5E" w:rsidTr="006F04F0">
        <w:trPr>
          <w:trHeight w:val="271"/>
        </w:trPr>
        <w:tc>
          <w:tcPr>
            <w:tcW w:w="5265" w:type="dxa"/>
            <w:shd w:val="clear" w:color="auto" w:fill="auto"/>
            <w:noWrap/>
            <w:vAlign w:val="bottom"/>
            <w:hideMark/>
          </w:tcPr>
          <w:p w:rsidR="0097446D" w:rsidRDefault="0097446D" w:rsidP="0097446D">
            <w:r>
              <w:t>Barnstable MA Metropolitan NECTA</w:t>
            </w:r>
          </w:p>
        </w:tc>
        <w:tc>
          <w:tcPr>
            <w:tcW w:w="2034" w:type="dxa"/>
            <w:shd w:val="clear" w:color="auto" w:fill="auto"/>
            <w:noWrap/>
            <w:vAlign w:val="bottom"/>
            <w:hideMark/>
          </w:tcPr>
          <w:p w:rsidR="0097446D" w:rsidRDefault="0097446D" w:rsidP="0097446D">
            <w:r>
              <w:t xml:space="preserve">     4,038,219,422 </w:t>
            </w:r>
          </w:p>
        </w:tc>
        <w:tc>
          <w:tcPr>
            <w:tcW w:w="1670" w:type="dxa"/>
            <w:shd w:val="clear" w:color="auto" w:fill="auto"/>
            <w:noWrap/>
            <w:vAlign w:val="bottom"/>
            <w:hideMark/>
          </w:tcPr>
          <w:p w:rsidR="0097446D" w:rsidRDefault="0097446D" w:rsidP="0097446D">
            <w:r>
              <w:t xml:space="preserve">            98,679 </w:t>
            </w:r>
          </w:p>
        </w:tc>
        <w:tc>
          <w:tcPr>
            <w:tcW w:w="1247" w:type="dxa"/>
            <w:shd w:val="clear" w:color="auto" w:fill="auto"/>
            <w:noWrap/>
            <w:vAlign w:val="bottom"/>
            <w:hideMark/>
          </w:tcPr>
          <w:p w:rsidR="0097446D" w:rsidRDefault="0097446D" w:rsidP="0097446D">
            <w:r>
              <w:t>40,923</w:t>
            </w:r>
          </w:p>
        </w:tc>
      </w:tr>
      <w:tr w:rsidR="0097446D" w:rsidRPr="00444D5E" w:rsidTr="006F04F0">
        <w:trPr>
          <w:trHeight w:val="271"/>
        </w:trPr>
        <w:tc>
          <w:tcPr>
            <w:tcW w:w="5265" w:type="dxa"/>
            <w:shd w:val="clear" w:color="auto" w:fill="auto"/>
            <w:noWrap/>
            <w:vAlign w:val="bottom"/>
            <w:hideMark/>
          </w:tcPr>
          <w:p w:rsidR="0097446D" w:rsidRDefault="0097446D" w:rsidP="0097446D">
            <w:r>
              <w:t>Boston-Cambridge-Quincy, MA NECTA Division</w:t>
            </w:r>
          </w:p>
        </w:tc>
        <w:tc>
          <w:tcPr>
            <w:tcW w:w="2034" w:type="dxa"/>
            <w:shd w:val="clear" w:color="auto" w:fill="auto"/>
            <w:noWrap/>
            <w:vAlign w:val="bottom"/>
            <w:hideMark/>
          </w:tcPr>
          <w:p w:rsidR="0097446D" w:rsidRDefault="0097446D" w:rsidP="0097446D">
            <w:r>
              <w:t xml:space="preserve">  120,703,890,349 </w:t>
            </w:r>
          </w:p>
        </w:tc>
        <w:tc>
          <w:tcPr>
            <w:tcW w:w="1670" w:type="dxa"/>
            <w:shd w:val="clear" w:color="auto" w:fill="auto"/>
            <w:noWrap/>
            <w:vAlign w:val="bottom"/>
            <w:hideMark/>
          </w:tcPr>
          <w:p w:rsidR="0097446D" w:rsidRDefault="0097446D" w:rsidP="0097446D">
            <w:r>
              <w:t xml:space="preserve">       1,698,769 </w:t>
            </w:r>
          </w:p>
        </w:tc>
        <w:tc>
          <w:tcPr>
            <w:tcW w:w="1247" w:type="dxa"/>
            <w:shd w:val="clear" w:color="auto" w:fill="auto"/>
            <w:noWrap/>
            <w:vAlign w:val="bottom"/>
            <w:hideMark/>
          </w:tcPr>
          <w:p w:rsidR="0097446D" w:rsidRDefault="0097446D" w:rsidP="0097446D">
            <w:r>
              <w:t>71,054</w:t>
            </w:r>
          </w:p>
        </w:tc>
      </w:tr>
      <w:tr w:rsidR="0097446D" w:rsidRPr="00444D5E" w:rsidTr="006F04F0">
        <w:trPr>
          <w:trHeight w:val="271"/>
        </w:trPr>
        <w:tc>
          <w:tcPr>
            <w:tcW w:w="5265" w:type="dxa"/>
            <w:shd w:val="clear" w:color="auto" w:fill="auto"/>
            <w:noWrap/>
            <w:vAlign w:val="bottom"/>
            <w:hideMark/>
          </w:tcPr>
          <w:p w:rsidR="0097446D" w:rsidRDefault="0097446D" w:rsidP="0097446D">
            <w:r>
              <w:t>Brockton-Bridgewater-Easton, MA NECTA Division</w:t>
            </w:r>
          </w:p>
        </w:tc>
        <w:tc>
          <w:tcPr>
            <w:tcW w:w="2034" w:type="dxa"/>
            <w:shd w:val="clear" w:color="auto" w:fill="auto"/>
            <w:noWrap/>
            <w:vAlign w:val="bottom"/>
            <w:hideMark/>
          </w:tcPr>
          <w:p w:rsidR="0097446D" w:rsidRDefault="0097446D" w:rsidP="0097446D">
            <w:r>
              <w:t xml:space="preserve">     3,971,479,991 </w:t>
            </w:r>
          </w:p>
        </w:tc>
        <w:tc>
          <w:tcPr>
            <w:tcW w:w="1670" w:type="dxa"/>
            <w:shd w:val="clear" w:color="auto" w:fill="auto"/>
            <w:noWrap/>
            <w:vAlign w:val="bottom"/>
            <w:hideMark/>
          </w:tcPr>
          <w:p w:rsidR="0097446D" w:rsidRDefault="0097446D" w:rsidP="0097446D">
            <w:r>
              <w:t xml:space="preserve">            88,138 </w:t>
            </w:r>
          </w:p>
        </w:tc>
        <w:tc>
          <w:tcPr>
            <w:tcW w:w="1247" w:type="dxa"/>
            <w:shd w:val="clear" w:color="auto" w:fill="auto"/>
            <w:noWrap/>
            <w:vAlign w:val="bottom"/>
            <w:hideMark/>
          </w:tcPr>
          <w:p w:rsidR="0097446D" w:rsidRDefault="0097446D" w:rsidP="0097446D">
            <w:r>
              <w:t>45,060</w:t>
            </w:r>
          </w:p>
        </w:tc>
      </w:tr>
      <w:tr w:rsidR="0097446D" w:rsidRPr="00444D5E" w:rsidTr="006F04F0">
        <w:trPr>
          <w:trHeight w:val="271"/>
        </w:trPr>
        <w:tc>
          <w:tcPr>
            <w:tcW w:w="5265" w:type="dxa"/>
            <w:shd w:val="clear" w:color="auto" w:fill="auto"/>
            <w:noWrap/>
            <w:vAlign w:val="bottom"/>
            <w:hideMark/>
          </w:tcPr>
          <w:p w:rsidR="0097446D" w:rsidRDefault="0097446D" w:rsidP="0097446D">
            <w:r>
              <w:t>Framingham, MA NECTA Division</w:t>
            </w:r>
          </w:p>
        </w:tc>
        <w:tc>
          <w:tcPr>
            <w:tcW w:w="2034" w:type="dxa"/>
            <w:shd w:val="clear" w:color="auto" w:fill="auto"/>
            <w:noWrap/>
            <w:vAlign w:val="bottom"/>
            <w:hideMark/>
          </w:tcPr>
          <w:p w:rsidR="0097446D" w:rsidRDefault="0097446D" w:rsidP="0097446D">
            <w:r>
              <w:t xml:space="preserve">   11,206,128,705 </w:t>
            </w:r>
          </w:p>
        </w:tc>
        <w:tc>
          <w:tcPr>
            <w:tcW w:w="1670" w:type="dxa"/>
            <w:shd w:val="clear" w:color="auto" w:fill="auto"/>
            <w:noWrap/>
            <w:vAlign w:val="bottom"/>
            <w:hideMark/>
          </w:tcPr>
          <w:p w:rsidR="0097446D" w:rsidRDefault="0097446D" w:rsidP="0097446D">
            <w:r>
              <w:t xml:space="preserve">          156,599 </w:t>
            </w:r>
          </w:p>
        </w:tc>
        <w:tc>
          <w:tcPr>
            <w:tcW w:w="1247" w:type="dxa"/>
            <w:shd w:val="clear" w:color="auto" w:fill="auto"/>
            <w:noWrap/>
            <w:vAlign w:val="bottom"/>
            <w:hideMark/>
          </w:tcPr>
          <w:p w:rsidR="0097446D" w:rsidRDefault="0097446D" w:rsidP="0097446D">
            <w:r>
              <w:t>71,559</w:t>
            </w:r>
          </w:p>
        </w:tc>
      </w:tr>
      <w:tr w:rsidR="0097446D" w:rsidRPr="00444D5E" w:rsidTr="006F04F0">
        <w:trPr>
          <w:trHeight w:val="271"/>
        </w:trPr>
        <w:tc>
          <w:tcPr>
            <w:tcW w:w="5265" w:type="dxa"/>
            <w:shd w:val="clear" w:color="auto" w:fill="auto"/>
            <w:noWrap/>
            <w:vAlign w:val="bottom"/>
            <w:hideMark/>
          </w:tcPr>
          <w:p w:rsidR="0097446D" w:rsidRDefault="0097446D" w:rsidP="0097446D">
            <w:r>
              <w:t>Greenfield, MA Micropolitan NECTA</w:t>
            </w:r>
          </w:p>
        </w:tc>
        <w:tc>
          <w:tcPr>
            <w:tcW w:w="2034" w:type="dxa"/>
            <w:shd w:val="clear" w:color="auto" w:fill="auto"/>
            <w:noWrap/>
            <w:vAlign w:val="bottom"/>
            <w:hideMark/>
          </w:tcPr>
          <w:p w:rsidR="0097446D" w:rsidRDefault="0097446D" w:rsidP="0097446D">
            <w:r>
              <w:t xml:space="preserve">        575,553,829 </w:t>
            </w:r>
          </w:p>
        </w:tc>
        <w:tc>
          <w:tcPr>
            <w:tcW w:w="1670" w:type="dxa"/>
            <w:shd w:val="clear" w:color="auto" w:fill="auto"/>
            <w:noWrap/>
            <w:vAlign w:val="bottom"/>
            <w:hideMark/>
          </w:tcPr>
          <w:p w:rsidR="0097446D" w:rsidRDefault="0097446D" w:rsidP="0097446D">
            <w:r>
              <w:t xml:space="preserve">            16,028 </w:t>
            </w:r>
          </w:p>
        </w:tc>
        <w:tc>
          <w:tcPr>
            <w:tcW w:w="1247" w:type="dxa"/>
            <w:shd w:val="clear" w:color="auto" w:fill="auto"/>
            <w:noWrap/>
            <w:vAlign w:val="bottom"/>
            <w:hideMark/>
          </w:tcPr>
          <w:p w:rsidR="0097446D" w:rsidRDefault="0097446D" w:rsidP="0097446D">
            <w:r>
              <w:t>35,909</w:t>
            </w:r>
          </w:p>
        </w:tc>
      </w:tr>
      <w:tr w:rsidR="0097446D" w:rsidRPr="00444D5E" w:rsidTr="006F04F0">
        <w:trPr>
          <w:trHeight w:val="271"/>
        </w:trPr>
        <w:tc>
          <w:tcPr>
            <w:tcW w:w="5265" w:type="dxa"/>
            <w:shd w:val="clear" w:color="auto" w:fill="auto"/>
            <w:noWrap/>
            <w:vAlign w:val="bottom"/>
            <w:hideMark/>
          </w:tcPr>
          <w:p w:rsidR="0097446D" w:rsidRDefault="0097446D" w:rsidP="0097446D">
            <w:r>
              <w:t>Haverhill-North Andover-Amesbury, MA-NH NECTA Division</w:t>
            </w:r>
          </w:p>
        </w:tc>
        <w:tc>
          <w:tcPr>
            <w:tcW w:w="2034" w:type="dxa"/>
            <w:shd w:val="clear" w:color="auto" w:fill="auto"/>
            <w:noWrap/>
            <w:vAlign w:val="bottom"/>
            <w:hideMark/>
          </w:tcPr>
          <w:p w:rsidR="0097446D" w:rsidRDefault="0097446D" w:rsidP="0097446D">
            <w:r>
              <w:t xml:space="preserve">     2,103,685,946 </w:t>
            </w:r>
          </w:p>
        </w:tc>
        <w:tc>
          <w:tcPr>
            <w:tcW w:w="1670" w:type="dxa"/>
            <w:shd w:val="clear" w:color="auto" w:fill="auto"/>
            <w:noWrap/>
            <w:vAlign w:val="bottom"/>
            <w:hideMark/>
          </w:tcPr>
          <w:p w:rsidR="0097446D" w:rsidRDefault="0097446D" w:rsidP="0097446D">
            <w:r>
              <w:t xml:space="preserve">            45,772 </w:t>
            </w:r>
          </w:p>
        </w:tc>
        <w:tc>
          <w:tcPr>
            <w:tcW w:w="1247" w:type="dxa"/>
            <w:shd w:val="clear" w:color="auto" w:fill="auto"/>
            <w:noWrap/>
            <w:vAlign w:val="bottom"/>
            <w:hideMark/>
          </w:tcPr>
          <w:p w:rsidR="0097446D" w:rsidRDefault="0097446D" w:rsidP="0097446D">
            <w:r>
              <w:t>45,960</w:t>
            </w:r>
          </w:p>
        </w:tc>
      </w:tr>
      <w:tr w:rsidR="0097446D" w:rsidRPr="00444D5E" w:rsidTr="006F04F0">
        <w:trPr>
          <w:trHeight w:val="271"/>
        </w:trPr>
        <w:tc>
          <w:tcPr>
            <w:tcW w:w="5265" w:type="dxa"/>
            <w:shd w:val="clear" w:color="auto" w:fill="auto"/>
            <w:noWrap/>
            <w:vAlign w:val="bottom"/>
            <w:hideMark/>
          </w:tcPr>
          <w:p w:rsidR="0097446D" w:rsidRDefault="0097446D" w:rsidP="0097446D">
            <w:r>
              <w:t>Lawrence-Methuen-Salem, MA-NH NECTA Division</w:t>
            </w:r>
          </w:p>
        </w:tc>
        <w:tc>
          <w:tcPr>
            <w:tcW w:w="2034" w:type="dxa"/>
            <w:shd w:val="clear" w:color="auto" w:fill="auto"/>
            <w:noWrap/>
            <w:vAlign w:val="bottom"/>
            <w:hideMark/>
          </w:tcPr>
          <w:p w:rsidR="0097446D" w:rsidRDefault="0097446D" w:rsidP="0097446D">
            <w:r>
              <w:t xml:space="preserve">     1,810,794,105 </w:t>
            </w:r>
          </w:p>
        </w:tc>
        <w:tc>
          <w:tcPr>
            <w:tcW w:w="1670" w:type="dxa"/>
            <w:shd w:val="clear" w:color="auto" w:fill="auto"/>
            <w:noWrap/>
            <w:vAlign w:val="bottom"/>
            <w:hideMark/>
          </w:tcPr>
          <w:p w:rsidR="0097446D" w:rsidRDefault="0097446D" w:rsidP="0097446D">
            <w:r>
              <w:t xml:space="preserve">            40,891 </w:t>
            </w:r>
          </w:p>
        </w:tc>
        <w:tc>
          <w:tcPr>
            <w:tcW w:w="1247" w:type="dxa"/>
            <w:shd w:val="clear" w:color="auto" w:fill="auto"/>
            <w:noWrap/>
            <w:vAlign w:val="bottom"/>
            <w:hideMark/>
          </w:tcPr>
          <w:p w:rsidR="0097446D" w:rsidRDefault="0097446D" w:rsidP="0097446D">
            <w:r>
              <w:t>44,283</w:t>
            </w:r>
          </w:p>
        </w:tc>
      </w:tr>
      <w:tr w:rsidR="0097446D" w:rsidRPr="00444D5E" w:rsidTr="006F04F0">
        <w:trPr>
          <w:trHeight w:val="271"/>
        </w:trPr>
        <w:tc>
          <w:tcPr>
            <w:tcW w:w="5265" w:type="dxa"/>
            <w:shd w:val="clear" w:color="auto" w:fill="auto"/>
            <w:noWrap/>
            <w:vAlign w:val="bottom"/>
            <w:hideMark/>
          </w:tcPr>
          <w:p w:rsidR="0097446D" w:rsidRDefault="0097446D" w:rsidP="0097446D">
            <w:r>
              <w:t>Leominster-Fitchburg-Gardner, MA Metropolitan NECTA</w:t>
            </w:r>
          </w:p>
        </w:tc>
        <w:tc>
          <w:tcPr>
            <w:tcW w:w="2034" w:type="dxa"/>
            <w:shd w:val="clear" w:color="auto" w:fill="auto"/>
            <w:noWrap/>
            <w:vAlign w:val="bottom"/>
            <w:hideMark/>
          </w:tcPr>
          <w:p w:rsidR="0097446D" w:rsidRDefault="0097446D" w:rsidP="0097446D">
            <w:r>
              <w:t xml:space="preserve">     1,892,391,706 </w:t>
            </w:r>
          </w:p>
        </w:tc>
        <w:tc>
          <w:tcPr>
            <w:tcW w:w="1670" w:type="dxa"/>
            <w:shd w:val="clear" w:color="auto" w:fill="auto"/>
            <w:noWrap/>
            <w:vAlign w:val="bottom"/>
            <w:hideMark/>
          </w:tcPr>
          <w:p w:rsidR="0097446D" w:rsidRDefault="0097446D" w:rsidP="0097446D">
            <w:r>
              <w:t xml:space="preserve">            47,708 </w:t>
            </w:r>
          </w:p>
        </w:tc>
        <w:tc>
          <w:tcPr>
            <w:tcW w:w="1247" w:type="dxa"/>
            <w:shd w:val="clear" w:color="auto" w:fill="auto"/>
            <w:noWrap/>
            <w:vAlign w:val="bottom"/>
            <w:hideMark/>
          </w:tcPr>
          <w:p w:rsidR="0097446D" w:rsidRDefault="0097446D" w:rsidP="0097446D">
            <w:r>
              <w:t>39,666</w:t>
            </w:r>
          </w:p>
        </w:tc>
      </w:tr>
      <w:tr w:rsidR="0097446D" w:rsidRPr="00444D5E" w:rsidTr="006F04F0">
        <w:trPr>
          <w:trHeight w:val="271"/>
        </w:trPr>
        <w:tc>
          <w:tcPr>
            <w:tcW w:w="5265" w:type="dxa"/>
            <w:shd w:val="clear" w:color="auto" w:fill="auto"/>
            <w:noWrap/>
            <w:vAlign w:val="bottom"/>
            <w:hideMark/>
          </w:tcPr>
          <w:p w:rsidR="0097446D" w:rsidRDefault="0097446D" w:rsidP="0097446D">
            <w:r>
              <w:t>Lowell-Billerica-Chelmsford, MA-NH NECTA Division</w:t>
            </w:r>
          </w:p>
        </w:tc>
        <w:tc>
          <w:tcPr>
            <w:tcW w:w="2034" w:type="dxa"/>
            <w:shd w:val="clear" w:color="auto" w:fill="auto"/>
            <w:noWrap/>
            <w:vAlign w:val="bottom"/>
            <w:hideMark/>
          </w:tcPr>
          <w:p w:rsidR="0097446D" w:rsidRDefault="0097446D" w:rsidP="0097446D">
            <w:r>
              <w:t xml:space="preserve">     7,388,311,923 </w:t>
            </w:r>
          </w:p>
        </w:tc>
        <w:tc>
          <w:tcPr>
            <w:tcW w:w="1670" w:type="dxa"/>
            <w:shd w:val="clear" w:color="auto" w:fill="auto"/>
            <w:noWrap/>
            <w:vAlign w:val="bottom"/>
            <w:hideMark/>
          </w:tcPr>
          <w:p w:rsidR="0097446D" w:rsidRDefault="0097446D" w:rsidP="0097446D">
            <w:r>
              <w:t xml:space="preserve">          115,169 </w:t>
            </w:r>
          </w:p>
        </w:tc>
        <w:tc>
          <w:tcPr>
            <w:tcW w:w="1247" w:type="dxa"/>
            <w:shd w:val="clear" w:color="auto" w:fill="auto"/>
            <w:noWrap/>
            <w:vAlign w:val="bottom"/>
            <w:hideMark/>
          </w:tcPr>
          <w:p w:rsidR="0097446D" w:rsidRDefault="0097446D" w:rsidP="0097446D">
            <w:r>
              <w:t>64,152</w:t>
            </w:r>
          </w:p>
        </w:tc>
      </w:tr>
      <w:tr w:rsidR="0097446D" w:rsidRPr="00444D5E" w:rsidTr="006F04F0">
        <w:trPr>
          <w:trHeight w:val="271"/>
        </w:trPr>
        <w:tc>
          <w:tcPr>
            <w:tcW w:w="5265" w:type="dxa"/>
            <w:shd w:val="clear" w:color="auto" w:fill="auto"/>
            <w:noWrap/>
            <w:vAlign w:val="bottom"/>
            <w:hideMark/>
          </w:tcPr>
          <w:p w:rsidR="0097446D" w:rsidRDefault="0097446D" w:rsidP="0097446D">
            <w:r>
              <w:t>Nashua, NH-MA NECTA Division</w:t>
            </w:r>
          </w:p>
        </w:tc>
        <w:tc>
          <w:tcPr>
            <w:tcW w:w="2034" w:type="dxa"/>
            <w:shd w:val="clear" w:color="auto" w:fill="auto"/>
            <w:noWrap/>
            <w:vAlign w:val="bottom"/>
            <w:hideMark/>
          </w:tcPr>
          <w:p w:rsidR="0097446D" w:rsidRDefault="0097446D" w:rsidP="0097446D">
            <w:r>
              <w:t xml:space="preserve">        133,268,880 </w:t>
            </w:r>
          </w:p>
        </w:tc>
        <w:tc>
          <w:tcPr>
            <w:tcW w:w="1670" w:type="dxa"/>
            <w:shd w:val="clear" w:color="auto" w:fill="auto"/>
            <w:noWrap/>
            <w:vAlign w:val="bottom"/>
            <w:hideMark/>
          </w:tcPr>
          <w:p w:rsidR="0097446D" w:rsidRDefault="0097446D" w:rsidP="0097446D">
            <w:r>
              <w:t xml:space="preserve">             3,322 </w:t>
            </w:r>
          </w:p>
        </w:tc>
        <w:tc>
          <w:tcPr>
            <w:tcW w:w="1247" w:type="dxa"/>
            <w:shd w:val="clear" w:color="auto" w:fill="auto"/>
            <w:noWrap/>
            <w:vAlign w:val="bottom"/>
            <w:hideMark/>
          </w:tcPr>
          <w:p w:rsidR="0097446D" w:rsidRDefault="0097446D" w:rsidP="0097446D">
            <w:r>
              <w:t>40,117</w:t>
            </w:r>
          </w:p>
        </w:tc>
      </w:tr>
      <w:tr w:rsidR="0097446D" w:rsidRPr="00444D5E" w:rsidTr="006F04F0">
        <w:trPr>
          <w:trHeight w:val="271"/>
        </w:trPr>
        <w:tc>
          <w:tcPr>
            <w:tcW w:w="5265" w:type="dxa"/>
            <w:shd w:val="clear" w:color="auto" w:fill="auto"/>
            <w:noWrap/>
            <w:vAlign w:val="bottom"/>
            <w:hideMark/>
          </w:tcPr>
          <w:p w:rsidR="0097446D" w:rsidRDefault="0097446D" w:rsidP="0097446D">
            <w:r>
              <w:t>New Bedford, MA Metropolitan NECTA</w:t>
            </w:r>
          </w:p>
        </w:tc>
        <w:tc>
          <w:tcPr>
            <w:tcW w:w="2034" w:type="dxa"/>
            <w:shd w:val="clear" w:color="auto" w:fill="auto"/>
            <w:noWrap/>
            <w:vAlign w:val="bottom"/>
            <w:hideMark/>
          </w:tcPr>
          <w:p w:rsidR="0097446D" w:rsidRDefault="0097446D" w:rsidP="0097446D">
            <w:r>
              <w:t xml:space="preserve">     2,835,052,240 </w:t>
            </w:r>
          </w:p>
        </w:tc>
        <w:tc>
          <w:tcPr>
            <w:tcW w:w="1670" w:type="dxa"/>
            <w:shd w:val="clear" w:color="auto" w:fill="auto"/>
            <w:noWrap/>
            <w:vAlign w:val="bottom"/>
            <w:hideMark/>
          </w:tcPr>
          <w:p w:rsidR="0097446D" w:rsidRDefault="0097446D" w:rsidP="0097446D">
            <w:r>
              <w:t xml:space="preserve">            67,163 </w:t>
            </w:r>
          </w:p>
        </w:tc>
        <w:tc>
          <w:tcPr>
            <w:tcW w:w="1247" w:type="dxa"/>
            <w:shd w:val="clear" w:color="auto" w:fill="auto"/>
            <w:noWrap/>
            <w:vAlign w:val="bottom"/>
            <w:hideMark/>
          </w:tcPr>
          <w:p w:rsidR="0097446D" w:rsidRDefault="0097446D" w:rsidP="0097446D">
            <w:r>
              <w:t>42,212</w:t>
            </w:r>
          </w:p>
        </w:tc>
      </w:tr>
      <w:tr w:rsidR="0097446D" w:rsidRPr="00444D5E" w:rsidTr="006F04F0">
        <w:trPr>
          <w:trHeight w:val="271"/>
        </w:trPr>
        <w:tc>
          <w:tcPr>
            <w:tcW w:w="5265" w:type="dxa"/>
            <w:shd w:val="clear" w:color="auto" w:fill="auto"/>
            <w:noWrap/>
            <w:vAlign w:val="bottom"/>
            <w:hideMark/>
          </w:tcPr>
          <w:p w:rsidR="0097446D" w:rsidRDefault="0097446D" w:rsidP="0097446D">
            <w:r>
              <w:t>North Adams, MA-VT Micropolitan NECTA</w:t>
            </w:r>
          </w:p>
        </w:tc>
        <w:tc>
          <w:tcPr>
            <w:tcW w:w="2034" w:type="dxa"/>
            <w:shd w:val="clear" w:color="auto" w:fill="auto"/>
            <w:noWrap/>
            <w:vAlign w:val="bottom"/>
            <w:hideMark/>
          </w:tcPr>
          <w:p w:rsidR="0097446D" w:rsidRDefault="0097446D" w:rsidP="0097446D">
            <w:r>
              <w:t xml:space="preserve">        456,097,071 </w:t>
            </w:r>
          </w:p>
        </w:tc>
        <w:tc>
          <w:tcPr>
            <w:tcW w:w="1670" w:type="dxa"/>
            <w:shd w:val="clear" w:color="auto" w:fill="auto"/>
            <w:noWrap/>
            <w:vAlign w:val="bottom"/>
            <w:hideMark/>
          </w:tcPr>
          <w:p w:rsidR="0097446D" w:rsidRDefault="0097446D" w:rsidP="0097446D">
            <w:r>
              <w:t xml:space="preserve">            11,820 </w:t>
            </w:r>
          </w:p>
        </w:tc>
        <w:tc>
          <w:tcPr>
            <w:tcW w:w="1247" w:type="dxa"/>
            <w:shd w:val="clear" w:color="auto" w:fill="auto"/>
            <w:noWrap/>
            <w:vAlign w:val="bottom"/>
            <w:hideMark/>
          </w:tcPr>
          <w:p w:rsidR="0097446D" w:rsidRDefault="0097446D" w:rsidP="0097446D">
            <w:r>
              <w:t>38,587</w:t>
            </w:r>
          </w:p>
        </w:tc>
      </w:tr>
      <w:tr w:rsidR="0097446D" w:rsidRPr="00444D5E" w:rsidTr="006F04F0">
        <w:trPr>
          <w:trHeight w:val="271"/>
        </w:trPr>
        <w:tc>
          <w:tcPr>
            <w:tcW w:w="5265" w:type="dxa"/>
            <w:shd w:val="clear" w:color="auto" w:fill="auto"/>
            <w:noWrap/>
            <w:vAlign w:val="bottom"/>
            <w:hideMark/>
          </w:tcPr>
          <w:p w:rsidR="0097446D" w:rsidRDefault="0097446D" w:rsidP="0097446D">
            <w:r>
              <w:t>Peabody, MA NECTA Division</w:t>
            </w:r>
          </w:p>
        </w:tc>
        <w:tc>
          <w:tcPr>
            <w:tcW w:w="2034" w:type="dxa"/>
            <w:shd w:val="clear" w:color="auto" w:fill="auto"/>
            <w:noWrap/>
            <w:vAlign w:val="bottom"/>
            <w:hideMark/>
          </w:tcPr>
          <w:p w:rsidR="0097446D" w:rsidRDefault="0097446D" w:rsidP="0097446D">
            <w:r>
              <w:t xml:space="preserve">     4,841,946,848 </w:t>
            </w:r>
          </w:p>
        </w:tc>
        <w:tc>
          <w:tcPr>
            <w:tcW w:w="1670" w:type="dxa"/>
            <w:shd w:val="clear" w:color="auto" w:fill="auto"/>
            <w:noWrap/>
            <w:vAlign w:val="bottom"/>
            <w:hideMark/>
          </w:tcPr>
          <w:p w:rsidR="0097446D" w:rsidRDefault="0097446D" w:rsidP="0097446D">
            <w:r>
              <w:t xml:space="preserve">          101,072 </w:t>
            </w:r>
          </w:p>
        </w:tc>
        <w:tc>
          <w:tcPr>
            <w:tcW w:w="1247" w:type="dxa"/>
            <w:shd w:val="clear" w:color="auto" w:fill="auto"/>
            <w:noWrap/>
            <w:vAlign w:val="bottom"/>
            <w:hideMark/>
          </w:tcPr>
          <w:p w:rsidR="0097446D" w:rsidRDefault="0097446D" w:rsidP="0097446D">
            <w:r>
              <w:t>47,906</w:t>
            </w:r>
          </w:p>
        </w:tc>
      </w:tr>
      <w:tr w:rsidR="0097446D" w:rsidRPr="00444D5E" w:rsidTr="006F04F0">
        <w:trPr>
          <w:trHeight w:val="271"/>
        </w:trPr>
        <w:tc>
          <w:tcPr>
            <w:tcW w:w="5265" w:type="dxa"/>
            <w:shd w:val="clear" w:color="auto" w:fill="auto"/>
            <w:noWrap/>
            <w:vAlign w:val="bottom"/>
            <w:hideMark/>
          </w:tcPr>
          <w:p w:rsidR="0097446D" w:rsidRDefault="0097446D" w:rsidP="0097446D">
            <w:r>
              <w:t>Pittsfield, MA Metropolitan NECTA</w:t>
            </w:r>
          </w:p>
        </w:tc>
        <w:tc>
          <w:tcPr>
            <w:tcW w:w="2034" w:type="dxa"/>
            <w:shd w:val="clear" w:color="auto" w:fill="auto"/>
            <w:noWrap/>
            <w:vAlign w:val="bottom"/>
            <w:hideMark/>
          </w:tcPr>
          <w:p w:rsidR="0097446D" w:rsidRDefault="0097446D" w:rsidP="0097446D">
            <w:r>
              <w:t xml:space="preserve">     1,495,032,346 </w:t>
            </w:r>
          </w:p>
        </w:tc>
        <w:tc>
          <w:tcPr>
            <w:tcW w:w="1670" w:type="dxa"/>
            <w:shd w:val="clear" w:color="auto" w:fill="auto"/>
            <w:noWrap/>
            <w:vAlign w:val="bottom"/>
            <w:hideMark/>
          </w:tcPr>
          <w:p w:rsidR="0097446D" w:rsidRDefault="0097446D" w:rsidP="0097446D">
            <w:r>
              <w:t xml:space="preserve">            35,344 </w:t>
            </w:r>
          </w:p>
        </w:tc>
        <w:tc>
          <w:tcPr>
            <w:tcW w:w="1247" w:type="dxa"/>
            <w:shd w:val="clear" w:color="auto" w:fill="auto"/>
            <w:noWrap/>
            <w:vAlign w:val="bottom"/>
            <w:hideMark/>
          </w:tcPr>
          <w:p w:rsidR="0097446D" w:rsidRDefault="0097446D" w:rsidP="0097446D">
            <w:r>
              <w:t>42,299</w:t>
            </w:r>
          </w:p>
        </w:tc>
      </w:tr>
      <w:tr w:rsidR="0097446D" w:rsidRPr="00444D5E" w:rsidTr="006F04F0">
        <w:trPr>
          <w:trHeight w:val="271"/>
        </w:trPr>
        <w:tc>
          <w:tcPr>
            <w:tcW w:w="5265" w:type="dxa"/>
            <w:shd w:val="clear" w:color="auto" w:fill="auto"/>
            <w:noWrap/>
            <w:vAlign w:val="bottom"/>
            <w:hideMark/>
          </w:tcPr>
          <w:p w:rsidR="0097446D" w:rsidRDefault="0097446D" w:rsidP="0097446D">
            <w:r>
              <w:t>Providence-Fall River-Warwick, RI-MA Metropolitan NECTA</w:t>
            </w:r>
          </w:p>
        </w:tc>
        <w:tc>
          <w:tcPr>
            <w:tcW w:w="2034" w:type="dxa"/>
            <w:shd w:val="clear" w:color="auto" w:fill="auto"/>
            <w:noWrap/>
            <w:vAlign w:val="bottom"/>
            <w:hideMark/>
          </w:tcPr>
          <w:p w:rsidR="0097446D" w:rsidRDefault="0097446D" w:rsidP="0097446D">
            <w:r>
              <w:t xml:space="preserve">     3,715,017,352 </w:t>
            </w:r>
          </w:p>
        </w:tc>
        <w:tc>
          <w:tcPr>
            <w:tcW w:w="1670" w:type="dxa"/>
            <w:shd w:val="clear" w:color="auto" w:fill="auto"/>
            <w:noWrap/>
            <w:vAlign w:val="bottom"/>
            <w:hideMark/>
          </w:tcPr>
          <w:p w:rsidR="0097446D" w:rsidRDefault="0097446D" w:rsidP="0097446D">
            <w:r>
              <w:t xml:space="preserve">            95,182 </w:t>
            </w:r>
          </w:p>
        </w:tc>
        <w:tc>
          <w:tcPr>
            <w:tcW w:w="1247" w:type="dxa"/>
            <w:shd w:val="clear" w:color="auto" w:fill="auto"/>
            <w:noWrap/>
            <w:vAlign w:val="bottom"/>
            <w:hideMark/>
          </w:tcPr>
          <w:p w:rsidR="0097446D" w:rsidRDefault="0097446D" w:rsidP="0097446D">
            <w:r>
              <w:t>39,031</w:t>
            </w:r>
          </w:p>
        </w:tc>
      </w:tr>
      <w:tr w:rsidR="0097446D" w:rsidRPr="00444D5E" w:rsidTr="006F04F0">
        <w:trPr>
          <w:trHeight w:val="271"/>
        </w:trPr>
        <w:tc>
          <w:tcPr>
            <w:tcW w:w="5265" w:type="dxa"/>
            <w:shd w:val="clear" w:color="auto" w:fill="auto"/>
            <w:noWrap/>
            <w:vAlign w:val="bottom"/>
            <w:hideMark/>
          </w:tcPr>
          <w:p w:rsidR="0097446D" w:rsidRDefault="0097446D" w:rsidP="0097446D">
            <w:r>
              <w:t>Springfield, MA-CT Metropolitan NECTA</w:t>
            </w:r>
          </w:p>
        </w:tc>
        <w:tc>
          <w:tcPr>
            <w:tcW w:w="2034" w:type="dxa"/>
            <w:shd w:val="clear" w:color="auto" w:fill="auto"/>
            <w:noWrap/>
            <w:vAlign w:val="bottom"/>
            <w:hideMark/>
          </w:tcPr>
          <w:p w:rsidR="0097446D" w:rsidRDefault="0097446D" w:rsidP="0097446D">
            <w:r>
              <w:t xml:space="preserve">   10,683,509,401 </w:t>
            </w:r>
          </w:p>
        </w:tc>
        <w:tc>
          <w:tcPr>
            <w:tcW w:w="1670" w:type="dxa"/>
            <w:shd w:val="clear" w:color="auto" w:fill="auto"/>
            <w:noWrap/>
            <w:vAlign w:val="bottom"/>
            <w:hideMark/>
          </w:tcPr>
          <w:p w:rsidR="0097446D" w:rsidRDefault="0097446D" w:rsidP="0097446D">
            <w:r>
              <w:t xml:space="preserve">          246,823 </w:t>
            </w:r>
          </w:p>
        </w:tc>
        <w:tc>
          <w:tcPr>
            <w:tcW w:w="1247" w:type="dxa"/>
            <w:shd w:val="clear" w:color="auto" w:fill="auto"/>
            <w:noWrap/>
            <w:vAlign w:val="bottom"/>
            <w:hideMark/>
          </w:tcPr>
          <w:p w:rsidR="0097446D" w:rsidRDefault="0097446D" w:rsidP="0097446D">
            <w:r>
              <w:t>43,284</w:t>
            </w:r>
          </w:p>
        </w:tc>
      </w:tr>
      <w:tr w:rsidR="0097446D" w:rsidRPr="00444D5E" w:rsidTr="006F04F0">
        <w:trPr>
          <w:trHeight w:val="271"/>
        </w:trPr>
        <w:tc>
          <w:tcPr>
            <w:tcW w:w="5265" w:type="dxa"/>
            <w:shd w:val="clear" w:color="auto" w:fill="auto"/>
            <w:noWrap/>
            <w:vAlign w:val="bottom"/>
            <w:hideMark/>
          </w:tcPr>
          <w:p w:rsidR="0097446D" w:rsidRDefault="0097446D" w:rsidP="0097446D">
            <w:r>
              <w:t>Taunton-Norton-Raynham, MA NECTA Division</w:t>
            </w:r>
          </w:p>
        </w:tc>
        <w:tc>
          <w:tcPr>
            <w:tcW w:w="2034" w:type="dxa"/>
            <w:shd w:val="clear" w:color="auto" w:fill="auto"/>
            <w:noWrap/>
            <w:vAlign w:val="bottom"/>
            <w:hideMark/>
          </w:tcPr>
          <w:p w:rsidR="0097446D" w:rsidRDefault="0097446D" w:rsidP="0097446D">
            <w:r>
              <w:t xml:space="preserve">     2,080,051,913 </w:t>
            </w:r>
          </w:p>
        </w:tc>
        <w:tc>
          <w:tcPr>
            <w:tcW w:w="1670" w:type="dxa"/>
            <w:shd w:val="clear" w:color="auto" w:fill="auto"/>
            <w:noWrap/>
            <w:vAlign w:val="bottom"/>
            <w:hideMark/>
          </w:tcPr>
          <w:p w:rsidR="0097446D" w:rsidRDefault="0097446D" w:rsidP="0097446D">
            <w:r>
              <w:t xml:space="preserve">            43,637 </w:t>
            </w:r>
          </w:p>
        </w:tc>
        <w:tc>
          <w:tcPr>
            <w:tcW w:w="1247" w:type="dxa"/>
            <w:shd w:val="clear" w:color="auto" w:fill="auto"/>
            <w:noWrap/>
            <w:vAlign w:val="bottom"/>
            <w:hideMark/>
          </w:tcPr>
          <w:p w:rsidR="0097446D" w:rsidRDefault="0097446D" w:rsidP="0097446D">
            <w:r>
              <w:t>47,667</w:t>
            </w:r>
          </w:p>
        </w:tc>
      </w:tr>
      <w:tr w:rsidR="0097446D" w:rsidRPr="00444D5E" w:rsidTr="006F04F0">
        <w:trPr>
          <w:trHeight w:val="271"/>
        </w:trPr>
        <w:tc>
          <w:tcPr>
            <w:tcW w:w="5265" w:type="dxa"/>
            <w:shd w:val="clear" w:color="auto" w:fill="auto"/>
            <w:noWrap/>
            <w:vAlign w:val="bottom"/>
            <w:hideMark/>
          </w:tcPr>
          <w:p w:rsidR="0097446D" w:rsidRDefault="0097446D" w:rsidP="0097446D">
            <w:r>
              <w:t>Worcester, MA-CT Metropolitan NECTA</w:t>
            </w:r>
          </w:p>
        </w:tc>
        <w:tc>
          <w:tcPr>
            <w:tcW w:w="2034" w:type="dxa"/>
            <w:shd w:val="clear" w:color="auto" w:fill="auto"/>
            <w:noWrap/>
            <w:vAlign w:val="bottom"/>
            <w:hideMark/>
          </w:tcPr>
          <w:p w:rsidR="0097446D" w:rsidRDefault="0097446D" w:rsidP="0097446D">
            <w:r>
              <w:t xml:space="preserve">   11,255,369,843 </w:t>
            </w:r>
          </w:p>
        </w:tc>
        <w:tc>
          <w:tcPr>
            <w:tcW w:w="1670" w:type="dxa"/>
            <w:shd w:val="clear" w:color="auto" w:fill="auto"/>
            <w:noWrap/>
            <w:vAlign w:val="bottom"/>
            <w:hideMark/>
          </w:tcPr>
          <w:p w:rsidR="0097446D" w:rsidRDefault="0097446D" w:rsidP="0097446D">
            <w:r>
              <w:t xml:space="preserve">          232,594 </w:t>
            </w:r>
          </w:p>
        </w:tc>
        <w:tc>
          <w:tcPr>
            <w:tcW w:w="1247" w:type="dxa"/>
            <w:shd w:val="clear" w:color="auto" w:fill="auto"/>
            <w:noWrap/>
            <w:vAlign w:val="bottom"/>
            <w:hideMark/>
          </w:tcPr>
          <w:p w:rsidR="0097446D" w:rsidRDefault="0097446D" w:rsidP="0097446D">
            <w:r>
              <w:t>48,391</w:t>
            </w:r>
          </w:p>
        </w:tc>
      </w:tr>
      <w:tr w:rsidR="0097446D" w:rsidRPr="00444D5E" w:rsidTr="006F04F0">
        <w:trPr>
          <w:trHeight w:val="271"/>
        </w:trPr>
        <w:tc>
          <w:tcPr>
            <w:tcW w:w="5265" w:type="dxa"/>
            <w:shd w:val="clear" w:color="auto" w:fill="auto"/>
            <w:noWrap/>
            <w:vAlign w:val="bottom"/>
            <w:hideMark/>
          </w:tcPr>
          <w:p w:rsidR="0097446D" w:rsidRPr="004F3D05" w:rsidRDefault="004F3D05" w:rsidP="0097446D">
            <w:pPr>
              <w:rPr>
                <w:b/>
              </w:rPr>
            </w:pPr>
            <w:r>
              <w:rPr>
                <w:b/>
              </w:rPr>
              <w:t>State Total</w:t>
            </w:r>
          </w:p>
        </w:tc>
        <w:tc>
          <w:tcPr>
            <w:tcW w:w="2034" w:type="dxa"/>
            <w:shd w:val="clear" w:color="auto" w:fill="auto"/>
            <w:noWrap/>
            <w:vAlign w:val="bottom"/>
            <w:hideMark/>
          </w:tcPr>
          <w:p w:rsidR="0097446D" w:rsidRPr="004F3D05" w:rsidRDefault="0097446D" w:rsidP="0097446D">
            <w:pPr>
              <w:rPr>
                <w:b/>
              </w:rPr>
            </w:pPr>
            <w:r w:rsidRPr="004F3D05">
              <w:rPr>
                <w:b/>
              </w:rPr>
              <w:t xml:space="preserve">  193,413,800,252 </w:t>
            </w:r>
          </w:p>
        </w:tc>
        <w:tc>
          <w:tcPr>
            <w:tcW w:w="1670" w:type="dxa"/>
            <w:shd w:val="clear" w:color="auto" w:fill="auto"/>
            <w:noWrap/>
            <w:vAlign w:val="bottom"/>
            <w:hideMark/>
          </w:tcPr>
          <w:p w:rsidR="0097446D" w:rsidRPr="004F3D05" w:rsidRDefault="0097446D" w:rsidP="0097446D">
            <w:pPr>
              <w:rPr>
                <w:b/>
              </w:rPr>
            </w:pPr>
            <w:r w:rsidRPr="004F3D05">
              <w:rPr>
                <w:b/>
              </w:rPr>
              <w:t xml:space="preserve">       3,199,373 </w:t>
            </w:r>
          </w:p>
        </w:tc>
        <w:tc>
          <w:tcPr>
            <w:tcW w:w="1247" w:type="dxa"/>
            <w:shd w:val="clear" w:color="auto" w:fill="auto"/>
            <w:noWrap/>
            <w:vAlign w:val="bottom"/>
            <w:hideMark/>
          </w:tcPr>
          <w:p w:rsidR="0097446D" w:rsidRPr="004F3D05" w:rsidRDefault="0097446D" w:rsidP="0097446D">
            <w:pPr>
              <w:rPr>
                <w:b/>
              </w:rPr>
            </w:pPr>
            <w:r w:rsidRPr="004F3D05">
              <w:rPr>
                <w:b/>
              </w:rPr>
              <w:t>60,454</w:t>
            </w:r>
          </w:p>
        </w:tc>
      </w:tr>
    </w:tbl>
    <w:p w:rsidR="0030370E" w:rsidRDefault="0030370E" w:rsidP="0030370E">
      <w:pPr>
        <w:pStyle w:val="FootnoteText"/>
      </w:pPr>
    </w:p>
    <w:p w:rsidR="00EE18E7" w:rsidRDefault="00EE18E7" w:rsidP="00D04516">
      <w:r>
        <w:t>A district’s wage factor is a percentage that is applied to the eight salary-related functional categories in the foundation budget</w:t>
      </w:r>
      <w:r>
        <w:rPr>
          <w:rStyle w:val="FootnoteReference"/>
        </w:rPr>
        <w:footnoteReference w:id="6"/>
      </w:r>
      <w:r w:rsidR="00AC0D1D">
        <w:t xml:space="preserve">.  </w:t>
      </w:r>
      <w:r>
        <w:t>The labor market area for a district is compared to the state average and weighted at 80 percent</w:t>
      </w:r>
      <w:r w:rsidR="00AC0D1D">
        <w:t xml:space="preserve">.  </w:t>
      </w:r>
      <w:r>
        <w:t xml:space="preserve">The town’s own factor is weighted at </w:t>
      </w:r>
      <w:r w:rsidR="004F3D05">
        <w:t>20</w:t>
      </w:r>
      <w:r>
        <w:t xml:space="preserve"> percent</w:t>
      </w:r>
      <w:r w:rsidR="00AC0D1D">
        <w:t xml:space="preserve">.  </w:t>
      </w:r>
      <w:r>
        <w:t>The distance above or below the state average is then divided by three to determine the wage adjustment factor</w:t>
      </w:r>
      <w:r w:rsidR="00EA08F7">
        <w:t>.</w:t>
      </w:r>
    </w:p>
    <w:p w:rsidR="00EE18E7" w:rsidRDefault="00EE18E7" w:rsidP="00D04516"/>
    <w:p w:rsidR="00EE18E7" w:rsidRDefault="00EE18E7" w:rsidP="00D04516">
      <w:r>
        <w:t>Prior to FY2000</w:t>
      </w:r>
      <w:r w:rsidR="00EA08F7">
        <w:t>,</w:t>
      </w:r>
      <w:r>
        <w:t xml:space="preserve"> districts in lower-wage areas saw significant reductions in their foundation budgets, by as much as ten percent</w:t>
      </w:r>
      <w:r w:rsidR="00AC0D1D">
        <w:t xml:space="preserve">.  </w:t>
      </w:r>
      <w:r>
        <w:t>Since then, annual budget language has cushioned districts from these reductions, to the point where beginning in FY04, only those with above-average wages have been affected by the wage adjustment factor</w:t>
      </w:r>
      <w:r w:rsidR="00AC0D1D">
        <w:t xml:space="preserve">.  </w:t>
      </w:r>
      <w:r>
        <w:t>Those below the average are set to 100 percent</w:t>
      </w:r>
      <w:r w:rsidR="00AC0D1D">
        <w:t xml:space="preserve">.  </w:t>
      </w:r>
      <w:r w:rsidRPr="006F04F0">
        <w:t>In FY</w:t>
      </w:r>
      <w:r w:rsidR="001632C8" w:rsidRPr="006F04F0">
        <w:t>1</w:t>
      </w:r>
      <w:r w:rsidR="004F3D05">
        <w:t>5</w:t>
      </w:r>
      <w:r w:rsidRPr="006F04F0">
        <w:t>, 11</w:t>
      </w:r>
      <w:r w:rsidR="006F04F0" w:rsidRPr="006F04F0">
        <w:t>5</w:t>
      </w:r>
      <w:r w:rsidRPr="006F04F0">
        <w:t xml:space="preserve"> municipalities in just three labor market areas are affected:</w:t>
      </w:r>
    </w:p>
    <w:p w:rsidR="00EE18E7" w:rsidRDefault="00EE18E7"/>
    <w:p w:rsidR="001632C8" w:rsidRDefault="00EE18E7" w:rsidP="00D04516">
      <w:r>
        <w:tab/>
        <w:t>Boston/Cambridge/</w:t>
      </w:r>
      <w:r w:rsidR="00590F4A">
        <w:t>Quincy NECTA</w:t>
      </w:r>
      <w:r>
        <w:t xml:space="preserve"> division</w:t>
      </w:r>
    </w:p>
    <w:p w:rsidR="001632C8" w:rsidRDefault="00EE18E7" w:rsidP="00D04516">
      <w:r>
        <w:tab/>
        <w:t xml:space="preserve">Framingham </w:t>
      </w:r>
    </w:p>
    <w:p w:rsidR="00EE18E7" w:rsidRDefault="00EE18E7" w:rsidP="00D04516">
      <w:r>
        <w:tab/>
        <w:t xml:space="preserve">Lowell/Billerica/Chelmsford NECTA division </w:t>
      </w:r>
    </w:p>
    <w:p w:rsidR="00EE18E7" w:rsidRDefault="00EE18E7" w:rsidP="00D04516"/>
    <w:p w:rsidR="00EE18E7" w:rsidRDefault="00EE18E7" w:rsidP="00D04516">
      <w:r>
        <w:t xml:space="preserve">A district’s wage factor appears at the bottom left of its foundation budget </w:t>
      </w:r>
      <w:r w:rsidR="00310CB7">
        <w:t>report</w:t>
      </w:r>
      <w:r w:rsidR="00AC0D1D">
        <w:t xml:space="preserve">.  </w:t>
      </w:r>
      <w:r w:rsidR="005E5188" w:rsidRPr="004F3D05">
        <w:t>Marshfield</w:t>
      </w:r>
      <w:r w:rsidR="001632C8" w:rsidRPr="004F3D05">
        <w:t xml:space="preserve">’s </w:t>
      </w:r>
      <w:r w:rsidRPr="004F3D05">
        <w:t>wage factor is</w:t>
      </w:r>
      <w:r w:rsidR="00B25EB5" w:rsidRPr="004F3D05">
        <w:t xml:space="preserve"> </w:t>
      </w:r>
      <w:r w:rsidR="005E5188" w:rsidRPr="004F3D05">
        <w:t>102.3</w:t>
      </w:r>
      <w:r w:rsidRPr="004F3D05">
        <w:t xml:space="preserve"> percent</w:t>
      </w:r>
      <w:r w:rsidR="00EA08F7" w:rsidRPr="004F3D05">
        <w:t>.</w:t>
      </w:r>
    </w:p>
    <w:p w:rsidR="004F3D05" w:rsidRDefault="004F3D05">
      <w:r>
        <w:br w:type="page"/>
      </w:r>
    </w:p>
    <w:p w:rsidR="00EE18E7" w:rsidRPr="004029A4" w:rsidRDefault="00EE18E7" w:rsidP="00D04516">
      <w:pPr>
        <w:pStyle w:val="Heading2"/>
      </w:pPr>
      <w:r w:rsidRPr="004029A4">
        <w:lastRenderedPageBreak/>
        <w:t>FY</w:t>
      </w:r>
      <w:r w:rsidR="00EA08F7" w:rsidRPr="004029A4">
        <w:t>1</w:t>
      </w:r>
      <w:r w:rsidR="004F3D05">
        <w:t>5</w:t>
      </w:r>
      <w:r w:rsidRPr="004029A4">
        <w:t xml:space="preserve"> Foundation Budget: Massachusetts State Totals</w:t>
      </w:r>
    </w:p>
    <w:p w:rsidR="00EE18E7" w:rsidRPr="004029A4" w:rsidRDefault="00EE18E7"/>
    <w:p w:rsidR="00EE18E7" w:rsidRPr="004029A4" w:rsidRDefault="00EE18E7" w:rsidP="00D04516">
      <w:r w:rsidRPr="004F3D05">
        <w:t>After applying the wage factor, the statewide total for all school districts in FY</w:t>
      </w:r>
      <w:r w:rsidR="00EA08F7" w:rsidRPr="004F3D05">
        <w:t>1</w:t>
      </w:r>
      <w:r w:rsidR="004F3D05">
        <w:t>5</w:t>
      </w:r>
      <w:r w:rsidRPr="004F3D05">
        <w:t xml:space="preserve"> is $</w:t>
      </w:r>
      <w:r w:rsidR="004F3D05" w:rsidRPr="004F3D05">
        <w:rPr>
          <w:rFonts w:cs="Arial"/>
        </w:rPr>
        <w:t>9,866,011,311</w:t>
      </w:r>
      <w:r w:rsidR="00AC0D1D" w:rsidRPr="004F3D05">
        <w:t>.</w:t>
      </w:r>
      <w:r w:rsidR="00EA08F7" w:rsidRPr="004F3D05">
        <w:t xml:space="preserve">  </w:t>
      </w:r>
      <w:r w:rsidRPr="004F3D05">
        <w:t>Teaching makes up 4</w:t>
      </w:r>
      <w:r w:rsidR="001E2045" w:rsidRPr="004F3D05">
        <w:t>5</w:t>
      </w:r>
      <w:r w:rsidRPr="004F3D05">
        <w:t xml:space="preserve"> percent</w:t>
      </w:r>
      <w:r w:rsidR="00AC0D1D" w:rsidRPr="004F3D05">
        <w:t xml:space="preserve">.  </w:t>
      </w:r>
      <w:r w:rsidRPr="004F3D05">
        <w:t>The six instructional categories (instructional leadership, teachers, other teaching services, professional development, instructional materials/technology, and guidance/psychological) account for a combined 70 percent.</w:t>
      </w:r>
    </w:p>
    <w:p w:rsidR="00143A48" w:rsidRPr="00ED0548" w:rsidRDefault="00143A48">
      <w:pPr>
        <w:rPr>
          <w:highlight w:val="yellow"/>
        </w:rPr>
      </w:pPr>
    </w:p>
    <w:tbl>
      <w:tblPr>
        <w:tblW w:w="6816" w:type="dxa"/>
        <w:tblInd w:w="108" w:type="dxa"/>
        <w:tblLook w:val="04A0" w:firstRow="1" w:lastRow="0" w:firstColumn="1" w:lastColumn="0" w:noHBand="0" w:noVBand="1"/>
      </w:tblPr>
      <w:tblGrid>
        <w:gridCol w:w="3403"/>
        <w:gridCol w:w="1946"/>
        <w:gridCol w:w="1467"/>
      </w:tblGrid>
      <w:tr w:rsidR="00764BD4" w:rsidRPr="004029A4" w:rsidTr="00764BD4">
        <w:trPr>
          <w:trHeight w:val="300"/>
        </w:trPr>
        <w:tc>
          <w:tcPr>
            <w:tcW w:w="6816" w:type="dxa"/>
            <w:gridSpan w:val="3"/>
            <w:shd w:val="clear" w:color="auto" w:fill="auto"/>
            <w:noWrap/>
            <w:vAlign w:val="center"/>
            <w:hideMark/>
          </w:tcPr>
          <w:p w:rsidR="00764BD4" w:rsidRPr="004F3D05" w:rsidRDefault="00764BD4" w:rsidP="004F3D05">
            <w:pPr>
              <w:jc w:val="center"/>
              <w:rPr>
                <w:rFonts w:cs="Arial"/>
                <w:b/>
              </w:rPr>
            </w:pPr>
            <w:r w:rsidRPr="004F3D05">
              <w:rPr>
                <w:rFonts w:cs="Arial"/>
                <w:b/>
              </w:rPr>
              <w:t>FY1</w:t>
            </w:r>
            <w:r w:rsidR="004F3D05" w:rsidRPr="004F3D05">
              <w:rPr>
                <w:rFonts w:cs="Arial"/>
                <w:b/>
              </w:rPr>
              <w:t>5</w:t>
            </w:r>
            <w:r w:rsidRPr="004F3D05">
              <w:rPr>
                <w:rFonts w:cs="Arial"/>
                <w:b/>
              </w:rPr>
              <w:t xml:space="preserve"> Foundation Budget by Category</w:t>
            </w:r>
          </w:p>
        </w:tc>
      </w:tr>
      <w:tr w:rsidR="00764BD4" w:rsidRPr="004029A4" w:rsidTr="00764BD4">
        <w:trPr>
          <w:trHeight w:val="300"/>
        </w:trPr>
        <w:tc>
          <w:tcPr>
            <w:tcW w:w="3403" w:type="dxa"/>
            <w:shd w:val="clear" w:color="auto" w:fill="auto"/>
            <w:noWrap/>
            <w:vAlign w:val="center"/>
            <w:hideMark/>
          </w:tcPr>
          <w:p w:rsidR="00764BD4" w:rsidRPr="004F3D05" w:rsidRDefault="00764BD4" w:rsidP="00764BD4">
            <w:pPr>
              <w:rPr>
                <w:rFonts w:cs="Arial"/>
                <w:b/>
              </w:rPr>
            </w:pPr>
            <w:r w:rsidRPr="004F3D05">
              <w:rPr>
                <w:rFonts w:cs="Arial"/>
                <w:b/>
              </w:rPr>
              <w:t>Category</w:t>
            </w:r>
          </w:p>
        </w:tc>
        <w:tc>
          <w:tcPr>
            <w:tcW w:w="1946" w:type="dxa"/>
            <w:shd w:val="clear" w:color="auto" w:fill="auto"/>
            <w:noWrap/>
            <w:vAlign w:val="center"/>
            <w:hideMark/>
          </w:tcPr>
          <w:p w:rsidR="00764BD4" w:rsidRPr="004F3D05" w:rsidRDefault="00764BD4" w:rsidP="00764BD4">
            <w:pPr>
              <w:jc w:val="center"/>
              <w:rPr>
                <w:rFonts w:cs="Arial"/>
                <w:b/>
              </w:rPr>
            </w:pPr>
            <w:r w:rsidRPr="004F3D05">
              <w:rPr>
                <w:rFonts w:cs="Arial"/>
                <w:b/>
              </w:rPr>
              <w:t>Dollars</w:t>
            </w:r>
          </w:p>
        </w:tc>
        <w:tc>
          <w:tcPr>
            <w:tcW w:w="1467" w:type="dxa"/>
            <w:shd w:val="clear" w:color="auto" w:fill="auto"/>
            <w:noWrap/>
            <w:vAlign w:val="center"/>
            <w:hideMark/>
          </w:tcPr>
          <w:p w:rsidR="00764BD4" w:rsidRPr="004F3D05" w:rsidRDefault="00764BD4" w:rsidP="00764BD4">
            <w:pPr>
              <w:jc w:val="center"/>
              <w:rPr>
                <w:rFonts w:cs="Arial"/>
                <w:b/>
              </w:rPr>
            </w:pPr>
            <w:r w:rsidRPr="004F3D05">
              <w:rPr>
                <w:rFonts w:cs="Arial"/>
                <w:b/>
              </w:rPr>
              <w:t>Pct of Total</w:t>
            </w:r>
          </w:p>
        </w:tc>
      </w:tr>
      <w:tr w:rsidR="004F3D05" w:rsidRPr="004029A4" w:rsidTr="008A5CDB">
        <w:trPr>
          <w:trHeight w:val="300"/>
        </w:trPr>
        <w:tc>
          <w:tcPr>
            <w:tcW w:w="3403" w:type="dxa"/>
            <w:shd w:val="clear" w:color="auto" w:fill="auto"/>
            <w:noWrap/>
            <w:vAlign w:val="bottom"/>
            <w:hideMark/>
          </w:tcPr>
          <w:p w:rsidR="004F3D05" w:rsidRDefault="004F3D05">
            <w:pPr>
              <w:rPr>
                <w:rFonts w:cs="Arial"/>
              </w:rPr>
            </w:pPr>
            <w:r>
              <w:rPr>
                <w:rFonts w:cs="Arial"/>
              </w:rPr>
              <w:t>Administration</w:t>
            </w:r>
          </w:p>
        </w:tc>
        <w:tc>
          <w:tcPr>
            <w:tcW w:w="1946" w:type="dxa"/>
            <w:shd w:val="clear" w:color="auto" w:fill="auto"/>
            <w:noWrap/>
            <w:vAlign w:val="bottom"/>
            <w:hideMark/>
          </w:tcPr>
          <w:p w:rsidR="004F3D05" w:rsidRDefault="004F3D05">
            <w:pPr>
              <w:jc w:val="right"/>
              <w:rPr>
                <w:rFonts w:cs="Arial"/>
              </w:rPr>
            </w:pPr>
            <w:r>
              <w:rPr>
                <w:rFonts w:cs="Arial"/>
              </w:rPr>
              <w:t xml:space="preserve">457,847,083 </w:t>
            </w:r>
          </w:p>
        </w:tc>
        <w:tc>
          <w:tcPr>
            <w:tcW w:w="1467" w:type="dxa"/>
            <w:shd w:val="clear" w:color="auto" w:fill="auto"/>
            <w:noWrap/>
            <w:vAlign w:val="bottom"/>
            <w:hideMark/>
          </w:tcPr>
          <w:p w:rsidR="004F3D05" w:rsidRDefault="004F3D05">
            <w:pPr>
              <w:jc w:val="right"/>
              <w:rPr>
                <w:rFonts w:cs="Arial"/>
              </w:rPr>
            </w:pPr>
            <w:r>
              <w:rPr>
                <w:rFonts w:cs="Arial"/>
              </w:rPr>
              <w:t>4.6</w:t>
            </w:r>
          </w:p>
        </w:tc>
      </w:tr>
      <w:tr w:rsidR="004F3D05" w:rsidRPr="004029A4" w:rsidTr="008A5CDB">
        <w:trPr>
          <w:trHeight w:val="300"/>
        </w:trPr>
        <w:tc>
          <w:tcPr>
            <w:tcW w:w="3403" w:type="dxa"/>
            <w:shd w:val="clear" w:color="auto" w:fill="auto"/>
            <w:noWrap/>
            <w:vAlign w:val="bottom"/>
            <w:hideMark/>
          </w:tcPr>
          <w:p w:rsidR="004F3D05" w:rsidRDefault="004F3D05">
            <w:pPr>
              <w:rPr>
                <w:rFonts w:cs="Arial"/>
              </w:rPr>
            </w:pPr>
            <w:r>
              <w:rPr>
                <w:rFonts w:cs="Arial"/>
              </w:rPr>
              <w:t>Pupil Services</w:t>
            </w:r>
          </w:p>
        </w:tc>
        <w:tc>
          <w:tcPr>
            <w:tcW w:w="1946" w:type="dxa"/>
            <w:shd w:val="clear" w:color="auto" w:fill="auto"/>
            <w:noWrap/>
            <w:vAlign w:val="bottom"/>
            <w:hideMark/>
          </w:tcPr>
          <w:p w:rsidR="004F3D05" w:rsidRDefault="004F3D05">
            <w:pPr>
              <w:jc w:val="right"/>
              <w:rPr>
                <w:rFonts w:cs="Arial"/>
              </w:rPr>
            </w:pPr>
            <w:r>
              <w:rPr>
                <w:rFonts w:cs="Arial"/>
              </w:rPr>
              <w:t xml:space="preserve">242,076,375 </w:t>
            </w:r>
          </w:p>
        </w:tc>
        <w:tc>
          <w:tcPr>
            <w:tcW w:w="1467" w:type="dxa"/>
            <w:shd w:val="clear" w:color="auto" w:fill="auto"/>
            <w:noWrap/>
            <w:vAlign w:val="bottom"/>
            <w:hideMark/>
          </w:tcPr>
          <w:p w:rsidR="004F3D05" w:rsidRDefault="004F3D05">
            <w:pPr>
              <w:jc w:val="right"/>
              <w:rPr>
                <w:rFonts w:cs="Arial"/>
              </w:rPr>
            </w:pPr>
            <w:r>
              <w:rPr>
                <w:rFonts w:cs="Arial"/>
              </w:rPr>
              <w:t>2.5</w:t>
            </w:r>
          </w:p>
        </w:tc>
      </w:tr>
      <w:tr w:rsidR="004F3D05" w:rsidRPr="004029A4" w:rsidTr="008A5CDB">
        <w:trPr>
          <w:trHeight w:val="300"/>
        </w:trPr>
        <w:tc>
          <w:tcPr>
            <w:tcW w:w="3403" w:type="dxa"/>
            <w:shd w:val="clear" w:color="auto" w:fill="auto"/>
            <w:noWrap/>
            <w:vAlign w:val="bottom"/>
            <w:hideMark/>
          </w:tcPr>
          <w:p w:rsidR="004F3D05" w:rsidRDefault="004F3D05">
            <w:pPr>
              <w:rPr>
                <w:rFonts w:cs="Arial"/>
              </w:rPr>
            </w:pPr>
            <w:r>
              <w:rPr>
                <w:rFonts w:cs="Arial"/>
              </w:rPr>
              <w:t>Maintenance</w:t>
            </w:r>
          </w:p>
        </w:tc>
        <w:tc>
          <w:tcPr>
            <w:tcW w:w="1946" w:type="dxa"/>
            <w:shd w:val="clear" w:color="auto" w:fill="auto"/>
            <w:noWrap/>
            <w:vAlign w:val="bottom"/>
            <w:hideMark/>
          </w:tcPr>
          <w:p w:rsidR="004F3D05" w:rsidRDefault="004F3D05">
            <w:pPr>
              <w:jc w:val="right"/>
              <w:rPr>
                <w:rFonts w:cs="Arial"/>
              </w:rPr>
            </w:pPr>
            <w:r>
              <w:rPr>
                <w:rFonts w:cs="Arial"/>
              </w:rPr>
              <w:t xml:space="preserve">1,132,013,033 </w:t>
            </w:r>
          </w:p>
        </w:tc>
        <w:tc>
          <w:tcPr>
            <w:tcW w:w="1467" w:type="dxa"/>
            <w:shd w:val="clear" w:color="auto" w:fill="auto"/>
            <w:noWrap/>
            <w:vAlign w:val="bottom"/>
            <w:hideMark/>
          </w:tcPr>
          <w:p w:rsidR="004F3D05" w:rsidRDefault="004F3D05">
            <w:pPr>
              <w:jc w:val="right"/>
              <w:rPr>
                <w:rFonts w:cs="Arial"/>
              </w:rPr>
            </w:pPr>
            <w:r>
              <w:rPr>
                <w:rFonts w:cs="Arial"/>
              </w:rPr>
              <w:t>11.5</w:t>
            </w:r>
          </w:p>
        </w:tc>
      </w:tr>
      <w:tr w:rsidR="004F3D05" w:rsidRPr="004029A4" w:rsidTr="008A5CDB">
        <w:trPr>
          <w:trHeight w:val="300"/>
        </w:trPr>
        <w:tc>
          <w:tcPr>
            <w:tcW w:w="3403" w:type="dxa"/>
            <w:shd w:val="clear" w:color="auto" w:fill="auto"/>
            <w:noWrap/>
            <w:vAlign w:val="bottom"/>
            <w:hideMark/>
          </w:tcPr>
          <w:p w:rsidR="004F3D05" w:rsidRDefault="004F3D05">
            <w:pPr>
              <w:rPr>
                <w:rFonts w:cs="Arial"/>
              </w:rPr>
            </w:pPr>
            <w:r>
              <w:rPr>
                <w:rFonts w:cs="Arial"/>
              </w:rPr>
              <w:t>Benefits</w:t>
            </w:r>
          </w:p>
        </w:tc>
        <w:tc>
          <w:tcPr>
            <w:tcW w:w="1946" w:type="dxa"/>
            <w:shd w:val="clear" w:color="auto" w:fill="auto"/>
            <w:noWrap/>
            <w:vAlign w:val="bottom"/>
            <w:hideMark/>
          </w:tcPr>
          <w:p w:rsidR="004F3D05" w:rsidRDefault="004F3D05">
            <w:pPr>
              <w:jc w:val="right"/>
              <w:rPr>
                <w:rFonts w:cs="Arial"/>
              </w:rPr>
            </w:pPr>
            <w:r>
              <w:rPr>
                <w:rFonts w:cs="Arial"/>
              </w:rPr>
              <w:t xml:space="preserve">917,613,023 </w:t>
            </w:r>
          </w:p>
        </w:tc>
        <w:tc>
          <w:tcPr>
            <w:tcW w:w="1467" w:type="dxa"/>
            <w:shd w:val="clear" w:color="auto" w:fill="auto"/>
            <w:noWrap/>
            <w:vAlign w:val="bottom"/>
            <w:hideMark/>
          </w:tcPr>
          <w:p w:rsidR="004F3D05" w:rsidRDefault="004F3D05">
            <w:pPr>
              <w:jc w:val="right"/>
              <w:rPr>
                <w:rFonts w:cs="Arial"/>
              </w:rPr>
            </w:pPr>
            <w:r>
              <w:rPr>
                <w:rFonts w:cs="Arial"/>
              </w:rPr>
              <w:t>9.3</w:t>
            </w:r>
          </w:p>
        </w:tc>
      </w:tr>
      <w:tr w:rsidR="004F3D05" w:rsidRPr="004029A4" w:rsidTr="008A5CDB">
        <w:trPr>
          <w:trHeight w:val="300"/>
        </w:trPr>
        <w:tc>
          <w:tcPr>
            <w:tcW w:w="3403" w:type="dxa"/>
            <w:shd w:val="clear" w:color="auto" w:fill="auto"/>
            <w:noWrap/>
            <w:vAlign w:val="bottom"/>
            <w:hideMark/>
          </w:tcPr>
          <w:p w:rsidR="004F3D05" w:rsidRDefault="004F3D05">
            <w:pPr>
              <w:rPr>
                <w:rFonts w:cs="Arial"/>
              </w:rPr>
            </w:pPr>
            <w:r>
              <w:rPr>
                <w:rFonts w:cs="Arial"/>
              </w:rPr>
              <w:t>Special Education Tuition</w:t>
            </w:r>
          </w:p>
        </w:tc>
        <w:tc>
          <w:tcPr>
            <w:tcW w:w="1946" w:type="dxa"/>
            <w:shd w:val="clear" w:color="auto" w:fill="auto"/>
            <w:noWrap/>
            <w:vAlign w:val="bottom"/>
            <w:hideMark/>
          </w:tcPr>
          <w:p w:rsidR="004F3D05" w:rsidRDefault="004F3D05">
            <w:pPr>
              <w:jc w:val="right"/>
              <w:rPr>
                <w:rFonts w:cs="Arial"/>
              </w:rPr>
            </w:pPr>
            <w:r>
              <w:rPr>
                <w:rFonts w:cs="Arial"/>
              </w:rPr>
              <w:t xml:space="preserve">207,845,782 </w:t>
            </w:r>
          </w:p>
        </w:tc>
        <w:tc>
          <w:tcPr>
            <w:tcW w:w="1467" w:type="dxa"/>
            <w:shd w:val="clear" w:color="auto" w:fill="auto"/>
            <w:noWrap/>
            <w:vAlign w:val="bottom"/>
            <w:hideMark/>
          </w:tcPr>
          <w:p w:rsidR="004F3D05" w:rsidRDefault="004F3D05">
            <w:pPr>
              <w:jc w:val="right"/>
              <w:rPr>
                <w:rFonts w:cs="Arial"/>
              </w:rPr>
            </w:pPr>
            <w:r>
              <w:rPr>
                <w:rFonts w:cs="Arial"/>
              </w:rPr>
              <w:t>2.1</w:t>
            </w:r>
          </w:p>
        </w:tc>
      </w:tr>
      <w:tr w:rsidR="004F3D05" w:rsidRPr="004029A4" w:rsidTr="008A5CDB">
        <w:trPr>
          <w:trHeight w:val="300"/>
        </w:trPr>
        <w:tc>
          <w:tcPr>
            <w:tcW w:w="3403" w:type="dxa"/>
            <w:shd w:val="clear" w:color="auto" w:fill="auto"/>
            <w:noWrap/>
            <w:vAlign w:val="bottom"/>
            <w:hideMark/>
          </w:tcPr>
          <w:p w:rsidR="004F3D05" w:rsidRDefault="004F3D05">
            <w:pPr>
              <w:rPr>
                <w:rFonts w:cs="Arial"/>
              </w:rPr>
            </w:pPr>
            <w:r>
              <w:rPr>
                <w:rFonts w:cs="Arial"/>
              </w:rPr>
              <w:t>Instructional Leadership</w:t>
            </w:r>
          </w:p>
        </w:tc>
        <w:tc>
          <w:tcPr>
            <w:tcW w:w="1946" w:type="dxa"/>
            <w:shd w:val="clear" w:color="auto" w:fill="auto"/>
            <w:noWrap/>
            <w:vAlign w:val="bottom"/>
            <w:hideMark/>
          </w:tcPr>
          <w:p w:rsidR="004F3D05" w:rsidRDefault="004F3D05">
            <w:pPr>
              <w:jc w:val="right"/>
              <w:rPr>
                <w:rFonts w:cs="Arial"/>
              </w:rPr>
            </w:pPr>
            <w:r>
              <w:rPr>
                <w:rFonts w:cs="Arial"/>
              </w:rPr>
              <w:t xml:space="preserve">624,728,305 </w:t>
            </w:r>
          </w:p>
        </w:tc>
        <w:tc>
          <w:tcPr>
            <w:tcW w:w="1467" w:type="dxa"/>
            <w:shd w:val="clear" w:color="auto" w:fill="auto"/>
            <w:noWrap/>
            <w:vAlign w:val="bottom"/>
            <w:hideMark/>
          </w:tcPr>
          <w:p w:rsidR="004F3D05" w:rsidRDefault="004F3D05">
            <w:pPr>
              <w:jc w:val="right"/>
              <w:rPr>
                <w:rFonts w:cs="Arial"/>
              </w:rPr>
            </w:pPr>
            <w:r>
              <w:rPr>
                <w:rFonts w:cs="Arial"/>
              </w:rPr>
              <w:t>6.3</w:t>
            </w:r>
          </w:p>
        </w:tc>
      </w:tr>
      <w:tr w:rsidR="004F3D05" w:rsidRPr="004029A4" w:rsidTr="008A5CDB">
        <w:trPr>
          <w:trHeight w:val="300"/>
        </w:trPr>
        <w:tc>
          <w:tcPr>
            <w:tcW w:w="3403" w:type="dxa"/>
            <w:shd w:val="clear" w:color="auto" w:fill="auto"/>
            <w:noWrap/>
            <w:vAlign w:val="bottom"/>
            <w:hideMark/>
          </w:tcPr>
          <w:p w:rsidR="004F3D05" w:rsidRDefault="004F3D05">
            <w:pPr>
              <w:rPr>
                <w:rFonts w:cs="Arial"/>
              </w:rPr>
            </w:pPr>
            <w:r>
              <w:rPr>
                <w:rFonts w:cs="Arial"/>
              </w:rPr>
              <w:t>Teachers</w:t>
            </w:r>
          </w:p>
        </w:tc>
        <w:tc>
          <w:tcPr>
            <w:tcW w:w="1946" w:type="dxa"/>
            <w:shd w:val="clear" w:color="auto" w:fill="auto"/>
            <w:noWrap/>
            <w:vAlign w:val="bottom"/>
            <w:hideMark/>
          </w:tcPr>
          <w:p w:rsidR="004F3D05" w:rsidRDefault="004F3D05">
            <w:pPr>
              <w:jc w:val="right"/>
              <w:rPr>
                <w:rFonts w:cs="Arial"/>
              </w:rPr>
            </w:pPr>
            <w:r>
              <w:rPr>
                <w:rFonts w:cs="Arial"/>
              </w:rPr>
              <w:t xml:space="preserve">4,472,408,521 </w:t>
            </w:r>
          </w:p>
        </w:tc>
        <w:tc>
          <w:tcPr>
            <w:tcW w:w="1467" w:type="dxa"/>
            <w:shd w:val="clear" w:color="auto" w:fill="auto"/>
            <w:noWrap/>
            <w:vAlign w:val="bottom"/>
            <w:hideMark/>
          </w:tcPr>
          <w:p w:rsidR="004F3D05" w:rsidRDefault="004F3D05">
            <w:pPr>
              <w:jc w:val="right"/>
              <w:rPr>
                <w:rFonts w:cs="Arial"/>
              </w:rPr>
            </w:pPr>
            <w:r>
              <w:rPr>
                <w:rFonts w:cs="Arial"/>
              </w:rPr>
              <w:t>45.3</w:t>
            </w:r>
          </w:p>
        </w:tc>
      </w:tr>
      <w:tr w:rsidR="004F3D05" w:rsidRPr="004029A4" w:rsidTr="008A5CDB">
        <w:trPr>
          <w:trHeight w:val="300"/>
        </w:trPr>
        <w:tc>
          <w:tcPr>
            <w:tcW w:w="3403" w:type="dxa"/>
            <w:shd w:val="clear" w:color="auto" w:fill="auto"/>
            <w:noWrap/>
            <w:vAlign w:val="bottom"/>
            <w:hideMark/>
          </w:tcPr>
          <w:p w:rsidR="004F3D05" w:rsidRDefault="004F3D05">
            <w:pPr>
              <w:rPr>
                <w:rFonts w:cs="Arial"/>
              </w:rPr>
            </w:pPr>
            <w:r>
              <w:rPr>
                <w:rFonts w:cs="Arial"/>
              </w:rPr>
              <w:t>Other Teaching Services</w:t>
            </w:r>
          </w:p>
        </w:tc>
        <w:tc>
          <w:tcPr>
            <w:tcW w:w="1946" w:type="dxa"/>
            <w:shd w:val="clear" w:color="auto" w:fill="auto"/>
            <w:noWrap/>
            <w:vAlign w:val="bottom"/>
            <w:hideMark/>
          </w:tcPr>
          <w:p w:rsidR="004F3D05" w:rsidRDefault="004F3D05">
            <w:pPr>
              <w:jc w:val="right"/>
              <w:rPr>
                <w:rFonts w:cs="Arial"/>
              </w:rPr>
            </w:pPr>
            <w:r>
              <w:rPr>
                <w:rFonts w:cs="Arial"/>
              </w:rPr>
              <w:t xml:space="preserve">866,293,117 </w:t>
            </w:r>
          </w:p>
        </w:tc>
        <w:tc>
          <w:tcPr>
            <w:tcW w:w="1467" w:type="dxa"/>
            <w:shd w:val="clear" w:color="auto" w:fill="auto"/>
            <w:noWrap/>
            <w:vAlign w:val="bottom"/>
            <w:hideMark/>
          </w:tcPr>
          <w:p w:rsidR="004F3D05" w:rsidRDefault="004F3D05">
            <w:pPr>
              <w:jc w:val="right"/>
              <w:rPr>
                <w:rFonts w:cs="Arial"/>
              </w:rPr>
            </w:pPr>
            <w:r>
              <w:rPr>
                <w:rFonts w:cs="Arial"/>
              </w:rPr>
              <w:t>8.8</w:t>
            </w:r>
          </w:p>
        </w:tc>
      </w:tr>
      <w:tr w:rsidR="004F3D05" w:rsidRPr="004029A4" w:rsidTr="008A5CDB">
        <w:trPr>
          <w:trHeight w:val="300"/>
        </w:trPr>
        <w:tc>
          <w:tcPr>
            <w:tcW w:w="3403" w:type="dxa"/>
            <w:shd w:val="clear" w:color="auto" w:fill="auto"/>
            <w:noWrap/>
            <w:vAlign w:val="bottom"/>
            <w:hideMark/>
          </w:tcPr>
          <w:p w:rsidR="004F3D05" w:rsidRDefault="004F3D05">
            <w:pPr>
              <w:rPr>
                <w:rFonts w:cs="Arial"/>
              </w:rPr>
            </w:pPr>
            <w:r>
              <w:rPr>
                <w:rFonts w:cs="Arial"/>
              </w:rPr>
              <w:t>Professional Development</w:t>
            </w:r>
          </w:p>
        </w:tc>
        <w:tc>
          <w:tcPr>
            <w:tcW w:w="1946" w:type="dxa"/>
            <w:shd w:val="clear" w:color="auto" w:fill="auto"/>
            <w:noWrap/>
            <w:vAlign w:val="bottom"/>
            <w:hideMark/>
          </w:tcPr>
          <w:p w:rsidR="004F3D05" w:rsidRDefault="004F3D05">
            <w:pPr>
              <w:jc w:val="right"/>
              <w:rPr>
                <w:rFonts w:cs="Arial"/>
              </w:rPr>
            </w:pPr>
            <w:r>
              <w:rPr>
                <w:rFonts w:cs="Arial"/>
              </w:rPr>
              <w:t xml:space="preserve">160,033,777 </w:t>
            </w:r>
          </w:p>
        </w:tc>
        <w:tc>
          <w:tcPr>
            <w:tcW w:w="1467" w:type="dxa"/>
            <w:shd w:val="clear" w:color="auto" w:fill="auto"/>
            <w:noWrap/>
            <w:vAlign w:val="bottom"/>
            <w:hideMark/>
          </w:tcPr>
          <w:p w:rsidR="004F3D05" w:rsidRDefault="004F3D05">
            <w:pPr>
              <w:jc w:val="right"/>
              <w:rPr>
                <w:rFonts w:cs="Arial"/>
              </w:rPr>
            </w:pPr>
            <w:r>
              <w:rPr>
                <w:rFonts w:cs="Arial"/>
              </w:rPr>
              <w:t>1.6</w:t>
            </w:r>
          </w:p>
        </w:tc>
      </w:tr>
      <w:tr w:rsidR="004F3D05" w:rsidRPr="004029A4" w:rsidTr="008A5CDB">
        <w:trPr>
          <w:trHeight w:val="300"/>
        </w:trPr>
        <w:tc>
          <w:tcPr>
            <w:tcW w:w="3403" w:type="dxa"/>
            <w:shd w:val="clear" w:color="auto" w:fill="auto"/>
            <w:noWrap/>
            <w:vAlign w:val="bottom"/>
            <w:hideMark/>
          </w:tcPr>
          <w:p w:rsidR="004F3D05" w:rsidRDefault="004F3D05">
            <w:pPr>
              <w:rPr>
                <w:rFonts w:cs="Arial"/>
              </w:rPr>
            </w:pPr>
            <w:r>
              <w:rPr>
                <w:rFonts w:cs="Arial"/>
              </w:rPr>
              <w:t>Instructional Materials</w:t>
            </w:r>
          </w:p>
        </w:tc>
        <w:tc>
          <w:tcPr>
            <w:tcW w:w="1946" w:type="dxa"/>
            <w:shd w:val="clear" w:color="auto" w:fill="auto"/>
            <w:noWrap/>
            <w:vAlign w:val="bottom"/>
            <w:hideMark/>
          </w:tcPr>
          <w:p w:rsidR="004F3D05" w:rsidRDefault="004F3D05">
            <w:pPr>
              <w:jc w:val="right"/>
              <w:rPr>
                <w:rFonts w:cs="Arial"/>
              </w:rPr>
            </w:pPr>
            <w:r>
              <w:rPr>
                <w:rFonts w:cs="Arial"/>
              </w:rPr>
              <w:t xml:space="preserve">514,461,912 </w:t>
            </w:r>
          </w:p>
        </w:tc>
        <w:tc>
          <w:tcPr>
            <w:tcW w:w="1467" w:type="dxa"/>
            <w:shd w:val="clear" w:color="auto" w:fill="auto"/>
            <w:noWrap/>
            <w:vAlign w:val="bottom"/>
            <w:hideMark/>
          </w:tcPr>
          <w:p w:rsidR="004F3D05" w:rsidRDefault="004F3D05">
            <w:pPr>
              <w:jc w:val="right"/>
              <w:rPr>
                <w:rFonts w:cs="Arial"/>
              </w:rPr>
            </w:pPr>
            <w:r>
              <w:rPr>
                <w:rFonts w:cs="Arial"/>
              </w:rPr>
              <w:t>5.2</w:t>
            </w:r>
          </w:p>
        </w:tc>
      </w:tr>
      <w:tr w:rsidR="004F3D05" w:rsidRPr="004029A4" w:rsidTr="008A5CDB">
        <w:trPr>
          <w:trHeight w:val="300"/>
        </w:trPr>
        <w:tc>
          <w:tcPr>
            <w:tcW w:w="3403" w:type="dxa"/>
            <w:shd w:val="clear" w:color="auto" w:fill="auto"/>
            <w:noWrap/>
            <w:vAlign w:val="bottom"/>
            <w:hideMark/>
          </w:tcPr>
          <w:p w:rsidR="004F3D05" w:rsidRDefault="004F3D05">
            <w:pPr>
              <w:rPr>
                <w:rFonts w:cs="Arial"/>
              </w:rPr>
            </w:pPr>
            <w:r>
              <w:rPr>
                <w:rFonts w:cs="Arial"/>
              </w:rPr>
              <w:t>Guidance/Psych Services</w:t>
            </w:r>
          </w:p>
        </w:tc>
        <w:tc>
          <w:tcPr>
            <w:tcW w:w="1946" w:type="dxa"/>
            <w:shd w:val="clear" w:color="auto" w:fill="auto"/>
            <w:noWrap/>
            <w:vAlign w:val="bottom"/>
            <w:hideMark/>
          </w:tcPr>
          <w:p w:rsidR="004F3D05" w:rsidRDefault="004F3D05">
            <w:pPr>
              <w:jc w:val="right"/>
              <w:rPr>
                <w:rFonts w:cs="Arial"/>
              </w:rPr>
            </w:pPr>
            <w:r>
              <w:rPr>
                <w:rFonts w:cs="Arial"/>
              </w:rPr>
              <w:t xml:space="preserve">270,690,383 </w:t>
            </w:r>
          </w:p>
        </w:tc>
        <w:tc>
          <w:tcPr>
            <w:tcW w:w="1467" w:type="dxa"/>
            <w:shd w:val="clear" w:color="auto" w:fill="auto"/>
            <w:noWrap/>
            <w:vAlign w:val="bottom"/>
            <w:hideMark/>
          </w:tcPr>
          <w:p w:rsidR="004F3D05" w:rsidRDefault="004F3D05">
            <w:pPr>
              <w:jc w:val="right"/>
              <w:rPr>
                <w:rFonts w:cs="Arial"/>
              </w:rPr>
            </w:pPr>
            <w:r>
              <w:rPr>
                <w:rFonts w:cs="Arial"/>
              </w:rPr>
              <w:t>2.7</w:t>
            </w:r>
          </w:p>
        </w:tc>
      </w:tr>
      <w:tr w:rsidR="004F3D05" w:rsidRPr="004029A4" w:rsidTr="008A5CDB">
        <w:trPr>
          <w:trHeight w:val="300"/>
        </w:trPr>
        <w:tc>
          <w:tcPr>
            <w:tcW w:w="3403" w:type="dxa"/>
            <w:shd w:val="clear" w:color="auto" w:fill="auto"/>
            <w:noWrap/>
            <w:vAlign w:val="bottom"/>
            <w:hideMark/>
          </w:tcPr>
          <w:p w:rsidR="004F3D05" w:rsidRDefault="004F3D05">
            <w:pPr>
              <w:rPr>
                <w:rFonts w:cs="Arial"/>
              </w:rPr>
            </w:pPr>
            <w:r>
              <w:rPr>
                <w:rFonts w:cs="Arial"/>
              </w:rPr>
              <w:t>Total</w:t>
            </w:r>
          </w:p>
        </w:tc>
        <w:tc>
          <w:tcPr>
            <w:tcW w:w="1946" w:type="dxa"/>
            <w:shd w:val="clear" w:color="auto" w:fill="auto"/>
            <w:noWrap/>
            <w:vAlign w:val="bottom"/>
            <w:hideMark/>
          </w:tcPr>
          <w:p w:rsidR="004F3D05" w:rsidRDefault="004F3D05">
            <w:pPr>
              <w:jc w:val="right"/>
              <w:rPr>
                <w:rFonts w:cs="Arial"/>
              </w:rPr>
            </w:pPr>
            <w:r>
              <w:rPr>
                <w:rFonts w:cs="Arial"/>
              </w:rPr>
              <w:t xml:space="preserve">9,866,011,311 </w:t>
            </w:r>
          </w:p>
        </w:tc>
        <w:tc>
          <w:tcPr>
            <w:tcW w:w="1467" w:type="dxa"/>
            <w:shd w:val="clear" w:color="auto" w:fill="auto"/>
            <w:noWrap/>
            <w:vAlign w:val="bottom"/>
            <w:hideMark/>
          </w:tcPr>
          <w:p w:rsidR="004F3D05" w:rsidRDefault="004F3D05">
            <w:pPr>
              <w:jc w:val="right"/>
              <w:rPr>
                <w:rFonts w:cs="Arial"/>
              </w:rPr>
            </w:pPr>
            <w:r>
              <w:rPr>
                <w:rFonts w:cs="Arial"/>
              </w:rPr>
              <w:t>30.0</w:t>
            </w:r>
          </w:p>
        </w:tc>
      </w:tr>
    </w:tbl>
    <w:p w:rsidR="00310CB7" w:rsidRDefault="00310CB7"/>
    <w:p w:rsidR="00310CB7" w:rsidRDefault="004F3D05">
      <w:r>
        <w:rPr>
          <w:noProof/>
        </w:rPr>
        <w:drawing>
          <wp:inline distT="0" distB="0" distL="0" distR="0">
            <wp:extent cx="5410200" cy="2400300"/>
            <wp:effectExtent l="19050" t="0" r="0" b="0"/>
            <wp:docPr id="4" name="Picture 2" descr="This pie chart showis  the share of each foundation budget category as a percent of the total.  Refers to a table showing each functional category as a percentage of the total.  Instruction represents the largest 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t="9907" r="7652" b="12074"/>
                    <a:stretch>
                      <a:fillRect/>
                    </a:stretch>
                  </pic:blipFill>
                  <pic:spPr bwMode="auto">
                    <a:xfrm>
                      <a:off x="0" y="0"/>
                      <a:ext cx="5410200" cy="2400300"/>
                    </a:xfrm>
                    <a:prstGeom prst="rect">
                      <a:avLst/>
                    </a:prstGeom>
                    <a:noFill/>
                  </pic:spPr>
                </pic:pic>
              </a:graphicData>
            </a:graphic>
          </wp:inline>
        </w:drawing>
      </w:r>
    </w:p>
    <w:p w:rsidR="001E2045" w:rsidRPr="00310CB7" w:rsidRDefault="001E2045"/>
    <w:p w:rsidR="00EE18E7" w:rsidRPr="00DF6BBE" w:rsidRDefault="00EE18E7" w:rsidP="00250687">
      <w:pPr>
        <w:pStyle w:val="Heading2"/>
      </w:pPr>
      <w:r>
        <w:br w:type="page"/>
      </w:r>
      <w:r w:rsidRPr="00DF6BBE">
        <w:lastRenderedPageBreak/>
        <w:t>FY</w:t>
      </w:r>
      <w:r w:rsidR="00ED0548">
        <w:t>1</w:t>
      </w:r>
      <w:r w:rsidR="004F3D05">
        <w:t>5</w:t>
      </w:r>
      <w:r w:rsidR="00310CB7" w:rsidRPr="00DF6BBE">
        <w:t xml:space="preserve"> </w:t>
      </w:r>
      <w:r w:rsidRPr="00DF6BBE">
        <w:t>Foundation Budget: District Results</w:t>
      </w:r>
    </w:p>
    <w:p w:rsidR="00EE18E7" w:rsidRPr="00DF6BBE" w:rsidRDefault="00EE18E7"/>
    <w:p w:rsidR="00EE18E7" w:rsidRPr="00DF6BBE" w:rsidRDefault="00EE18E7" w:rsidP="00250687">
      <w:r w:rsidRPr="007113C4">
        <w:t>When presented in per pupil terms there is considerable variation among districts in their foundation budgets</w:t>
      </w:r>
      <w:r w:rsidR="00AC0D1D" w:rsidRPr="007113C4">
        <w:t xml:space="preserve">.  </w:t>
      </w:r>
      <w:r w:rsidRPr="007113C4">
        <w:t>After separating out vocational districts as a separate category, urbanized centers are higher than other types of districts by more than $1,</w:t>
      </w:r>
      <w:r w:rsidR="0018016F" w:rsidRPr="007113C4">
        <w:t>400</w:t>
      </w:r>
      <w:r w:rsidRPr="007113C4">
        <w:t xml:space="preserve"> per pupil.</w:t>
      </w:r>
    </w:p>
    <w:p w:rsidR="00EE18E7" w:rsidRPr="00EA08F7" w:rsidRDefault="00EE18E7">
      <w:pPr>
        <w:rPr>
          <w:highlight w:val="yellow"/>
        </w:rPr>
      </w:pPr>
    </w:p>
    <w:p w:rsidR="00EE18E7" w:rsidRPr="00310CB7" w:rsidRDefault="007113C4">
      <w:r>
        <w:rPr>
          <w:noProof/>
        </w:rPr>
        <w:drawing>
          <wp:inline distT="0" distB="0" distL="0" distR="0">
            <wp:extent cx="4810125" cy="4407115"/>
            <wp:effectExtent l="19050" t="0" r="9525" b="0"/>
            <wp:docPr id="9" name="Picture 3" descr="This is a bar chart showing the FY15 foundation budget per pupil average by type of district. It compares vocational regionals, urban centers, rural economic centers, economically developed suburbs, resort/retirement communities, small rural communities, and residential suburb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4810125" cy="4407115"/>
                    </a:xfrm>
                    <a:prstGeom prst="rect">
                      <a:avLst/>
                    </a:prstGeom>
                    <a:noFill/>
                  </pic:spPr>
                </pic:pic>
              </a:graphicData>
            </a:graphic>
          </wp:inline>
        </w:drawing>
      </w:r>
    </w:p>
    <w:p w:rsidR="00250687" w:rsidRPr="00250687" w:rsidRDefault="00250687">
      <w:pPr>
        <w:pStyle w:val="Heading2"/>
      </w:pPr>
    </w:p>
    <w:p w:rsidR="00EE18E7" w:rsidRPr="00250687" w:rsidRDefault="00EE18E7" w:rsidP="00250687">
      <w:pPr>
        <w:pStyle w:val="Heading2"/>
      </w:pPr>
      <w:r w:rsidRPr="00250687">
        <w:t>Contacts</w:t>
      </w:r>
    </w:p>
    <w:p w:rsidR="00250687" w:rsidRPr="00250687" w:rsidRDefault="00250687" w:rsidP="00250687"/>
    <w:tbl>
      <w:tblPr>
        <w:tblStyle w:val="LightShading1"/>
        <w:tblW w:w="0" w:type="auto"/>
        <w:tblBorders>
          <w:top w:val="none" w:sz="0" w:space="0" w:color="auto"/>
          <w:bottom w:val="none" w:sz="0" w:space="0" w:color="auto"/>
        </w:tblBorders>
        <w:tblLook w:val="0600" w:firstRow="0" w:lastRow="0" w:firstColumn="0" w:lastColumn="0" w:noHBand="1" w:noVBand="1"/>
      </w:tblPr>
      <w:tblGrid>
        <w:gridCol w:w="1548"/>
        <w:gridCol w:w="1620"/>
        <w:gridCol w:w="2700"/>
        <w:gridCol w:w="2988"/>
      </w:tblGrid>
      <w:tr w:rsidR="00250687" w:rsidRPr="00250687" w:rsidTr="00250687">
        <w:tc>
          <w:tcPr>
            <w:tcW w:w="1548" w:type="dxa"/>
          </w:tcPr>
          <w:p w:rsidR="00250687" w:rsidRPr="00250687" w:rsidRDefault="00250687" w:rsidP="00250687">
            <w:r w:rsidRPr="00250687">
              <w:rPr>
                <w:sz w:val="20"/>
              </w:rPr>
              <w:t>Melissa King</w:t>
            </w:r>
          </w:p>
        </w:tc>
        <w:tc>
          <w:tcPr>
            <w:tcW w:w="1620" w:type="dxa"/>
          </w:tcPr>
          <w:p w:rsidR="00250687" w:rsidRPr="00250687" w:rsidRDefault="00250687" w:rsidP="00250687">
            <w:r w:rsidRPr="00250687">
              <w:rPr>
                <w:sz w:val="20"/>
              </w:rPr>
              <w:t>781-338-6532</w:t>
            </w:r>
          </w:p>
        </w:tc>
        <w:tc>
          <w:tcPr>
            <w:tcW w:w="2700" w:type="dxa"/>
          </w:tcPr>
          <w:p w:rsidR="00250687" w:rsidRPr="00250687" w:rsidRDefault="00AF7822" w:rsidP="00250687">
            <w:pPr>
              <w:rPr>
                <w:sz w:val="20"/>
              </w:rPr>
            </w:pPr>
            <w:hyperlink r:id="rId12" w:history="1">
              <w:r w:rsidR="00250687" w:rsidRPr="00BA4BE9">
                <w:rPr>
                  <w:sz w:val="20"/>
                </w:rPr>
                <w:t>mking@doe.mass.edu</w:t>
              </w:r>
            </w:hyperlink>
          </w:p>
        </w:tc>
        <w:tc>
          <w:tcPr>
            <w:tcW w:w="2988" w:type="dxa"/>
          </w:tcPr>
          <w:p w:rsidR="00250687" w:rsidRPr="00250687" w:rsidRDefault="00250687" w:rsidP="00250687">
            <w:r w:rsidRPr="00250687">
              <w:rPr>
                <w:sz w:val="20"/>
              </w:rPr>
              <w:t>Chapter 70</w:t>
            </w:r>
          </w:p>
        </w:tc>
      </w:tr>
      <w:tr w:rsidR="00250687" w:rsidRPr="00250687" w:rsidTr="00250687">
        <w:tc>
          <w:tcPr>
            <w:tcW w:w="1548" w:type="dxa"/>
          </w:tcPr>
          <w:p w:rsidR="00250687" w:rsidRPr="00250687" w:rsidRDefault="00250687" w:rsidP="00250687">
            <w:r w:rsidRPr="00250687">
              <w:rPr>
                <w:sz w:val="20"/>
              </w:rPr>
              <w:t>Roger Hatch</w:t>
            </w:r>
          </w:p>
        </w:tc>
        <w:tc>
          <w:tcPr>
            <w:tcW w:w="1620" w:type="dxa"/>
          </w:tcPr>
          <w:p w:rsidR="00250687" w:rsidRPr="00250687" w:rsidRDefault="00250687" w:rsidP="00250687">
            <w:r w:rsidRPr="00250687">
              <w:rPr>
                <w:sz w:val="20"/>
              </w:rPr>
              <w:t>781-338-6527</w:t>
            </w:r>
          </w:p>
        </w:tc>
        <w:tc>
          <w:tcPr>
            <w:tcW w:w="2700" w:type="dxa"/>
          </w:tcPr>
          <w:p w:rsidR="00250687" w:rsidRPr="00250687" w:rsidRDefault="00AF7822" w:rsidP="00250687">
            <w:pPr>
              <w:rPr>
                <w:sz w:val="20"/>
              </w:rPr>
            </w:pPr>
            <w:hyperlink r:id="rId13" w:history="1">
              <w:r w:rsidR="00250687" w:rsidRPr="00250687">
                <w:rPr>
                  <w:sz w:val="20"/>
                </w:rPr>
                <w:t>rhatch@doe.mass.edu</w:t>
              </w:r>
            </w:hyperlink>
          </w:p>
        </w:tc>
        <w:tc>
          <w:tcPr>
            <w:tcW w:w="2988" w:type="dxa"/>
          </w:tcPr>
          <w:p w:rsidR="00250687" w:rsidRPr="00250687" w:rsidRDefault="00250687" w:rsidP="00250687">
            <w:r w:rsidRPr="00250687">
              <w:rPr>
                <w:sz w:val="20"/>
              </w:rPr>
              <w:t>Chapter 70</w:t>
            </w:r>
          </w:p>
        </w:tc>
      </w:tr>
      <w:tr w:rsidR="00250687" w:rsidRPr="00250687" w:rsidTr="00250687">
        <w:tc>
          <w:tcPr>
            <w:tcW w:w="1548" w:type="dxa"/>
          </w:tcPr>
          <w:p w:rsidR="00250687" w:rsidRPr="00250687" w:rsidRDefault="00250687" w:rsidP="00250687">
            <w:r w:rsidRPr="00250687">
              <w:rPr>
                <w:sz w:val="20"/>
              </w:rPr>
              <w:t>Hadley Cabral</w:t>
            </w:r>
          </w:p>
        </w:tc>
        <w:tc>
          <w:tcPr>
            <w:tcW w:w="1620" w:type="dxa"/>
          </w:tcPr>
          <w:p w:rsidR="00250687" w:rsidRPr="00250687" w:rsidRDefault="00250687" w:rsidP="00250687">
            <w:r w:rsidRPr="00250687">
              <w:rPr>
                <w:sz w:val="20"/>
              </w:rPr>
              <w:t>781-338-6586</w:t>
            </w:r>
          </w:p>
        </w:tc>
        <w:tc>
          <w:tcPr>
            <w:tcW w:w="2700" w:type="dxa"/>
          </w:tcPr>
          <w:p w:rsidR="00250687" w:rsidRPr="00250687" w:rsidRDefault="00AF7822" w:rsidP="00250687">
            <w:pPr>
              <w:rPr>
                <w:sz w:val="20"/>
              </w:rPr>
            </w:pPr>
            <w:hyperlink r:id="rId14" w:history="1">
              <w:r w:rsidR="00250687" w:rsidRPr="00250687">
                <w:rPr>
                  <w:sz w:val="20"/>
                </w:rPr>
                <w:t>hcabral@doe.mass.edu</w:t>
              </w:r>
            </w:hyperlink>
          </w:p>
        </w:tc>
        <w:tc>
          <w:tcPr>
            <w:tcW w:w="2988" w:type="dxa"/>
          </w:tcPr>
          <w:p w:rsidR="00250687" w:rsidRPr="00250687" w:rsidRDefault="00250687" w:rsidP="00250687">
            <w:r w:rsidRPr="00250687">
              <w:rPr>
                <w:sz w:val="20"/>
              </w:rPr>
              <w:t>Charter School Finance</w:t>
            </w:r>
          </w:p>
        </w:tc>
      </w:tr>
    </w:tbl>
    <w:p w:rsidR="00EE18E7" w:rsidRDefault="00EE18E7" w:rsidP="00250687"/>
    <w:sectPr w:rsidR="00EE18E7" w:rsidSect="007E156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CDB" w:rsidRDefault="008A5CDB">
      <w:r>
        <w:separator/>
      </w:r>
    </w:p>
  </w:endnote>
  <w:endnote w:type="continuationSeparator" w:id="0">
    <w:p w:rsidR="008A5CDB" w:rsidRDefault="008A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CDB" w:rsidRDefault="008A5CDB">
      <w:r>
        <w:separator/>
      </w:r>
    </w:p>
  </w:footnote>
  <w:footnote w:type="continuationSeparator" w:id="0">
    <w:p w:rsidR="008A5CDB" w:rsidRDefault="008A5CDB">
      <w:r>
        <w:continuationSeparator/>
      </w:r>
    </w:p>
  </w:footnote>
  <w:footnote w:id="1">
    <w:p w:rsidR="008A5CDB" w:rsidRDefault="008A5CDB">
      <w:pPr>
        <w:pStyle w:val="FootnoteText"/>
        <w:rPr>
          <w:rFonts w:cs="Arial"/>
        </w:rPr>
      </w:pPr>
      <w:r>
        <w:rPr>
          <w:rStyle w:val="FootnoteReference"/>
        </w:rPr>
        <w:footnoteRef/>
      </w:r>
      <w:r>
        <w:rPr>
          <w:rFonts w:cs="Arial"/>
        </w:rPr>
        <w:t xml:space="preserve"> </w:t>
      </w:r>
      <w:r w:rsidRPr="006C604D">
        <w:t>Edward Moscovitch, “Model School Budget”.  Cape Ann Economics, Rockport, Massachusetts, 1992, p1.</w:t>
      </w:r>
    </w:p>
    <w:p w:rsidR="008A5CDB" w:rsidRDefault="008A5CDB">
      <w:pPr>
        <w:pStyle w:val="FootnoteText"/>
      </w:pPr>
    </w:p>
  </w:footnote>
  <w:footnote w:id="2">
    <w:p w:rsidR="008A5CDB" w:rsidRDefault="008A5CDB">
      <w:pPr>
        <w:pStyle w:val="FootnoteText"/>
        <w:rPr>
          <w:rFonts w:cs="Arial"/>
        </w:rPr>
      </w:pPr>
      <w:r>
        <w:rPr>
          <w:rStyle w:val="FootnoteReference"/>
        </w:rPr>
        <w:footnoteRef/>
      </w:r>
      <w:r>
        <w:t xml:space="preserve"> </w:t>
      </w:r>
      <w:r w:rsidRPr="006C604D">
        <w:t xml:space="preserve">For example, </w:t>
      </w:r>
      <w:r w:rsidRPr="00C67337">
        <w:t>FY15 foundation enrollment is based upon Oct 1, 2013 headcount.</w:t>
      </w:r>
      <w:r w:rsidRPr="006C604D">
        <w:t xml:space="preserve">  The one-year lag is necessary because the next year’s enrollment is not known until after the state budget</w:t>
      </w:r>
      <w:r>
        <w:t xml:space="preserve"> is finalized</w:t>
      </w:r>
      <w:r w:rsidRPr="006C604D">
        <w:t>.</w:t>
      </w:r>
      <w:r>
        <w:rPr>
          <w:rFonts w:cs="Arial"/>
        </w:rPr>
        <w:t xml:space="preserve"> </w:t>
      </w:r>
    </w:p>
  </w:footnote>
  <w:footnote w:id="3">
    <w:p w:rsidR="008A5CDB" w:rsidRDefault="008A5CDB" w:rsidP="00D04516">
      <w:pPr>
        <w:pStyle w:val="FootnoteText"/>
        <w:ind w:left="180" w:hanging="180"/>
      </w:pPr>
      <w:r>
        <w:rPr>
          <w:rStyle w:val="FootnoteReference"/>
        </w:rPr>
        <w:footnoteRef/>
      </w:r>
      <w:r>
        <w:t xml:space="preserve">  </w:t>
      </w:r>
      <w:r w:rsidRPr="00D04516">
        <w:t>If a town is a member of a regional vocational district, its resident pupils at that district are not counted in local district enrollment.  The vocational district reports those pupils and Chapter 70 aid goes directly to the vocational district.  Post-graduate and post-secondary pupils in programs run by vocational districts may be counted if they pay less than the state-approved tuition rate.</w:t>
      </w:r>
    </w:p>
  </w:footnote>
  <w:footnote w:id="4">
    <w:p w:rsidR="008A5CDB" w:rsidRPr="001E5A83" w:rsidRDefault="008A5CDB" w:rsidP="001E5A83">
      <w:pPr>
        <w:autoSpaceDE w:val="0"/>
        <w:autoSpaceDN w:val="0"/>
        <w:adjustRightInd w:val="0"/>
        <w:rPr>
          <w:rFonts w:cs="Arial"/>
          <w:szCs w:val="28"/>
        </w:rPr>
      </w:pPr>
      <w:r>
        <w:rPr>
          <w:rStyle w:val="FootnoteReference"/>
        </w:rPr>
        <w:footnoteRef/>
      </w:r>
      <w:r>
        <w:t xml:space="preserve">  </w:t>
      </w:r>
      <w:r w:rsidRPr="00D04516">
        <w:t>Verstegen, D. A. (2011) “Public education finance systems in the United States and funding policies for populations with special educational needs”. Education Policy Analysis Archives, 19 (21). Retrieved 7/5/2012, from http://epaa.asu.edu/ojs/article/view/769.  As of 2011, 5 states used a “census-based approach” similar to Massachusetts.</w:t>
      </w:r>
      <w:r>
        <w:rPr>
          <w:rFonts w:cs="Arial"/>
        </w:rPr>
        <w:t xml:space="preserve">  </w:t>
      </w:r>
    </w:p>
    <w:p w:rsidR="008A5CDB" w:rsidRDefault="008A5CDB">
      <w:pPr>
        <w:autoSpaceDE w:val="0"/>
        <w:autoSpaceDN w:val="0"/>
        <w:adjustRightInd w:val="0"/>
      </w:pPr>
    </w:p>
  </w:footnote>
  <w:footnote w:id="5">
    <w:p w:rsidR="008A5CDB" w:rsidRDefault="008A5CDB">
      <w:pPr>
        <w:pStyle w:val="FootnoteText"/>
        <w:rPr>
          <w:rFonts w:cs="Arial"/>
        </w:rPr>
      </w:pPr>
      <w:r>
        <w:rPr>
          <w:rStyle w:val="FootnoteReference"/>
          <w:rFonts w:cs="Arial"/>
        </w:rPr>
        <w:footnoteRef/>
      </w:r>
      <w:r>
        <w:rPr>
          <w:rFonts w:cs="Arial"/>
        </w:rPr>
        <w:t xml:space="preserve"> </w:t>
      </w:r>
      <w:r w:rsidRPr="00D04516">
        <w:t xml:space="preserve">Kevin Carey, “The Funding Gap 2004.” The Education Trust, Special Report: Washington, DC.  </w:t>
      </w:r>
      <w:proofErr w:type="gramStart"/>
      <w:r w:rsidRPr="00D04516">
        <w:t>2005</w:t>
      </w:r>
      <w:proofErr w:type="gramEnd"/>
      <w:r w:rsidRPr="00D04516">
        <w:t>, p.13.</w:t>
      </w:r>
    </w:p>
    <w:p w:rsidR="008A5CDB" w:rsidRDefault="008A5CDB">
      <w:pPr>
        <w:pStyle w:val="FootnoteText"/>
        <w:rPr>
          <w:rFonts w:cs="Arial"/>
        </w:rPr>
      </w:pPr>
    </w:p>
  </w:footnote>
  <w:footnote w:id="6">
    <w:p w:rsidR="008A5CDB" w:rsidRDefault="008A5CDB">
      <w:pPr>
        <w:pStyle w:val="FootnoteText"/>
        <w:rPr>
          <w:rFonts w:cs="Arial"/>
        </w:rPr>
      </w:pPr>
      <w:r>
        <w:rPr>
          <w:rStyle w:val="FootnoteReference"/>
        </w:rPr>
        <w:footnoteRef/>
      </w:r>
      <w:r>
        <w:t xml:space="preserve"> </w:t>
      </w:r>
      <w:r>
        <w:rPr>
          <w:rFonts w:cs="Arial"/>
        </w:rPr>
        <w:t>The wage factor is not applied to instructional equipment, employee benefits, or special education tuition.</w:t>
      </w:r>
    </w:p>
    <w:p w:rsidR="008A5CDB" w:rsidRDefault="008A5CDB">
      <w:pPr>
        <w:pStyle w:val="FootnoteText"/>
        <w:rPr>
          <w:rFonts w:cs="Aria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F2342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2075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66A467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F1A15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26E36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5240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392B0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338E8B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5C6D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1A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D47B1E"/>
    <w:multiLevelType w:val="hybridMultilevel"/>
    <w:tmpl w:val="06D43608"/>
    <w:lvl w:ilvl="0" w:tplc="E402C02E">
      <w:start w:val="1"/>
      <w:numFmt w:val="bullet"/>
      <w:lvlText w:val=""/>
      <w:lvlJc w:val="left"/>
      <w:pPr>
        <w:tabs>
          <w:tab w:val="num" w:pos="720"/>
        </w:tabs>
        <w:ind w:left="720" w:hanging="360"/>
      </w:pPr>
      <w:rPr>
        <w:rFonts w:ascii="Symbol" w:hAnsi="Symbol" w:hint="default"/>
      </w:rPr>
    </w:lvl>
    <w:lvl w:ilvl="1" w:tplc="1ECE40DC" w:tentative="1">
      <w:start w:val="1"/>
      <w:numFmt w:val="bullet"/>
      <w:lvlText w:val="o"/>
      <w:lvlJc w:val="left"/>
      <w:pPr>
        <w:tabs>
          <w:tab w:val="num" w:pos="1440"/>
        </w:tabs>
        <w:ind w:left="1440" w:hanging="360"/>
      </w:pPr>
      <w:rPr>
        <w:rFonts w:ascii="Courier New" w:hAnsi="Courier New" w:hint="default"/>
      </w:rPr>
    </w:lvl>
    <w:lvl w:ilvl="2" w:tplc="A3EC33BA" w:tentative="1">
      <w:start w:val="1"/>
      <w:numFmt w:val="bullet"/>
      <w:lvlText w:val=""/>
      <w:lvlJc w:val="left"/>
      <w:pPr>
        <w:tabs>
          <w:tab w:val="num" w:pos="2160"/>
        </w:tabs>
        <w:ind w:left="2160" w:hanging="360"/>
      </w:pPr>
      <w:rPr>
        <w:rFonts w:ascii="Wingdings" w:hAnsi="Wingdings" w:hint="default"/>
      </w:rPr>
    </w:lvl>
    <w:lvl w:ilvl="3" w:tplc="B868FC28" w:tentative="1">
      <w:start w:val="1"/>
      <w:numFmt w:val="bullet"/>
      <w:lvlText w:val=""/>
      <w:lvlJc w:val="left"/>
      <w:pPr>
        <w:tabs>
          <w:tab w:val="num" w:pos="2880"/>
        </w:tabs>
        <w:ind w:left="2880" w:hanging="360"/>
      </w:pPr>
      <w:rPr>
        <w:rFonts w:ascii="Symbol" w:hAnsi="Symbol" w:hint="default"/>
      </w:rPr>
    </w:lvl>
    <w:lvl w:ilvl="4" w:tplc="4E1267B0" w:tentative="1">
      <w:start w:val="1"/>
      <w:numFmt w:val="bullet"/>
      <w:lvlText w:val="o"/>
      <w:lvlJc w:val="left"/>
      <w:pPr>
        <w:tabs>
          <w:tab w:val="num" w:pos="3600"/>
        </w:tabs>
        <w:ind w:left="3600" w:hanging="360"/>
      </w:pPr>
      <w:rPr>
        <w:rFonts w:ascii="Courier New" w:hAnsi="Courier New" w:hint="default"/>
      </w:rPr>
    </w:lvl>
    <w:lvl w:ilvl="5" w:tplc="28F83B72" w:tentative="1">
      <w:start w:val="1"/>
      <w:numFmt w:val="bullet"/>
      <w:lvlText w:val=""/>
      <w:lvlJc w:val="left"/>
      <w:pPr>
        <w:tabs>
          <w:tab w:val="num" w:pos="4320"/>
        </w:tabs>
        <w:ind w:left="4320" w:hanging="360"/>
      </w:pPr>
      <w:rPr>
        <w:rFonts w:ascii="Wingdings" w:hAnsi="Wingdings" w:hint="default"/>
      </w:rPr>
    </w:lvl>
    <w:lvl w:ilvl="6" w:tplc="E4F04A5A" w:tentative="1">
      <w:start w:val="1"/>
      <w:numFmt w:val="bullet"/>
      <w:lvlText w:val=""/>
      <w:lvlJc w:val="left"/>
      <w:pPr>
        <w:tabs>
          <w:tab w:val="num" w:pos="5040"/>
        </w:tabs>
        <w:ind w:left="5040" w:hanging="360"/>
      </w:pPr>
      <w:rPr>
        <w:rFonts w:ascii="Symbol" w:hAnsi="Symbol" w:hint="default"/>
      </w:rPr>
    </w:lvl>
    <w:lvl w:ilvl="7" w:tplc="DCE03876" w:tentative="1">
      <w:start w:val="1"/>
      <w:numFmt w:val="bullet"/>
      <w:lvlText w:val="o"/>
      <w:lvlJc w:val="left"/>
      <w:pPr>
        <w:tabs>
          <w:tab w:val="num" w:pos="5760"/>
        </w:tabs>
        <w:ind w:left="5760" w:hanging="360"/>
      </w:pPr>
      <w:rPr>
        <w:rFonts w:ascii="Courier New" w:hAnsi="Courier New" w:hint="default"/>
      </w:rPr>
    </w:lvl>
    <w:lvl w:ilvl="8" w:tplc="56F0928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593955"/>
    <w:multiLevelType w:val="hybridMultilevel"/>
    <w:tmpl w:val="4F12D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2C3B41"/>
    <w:multiLevelType w:val="hybridMultilevel"/>
    <w:tmpl w:val="B672ABDC"/>
    <w:lvl w:ilvl="0" w:tplc="C9A40F32">
      <w:start w:val="1"/>
      <w:numFmt w:val="bullet"/>
      <w:lvlText w:val=""/>
      <w:lvlJc w:val="left"/>
      <w:pPr>
        <w:tabs>
          <w:tab w:val="num" w:pos="720"/>
        </w:tabs>
        <w:ind w:left="720" w:hanging="360"/>
      </w:pPr>
      <w:rPr>
        <w:rFonts w:ascii="Symbol" w:hAnsi="Symbol" w:hint="default"/>
      </w:rPr>
    </w:lvl>
    <w:lvl w:ilvl="1" w:tplc="6AFEEA82" w:tentative="1">
      <w:start w:val="1"/>
      <w:numFmt w:val="bullet"/>
      <w:lvlText w:val="o"/>
      <w:lvlJc w:val="left"/>
      <w:pPr>
        <w:tabs>
          <w:tab w:val="num" w:pos="1440"/>
        </w:tabs>
        <w:ind w:left="1440" w:hanging="360"/>
      </w:pPr>
      <w:rPr>
        <w:rFonts w:ascii="Courier New" w:hAnsi="Courier New" w:hint="default"/>
      </w:rPr>
    </w:lvl>
    <w:lvl w:ilvl="2" w:tplc="FB8E1EF4" w:tentative="1">
      <w:start w:val="1"/>
      <w:numFmt w:val="bullet"/>
      <w:lvlText w:val=""/>
      <w:lvlJc w:val="left"/>
      <w:pPr>
        <w:tabs>
          <w:tab w:val="num" w:pos="2160"/>
        </w:tabs>
        <w:ind w:left="2160" w:hanging="360"/>
      </w:pPr>
      <w:rPr>
        <w:rFonts w:ascii="Wingdings" w:hAnsi="Wingdings" w:hint="default"/>
      </w:rPr>
    </w:lvl>
    <w:lvl w:ilvl="3" w:tplc="E3AA7148" w:tentative="1">
      <w:start w:val="1"/>
      <w:numFmt w:val="bullet"/>
      <w:lvlText w:val=""/>
      <w:lvlJc w:val="left"/>
      <w:pPr>
        <w:tabs>
          <w:tab w:val="num" w:pos="2880"/>
        </w:tabs>
        <w:ind w:left="2880" w:hanging="360"/>
      </w:pPr>
      <w:rPr>
        <w:rFonts w:ascii="Symbol" w:hAnsi="Symbol" w:hint="default"/>
      </w:rPr>
    </w:lvl>
    <w:lvl w:ilvl="4" w:tplc="425063E6" w:tentative="1">
      <w:start w:val="1"/>
      <w:numFmt w:val="bullet"/>
      <w:lvlText w:val="o"/>
      <w:lvlJc w:val="left"/>
      <w:pPr>
        <w:tabs>
          <w:tab w:val="num" w:pos="3600"/>
        </w:tabs>
        <w:ind w:left="3600" w:hanging="360"/>
      </w:pPr>
      <w:rPr>
        <w:rFonts w:ascii="Courier New" w:hAnsi="Courier New" w:hint="default"/>
      </w:rPr>
    </w:lvl>
    <w:lvl w:ilvl="5" w:tplc="FCAAD048" w:tentative="1">
      <w:start w:val="1"/>
      <w:numFmt w:val="bullet"/>
      <w:lvlText w:val=""/>
      <w:lvlJc w:val="left"/>
      <w:pPr>
        <w:tabs>
          <w:tab w:val="num" w:pos="4320"/>
        </w:tabs>
        <w:ind w:left="4320" w:hanging="360"/>
      </w:pPr>
      <w:rPr>
        <w:rFonts w:ascii="Wingdings" w:hAnsi="Wingdings" w:hint="default"/>
      </w:rPr>
    </w:lvl>
    <w:lvl w:ilvl="6" w:tplc="11A8BF88" w:tentative="1">
      <w:start w:val="1"/>
      <w:numFmt w:val="bullet"/>
      <w:lvlText w:val=""/>
      <w:lvlJc w:val="left"/>
      <w:pPr>
        <w:tabs>
          <w:tab w:val="num" w:pos="5040"/>
        </w:tabs>
        <w:ind w:left="5040" w:hanging="360"/>
      </w:pPr>
      <w:rPr>
        <w:rFonts w:ascii="Symbol" w:hAnsi="Symbol" w:hint="default"/>
      </w:rPr>
    </w:lvl>
    <w:lvl w:ilvl="7" w:tplc="64D820BC" w:tentative="1">
      <w:start w:val="1"/>
      <w:numFmt w:val="bullet"/>
      <w:lvlText w:val="o"/>
      <w:lvlJc w:val="left"/>
      <w:pPr>
        <w:tabs>
          <w:tab w:val="num" w:pos="5760"/>
        </w:tabs>
        <w:ind w:left="5760" w:hanging="360"/>
      </w:pPr>
      <w:rPr>
        <w:rFonts w:ascii="Courier New" w:hAnsi="Courier New" w:hint="default"/>
      </w:rPr>
    </w:lvl>
    <w:lvl w:ilvl="8" w:tplc="55086C6C"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_ExportToHTMLPath" w:val="C:\Documents and Settings\Administrator\My Documents\umass lowell\web wk4\defining adequacy.htm"/>
  </w:docVars>
  <w:rsids>
    <w:rsidRoot w:val="001A232F"/>
    <w:rsid w:val="000353CC"/>
    <w:rsid w:val="0005082A"/>
    <w:rsid w:val="000A4F21"/>
    <w:rsid w:val="00143A48"/>
    <w:rsid w:val="001632C8"/>
    <w:rsid w:val="0018016F"/>
    <w:rsid w:val="00181F75"/>
    <w:rsid w:val="001A232F"/>
    <w:rsid w:val="001E2045"/>
    <w:rsid w:val="001E5A83"/>
    <w:rsid w:val="00200D58"/>
    <w:rsid w:val="00242410"/>
    <w:rsid w:val="00246DAB"/>
    <w:rsid w:val="00250687"/>
    <w:rsid w:val="0030370E"/>
    <w:rsid w:val="00310CB7"/>
    <w:rsid w:val="00367CF8"/>
    <w:rsid w:val="003726CC"/>
    <w:rsid w:val="003A20F6"/>
    <w:rsid w:val="003A2C9E"/>
    <w:rsid w:val="003C6BFB"/>
    <w:rsid w:val="003F027A"/>
    <w:rsid w:val="004029A4"/>
    <w:rsid w:val="00413F36"/>
    <w:rsid w:val="00442D8E"/>
    <w:rsid w:val="00444D5E"/>
    <w:rsid w:val="004801CC"/>
    <w:rsid w:val="00487997"/>
    <w:rsid w:val="004B6244"/>
    <w:rsid w:val="004F3D05"/>
    <w:rsid w:val="00505EAC"/>
    <w:rsid w:val="005351EE"/>
    <w:rsid w:val="00564470"/>
    <w:rsid w:val="00590F4A"/>
    <w:rsid w:val="00597C3E"/>
    <w:rsid w:val="005A0B47"/>
    <w:rsid w:val="005A784B"/>
    <w:rsid w:val="005C5E4A"/>
    <w:rsid w:val="005E0B66"/>
    <w:rsid w:val="005E5188"/>
    <w:rsid w:val="005E6FEC"/>
    <w:rsid w:val="00600EB9"/>
    <w:rsid w:val="00616F1D"/>
    <w:rsid w:val="0066608C"/>
    <w:rsid w:val="00682A4A"/>
    <w:rsid w:val="006B32C0"/>
    <w:rsid w:val="006C604D"/>
    <w:rsid w:val="006F04F0"/>
    <w:rsid w:val="007113C4"/>
    <w:rsid w:val="00764BD4"/>
    <w:rsid w:val="00790253"/>
    <w:rsid w:val="007948DC"/>
    <w:rsid w:val="0079528F"/>
    <w:rsid w:val="007A396C"/>
    <w:rsid w:val="007A3EA1"/>
    <w:rsid w:val="007D0BB0"/>
    <w:rsid w:val="007E1562"/>
    <w:rsid w:val="007F4733"/>
    <w:rsid w:val="008A5CDB"/>
    <w:rsid w:val="008C6AD7"/>
    <w:rsid w:val="00945E06"/>
    <w:rsid w:val="0097446D"/>
    <w:rsid w:val="00986739"/>
    <w:rsid w:val="009950A7"/>
    <w:rsid w:val="009D4C58"/>
    <w:rsid w:val="00A16DC3"/>
    <w:rsid w:val="00A44D16"/>
    <w:rsid w:val="00A45114"/>
    <w:rsid w:val="00A45154"/>
    <w:rsid w:val="00A55B64"/>
    <w:rsid w:val="00A74868"/>
    <w:rsid w:val="00A8326B"/>
    <w:rsid w:val="00AC0D1D"/>
    <w:rsid w:val="00AD2BD4"/>
    <w:rsid w:val="00AD5F21"/>
    <w:rsid w:val="00AF5E40"/>
    <w:rsid w:val="00AF7822"/>
    <w:rsid w:val="00B25EB5"/>
    <w:rsid w:val="00B34F0C"/>
    <w:rsid w:val="00B57D94"/>
    <w:rsid w:val="00B95683"/>
    <w:rsid w:val="00BA4BE9"/>
    <w:rsid w:val="00C41A6F"/>
    <w:rsid w:val="00C53BB0"/>
    <w:rsid w:val="00C55D6F"/>
    <w:rsid w:val="00C67337"/>
    <w:rsid w:val="00C72A64"/>
    <w:rsid w:val="00C81A79"/>
    <w:rsid w:val="00C879C4"/>
    <w:rsid w:val="00CA7968"/>
    <w:rsid w:val="00CB12C3"/>
    <w:rsid w:val="00CB1EB1"/>
    <w:rsid w:val="00CB786C"/>
    <w:rsid w:val="00CE0BC6"/>
    <w:rsid w:val="00D04516"/>
    <w:rsid w:val="00D12E1E"/>
    <w:rsid w:val="00D14A06"/>
    <w:rsid w:val="00D3330B"/>
    <w:rsid w:val="00D41533"/>
    <w:rsid w:val="00D907C8"/>
    <w:rsid w:val="00DF6BBE"/>
    <w:rsid w:val="00E945A1"/>
    <w:rsid w:val="00EA08F7"/>
    <w:rsid w:val="00ED0548"/>
    <w:rsid w:val="00EE18E7"/>
    <w:rsid w:val="00F22278"/>
    <w:rsid w:val="00F818BB"/>
    <w:rsid w:val="00FE0922"/>
    <w:rsid w:val="00FE72F7"/>
    <w:rsid w:val="00FE7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7E21732"/>
  <w15:docId w15:val="{9E7718EE-62DE-4E3E-8A38-A5D0C1FA6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337"/>
    <w:rPr>
      <w:rFonts w:ascii="Arial" w:hAnsi="Arial"/>
    </w:rPr>
  </w:style>
  <w:style w:type="paragraph" w:styleId="Heading1">
    <w:name w:val="heading 1"/>
    <w:basedOn w:val="Normal"/>
    <w:next w:val="Normal"/>
    <w:qFormat/>
    <w:rsid w:val="006C604D"/>
    <w:pPr>
      <w:keepNext/>
      <w:jc w:val="center"/>
      <w:outlineLvl w:val="0"/>
    </w:pPr>
    <w:rPr>
      <w:rFonts w:asciiTheme="majorHAnsi" w:hAnsiTheme="majorHAnsi"/>
      <w:b/>
      <w:bCs/>
      <w:sz w:val="22"/>
    </w:rPr>
  </w:style>
  <w:style w:type="paragraph" w:styleId="Heading2">
    <w:name w:val="heading 2"/>
    <w:basedOn w:val="Normal"/>
    <w:next w:val="Normal"/>
    <w:qFormat/>
    <w:rsid w:val="006C604D"/>
    <w:pPr>
      <w:keepNext/>
      <w:outlineLvl w:val="1"/>
    </w:pPr>
    <w:rPr>
      <w:rFonts w:asciiTheme="majorHAnsi" w:hAnsiTheme="majorHAnsi"/>
      <w:b/>
      <w:sz w:val="22"/>
      <w:u w:val="single"/>
    </w:rPr>
  </w:style>
  <w:style w:type="paragraph" w:styleId="Heading3">
    <w:name w:val="heading 3"/>
    <w:basedOn w:val="Normal"/>
    <w:next w:val="Normal"/>
    <w:qFormat/>
    <w:rsid w:val="007E1562"/>
    <w:pPr>
      <w:keepNext/>
      <w:jc w:val="center"/>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C604D"/>
    <w:pPr>
      <w:jc w:val="center"/>
    </w:pPr>
    <w:rPr>
      <w:rFonts w:asciiTheme="majorHAnsi" w:hAnsiTheme="majorHAnsi"/>
      <w:b/>
      <w:bCs/>
      <w:sz w:val="24"/>
    </w:rPr>
  </w:style>
  <w:style w:type="paragraph" w:styleId="FootnoteText">
    <w:name w:val="footnote text"/>
    <w:basedOn w:val="Normal"/>
    <w:semiHidden/>
    <w:rsid w:val="007E1562"/>
  </w:style>
  <w:style w:type="character" w:styleId="FootnoteReference">
    <w:name w:val="footnote reference"/>
    <w:basedOn w:val="DefaultParagraphFont"/>
    <w:semiHidden/>
    <w:rsid w:val="007E1562"/>
    <w:rPr>
      <w:vertAlign w:val="superscript"/>
    </w:rPr>
  </w:style>
  <w:style w:type="paragraph" w:styleId="BalloonText">
    <w:name w:val="Balloon Text"/>
    <w:basedOn w:val="Normal"/>
    <w:link w:val="BalloonTextChar"/>
    <w:rsid w:val="005A0B47"/>
    <w:rPr>
      <w:rFonts w:ascii="Tahoma" w:hAnsi="Tahoma" w:cs="Tahoma"/>
      <w:sz w:val="16"/>
      <w:szCs w:val="16"/>
    </w:rPr>
  </w:style>
  <w:style w:type="character" w:customStyle="1" w:styleId="BalloonTextChar">
    <w:name w:val="Balloon Text Char"/>
    <w:basedOn w:val="DefaultParagraphFont"/>
    <w:link w:val="BalloonText"/>
    <w:rsid w:val="005A0B47"/>
    <w:rPr>
      <w:rFonts w:ascii="Tahoma" w:hAnsi="Tahoma" w:cs="Tahoma"/>
      <w:sz w:val="16"/>
      <w:szCs w:val="16"/>
    </w:rPr>
  </w:style>
  <w:style w:type="paragraph" w:styleId="EndnoteText">
    <w:name w:val="endnote text"/>
    <w:basedOn w:val="Normal"/>
    <w:semiHidden/>
    <w:rsid w:val="007E1562"/>
  </w:style>
  <w:style w:type="character" w:styleId="EndnoteReference">
    <w:name w:val="endnote reference"/>
    <w:basedOn w:val="DefaultParagraphFont"/>
    <w:semiHidden/>
    <w:rsid w:val="007E1562"/>
    <w:rPr>
      <w:vertAlign w:val="superscript"/>
    </w:rPr>
  </w:style>
  <w:style w:type="table" w:customStyle="1" w:styleId="LightShading1">
    <w:name w:val="Light Shading1"/>
    <w:aliases w:val="Melissa"/>
    <w:basedOn w:val="TableNormal"/>
    <w:uiPriority w:val="60"/>
    <w:rsid w:val="00AD2BD4"/>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cPr>
      <w:shd w:val="clear" w:color="auto" w:fill="auto"/>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style>
  <w:style w:type="paragraph" w:styleId="CommentSubject">
    <w:name w:val="annotation subject"/>
    <w:basedOn w:val="Normal"/>
    <w:link w:val="CommentSubjectChar"/>
    <w:rsid w:val="005A0B47"/>
    <w:rPr>
      <w:b/>
      <w:bCs/>
    </w:rPr>
  </w:style>
  <w:style w:type="character" w:customStyle="1" w:styleId="CommentSubjectChar">
    <w:name w:val="Comment Subject Char"/>
    <w:basedOn w:val="DefaultParagraphFont"/>
    <w:link w:val="CommentSubject"/>
    <w:rsid w:val="005A0B47"/>
    <w:rPr>
      <w:b/>
      <w:bCs/>
    </w:rPr>
  </w:style>
  <w:style w:type="paragraph" w:styleId="ListParagraph">
    <w:name w:val="List Paragraph"/>
    <w:basedOn w:val="Normal"/>
    <w:uiPriority w:val="34"/>
    <w:qFormat/>
    <w:rsid w:val="00D04516"/>
    <w:pPr>
      <w:ind w:left="720"/>
      <w:contextualSpacing/>
    </w:pPr>
  </w:style>
  <w:style w:type="character" w:styleId="Hyperlink">
    <w:name w:val="Hyperlink"/>
    <w:basedOn w:val="DefaultParagraphFont"/>
    <w:rsid w:val="00C67337"/>
    <w:rPr>
      <w:color w:val="0000FF" w:themeColor="hyperlink"/>
      <w:u w:val="single"/>
    </w:rPr>
  </w:style>
  <w:style w:type="character" w:styleId="FollowedHyperlink">
    <w:name w:val="FollowedHyperlink"/>
    <w:basedOn w:val="DefaultParagraphFont"/>
    <w:rsid w:val="00442D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16715">
      <w:bodyDiv w:val="1"/>
      <w:marLeft w:val="0"/>
      <w:marRight w:val="0"/>
      <w:marTop w:val="0"/>
      <w:marBottom w:val="0"/>
      <w:divBdr>
        <w:top w:val="none" w:sz="0" w:space="0" w:color="auto"/>
        <w:left w:val="none" w:sz="0" w:space="0" w:color="auto"/>
        <w:bottom w:val="none" w:sz="0" w:space="0" w:color="auto"/>
        <w:right w:val="none" w:sz="0" w:space="0" w:color="auto"/>
      </w:divBdr>
    </w:div>
    <w:div w:id="271910453">
      <w:bodyDiv w:val="1"/>
      <w:marLeft w:val="0"/>
      <w:marRight w:val="0"/>
      <w:marTop w:val="0"/>
      <w:marBottom w:val="0"/>
      <w:divBdr>
        <w:top w:val="none" w:sz="0" w:space="0" w:color="auto"/>
        <w:left w:val="none" w:sz="0" w:space="0" w:color="auto"/>
        <w:bottom w:val="none" w:sz="0" w:space="0" w:color="auto"/>
        <w:right w:val="none" w:sz="0" w:space="0" w:color="auto"/>
      </w:divBdr>
    </w:div>
    <w:div w:id="351345583">
      <w:bodyDiv w:val="1"/>
      <w:marLeft w:val="0"/>
      <w:marRight w:val="0"/>
      <w:marTop w:val="0"/>
      <w:marBottom w:val="0"/>
      <w:divBdr>
        <w:top w:val="none" w:sz="0" w:space="0" w:color="auto"/>
        <w:left w:val="none" w:sz="0" w:space="0" w:color="auto"/>
        <w:bottom w:val="none" w:sz="0" w:space="0" w:color="auto"/>
        <w:right w:val="none" w:sz="0" w:space="0" w:color="auto"/>
      </w:divBdr>
    </w:div>
    <w:div w:id="388499658">
      <w:bodyDiv w:val="1"/>
      <w:marLeft w:val="0"/>
      <w:marRight w:val="0"/>
      <w:marTop w:val="0"/>
      <w:marBottom w:val="0"/>
      <w:divBdr>
        <w:top w:val="none" w:sz="0" w:space="0" w:color="auto"/>
        <w:left w:val="none" w:sz="0" w:space="0" w:color="auto"/>
        <w:bottom w:val="none" w:sz="0" w:space="0" w:color="auto"/>
        <w:right w:val="none" w:sz="0" w:space="0" w:color="auto"/>
      </w:divBdr>
    </w:div>
    <w:div w:id="489517508">
      <w:bodyDiv w:val="1"/>
      <w:marLeft w:val="0"/>
      <w:marRight w:val="0"/>
      <w:marTop w:val="0"/>
      <w:marBottom w:val="0"/>
      <w:divBdr>
        <w:top w:val="none" w:sz="0" w:space="0" w:color="auto"/>
        <w:left w:val="none" w:sz="0" w:space="0" w:color="auto"/>
        <w:bottom w:val="none" w:sz="0" w:space="0" w:color="auto"/>
        <w:right w:val="none" w:sz="0" w:space="0" w:color="auto"/>
      </w:divBdr>
    </w:div>
    <w:div w:id="496192182">
      <w:bodyDiv w:val="1"/>
      <w:marLeft w:val="0"/>
      <w:marRight w:val="0"/>
      <w:marTop w:val="0"/>
      <w:marBottom w:val="0"/>
      <w:divBdr>
        <w:top w:val="none" w:sz="0" w:space="0" w:color="auto"/>
        <w:left w:val="none" w:sz="0" w:space="0" w:color="auto"/>
        <w:bottom w:val="none" w:sz="0" w:space="0" w:color="auto"/>
        <w:right w:val="none" w:sz="0" w:space="0" w:color="auto"/>
      </w:divBdr>
    </w:div>
    <w:div w:id="504631520">
      <w:bodyDiv w:val="1"/>
      <w:marLeft w:val="0"/>
      <w:marRight w:val="0"/>
      <w:marTop w:val="0"/>
      <w:marBottom w:val="0"/>
      <w:divBdr>
        <w:top w:val="none" w:sz="0" w:space="0" w:color="auto"/>
        <w:left w:val="none" w:sz="0" w:space="0" w:color="auto"/>
        <w:bottom w:val="none" w:sz="0" w:space="0" w:color="auto"/>
        <w:right w:val="none" w:sz="0" w:space="0" w:color="auto"/>
      </w:divBdr>
    </w:div>
    <w:div w:id="584731549">
      <w:bodyDiv w:val="1"/>
      <w:marLeft w:val="0"/>
      <w:marRight w:val="0"/>
      <w:marTop w:val="0"/>
      <w:marBottom w:val="0"/>
      <w:divBdr>
        <w:top w:val="none" w:sz="0" w:space="0" w:color="auto"/>
        <w:left w:val="none" w:sz="0" w:space="0" w:color="auto"/>
        <w:bottom w:val="none" w:sz="0" w:space="0" w:color="auto"/>
        <w:right w:val="none" w:sz="0" w:space="0" w:color="auto"/>
      </w:divBdr>
    </w:div>
    <w:div w:id="1044670993">
      <w:bodyDiv w:val="1"/>
      <w:marLeft w:val="0"/>
      <w:marRight w:val="0"/>
      <w:marTop w:val="0"/>
      <w:marBottom w:val="0"/>
      <w:divBdr>
        <w:top w:val="none" w:sz="0" w:space="0" w:color="auto"/>
        <w:left w:val="none" w:sz="0" w:space="0" w:color="auto"/>
        <w:bottom w:val="none" w:sz="0" w:space="0" w:color="auto"/>
        <w:right w:val="none" w:sz="0" w:space="0" w:color="auto"/>
      </w:divBdr>
    </w:div>
    <w:div w:id="1139107347">
      <w:bodyDiv w:val="1"/>
      <w:marLeft w:val="0"/>
      <w:marRight w:val="0"/>
      <w:marTop w:val="0"/>
      <w:marBottom w:val="0"/>
      <w:divBdr>
        <w:top w:val="none" w:sz="0" w:space="0" w:color="auto"/>
        <w:left w:val="none" w:sz="0" w:space="0" w:color="auto"/>
        <w:bottom w:val="none" w:sz="0" w:space="0" w:color="auto"/>
        <w:right w:val="none" w:sz="0" w:space="0" w:color="auto"/>
      </w:divBdr>
    </w:div>
    <w:div w:id="1268807765">
      <w:bodyDiv w:val="1"/>
      <w:marLeft w:val="0"/>
      <w:marRight w:val="0"/>
      <w:marTop w:val="0"/>
      <w:marBottom w:val="0"/>
      <w:divBdr>
        <w:top w:val="none" w:sz="0" w:space="0" w:color="auto"/>
        <w:left w:val="none" w:sz="0" w:space="0" w:color="auto"/>
        <w:bottom w:val="none" w:sz="0" w:space="0" w:color="auto"/>
        <w:right w:val="none" w:sz="0" w:space="0" w:color="auto"/>
      </w:divBdr>
    </w:div>
    <w:div w:id="1337417453">
      <w:bodyDiv w:val="1"/>
      <w:marLeft w:val="0"/>
      <w:marRight w:val="0"/>
      <w:marTop w:val="0"/>
      <w:marBottom w:val="0"/>
      <w:divBdr>
        <w:top w:val="none" w:sz="0" w:space="0" w:color="auto"/>
        <w:left w:val="none" w:sz="0" w:space="0" w:color="auto"/>
        <w:bottom w:val="none" w:sz="0" w:space="0" w:color="auto"/>
        <w:right w:val="none" w:sz="0" w:space="0" w:color="auto"/>
      </w:divBdr>
    </w:div>
    <w:div w:id="1361734889">
      <w:bodyDiv w:val="1"/>
      <w:marLeft w:val="0"/>
      <w:marRight w:val="0"/>
      <w:marTop w:val="0"/>
      <w:marBottom w:val="0"/>
      <w:divBdr>
        <w:top w:val="none" w:sz="0" w:space="0" w:color="auto"/>
        <w:left w:val="none" w:sz="0" w:space="0" w:color="auto"/>
        <w:bottom w:val="none" w:sz="0" w:space="0" w:color="auto"/>
        <w:right w:val="none" w:sz="0" w:space="0" w:color="auto"/>
      </w:divBdr>
    </w:div>
    <w:div w:id="1564172040">
      <w:bodyDiv w:val="1"/>
      <w:marLeft w:val="0"/>
      <w:marRight w:val="0"/>
      <w:marTop w:val="0"/>
      <w:marBottom w:val="0"/>
      <w:divBdr>
        <w:top w:val="none" w:sz="0" w:space="0" w:color="auto"/>
        <w:left w:val="none" w:sz="0" w:space="0" w:color="auto"/>
        <w:bottom w:val="none" w:sz="0" w:space="0" w:color="auto"/>
        <w:right w:val="none" w:sz="0" w:space="0" w:color="auto"/>
      </w:divBdr>
    </w:div>
    <w:div w:id="1676298592">
      <w:bodyDiv w:val="1"/>
      <w:marLeft w:val="0"/>
      <w:marRight w:val="0"/>
      <w:marTop w:val="0"/>
      <w:marBottom w:val="0"/>
      <w:divBdr>
        <w:top w:val="none" w:sz="0" w:space="0" w:color="auto"/>
        <w:left w:val="none" w:sz="0" w:space="0" w:color="auto"/>
        <w:bottom w:val="none" w:sz="0" w:space="0" w:color="auto"/>
        <w:right w:val="none" w:sz="0" w:space="0" w:color="auto"/>
      </w:divBdr>
    </w:div>
    <w:div w:id="1787039574">
      <w:bodyDiv w:val="1"/>
      <w:marLeft w:val="0"/>
      <w:marRight w:val="0"/>
      <w:marTop w:val="0"/>
      <w:marBottom w:val="0"/>
      <w:divBdr>
        <w:top w:val="none" w:sz="0" w:space="0" w:color="auto"/>
        <w:left w:val="none" w:sz="0" w:space="0" w:color="auto"/>
        <w:bottom w:val="none" w:sz="0" w:space="0" w:color="auto"/>
        <w:right w:val="none" w:sz="0" w:space="0" w:color="auto"/>
      </w:divBdr>
    </w:div>
    <w:div w:id="2115243180">
      <w:bodyDiv w:val="1"/>
      <w:marLeft w:val="0"/>
      <w:marRight w:val="0"/>
      <w:marTop w:val="0"/>
      <w:marBottom w:val="0"/>
      <w:divBdr>
        <w:top w:val="none" w:sz="0" w:space="0" w:color="auto"/>
        <w:left w:val="none" w:sz="0" w:space="0" w:color="auto"/>
        <w:bottom w:val="none" w:sz="0" w:space="0" w:color="auto"/>
        <w:right w:val="none" w:sz="0" w:space="0" w:color="auto"/>
      </w:divBdr>
    </w:div>
    <w:div w:id="213852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mass.edu/finance/chapter70/chapter_14.xls" TargetMode="External"/><Relationship Id="rId13" Type="http://schemas.openxmlformats.org/officeDocument/2006/relationships/hyperlink" Target="mailto:rhatch@doe.mass.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king@doe.mass.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hcabral@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369F5-CBF1-4B20-88CE-D935E0CA2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6</Pages>
  <Words>1786</Words>
  <Characters>10185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Defining Adequate School Funding Level In Massachusetts</vt:lpstr>
    </vt:vector>
  </TitlesOfParts>
  <Company>doe</Company>
  <LinksUpToDate>false</LinksUpToDate>
  <CharactersWithSpaces>11948</CharactersWithSpaces>
  <SharedDoc>false</SharedDoc>
  <HLinks>
    <vt:vector size="54" baseType="variant">
      <vt:variant>
        <vt:i4>2097244</vt:i4>
      </vt:variant>
      <vt:variant>
        <vt:i4>30</vt:i4>
      </vt:variant>
      <vt:variant>
        <vt:i4>0</vt:i4>
      </vt:variant>
      <vt:variant>
        <vt:i4>5</vt:i4>
      </vt:variant>
      <vt:variant>
        <vt:lpwstr>mailto:hcabral@doe.mass.edu</vt:lpwstr>
      </vt:variant>
      <vt:variant>
        <vt:lpwstr/>
      </vt:variant>
      <vt:variant>
        <vt:i4>1114219</vt:i4>
      </vt:variant>
      <vt:variant>
        <vt:i4>27</vt:i4>
      </vt:variant>
      <vt:variant>
        <vt:i4>0</vt:i4>
      </vt:variant>
      <vt:variant>
        <vt:i4>5</vt:i4>
      </vt:variant>
      <vt:variant>
        <vt:lpwstr>mailto:rhatch@doe.mass.edu</vt:lpwstr>
      </vt:variant>
      <vt:variant>
        <vt:lpwstr/>
      </vt:variant>
      <vt:variant>
        <vt:i4>5505081</vt:i4>
      </vt:variant>
      <vt:variant>
        <vt:i4>24</vt:i4>
      </vt:variant>
      <vt:variant>
        <vt:i4>0</vt:i4>
      </vt:variant>
      <vt:variant>
        <vt:i4>5</vt:i4>
      </vt:variant>
      <vt:variant>
        <vt:lpwstr>mailto:mking@doe.mass.edu</vt:lpwstr>
      </vt:variant>
      <vt:variant>
        <vt:lpwstr/>
      </vt:variant>
      <vt:variant>
        <vt:i4>6619237</vt:i4>
      </vt:variant>
      <vt:variant>
        <vt:i4>21</vt:i4>
      </vt:variant>
      <vt:variant>
        <vt:i4>0</vt:i4>
      </vt:variant>
      <vt:variant>
        <vt:i4>5</vt:i4>
      </vt:variant>
      <vt:variant>
        <vt:lpwstr>\\File1\shared\FINANCE\SCHFIN\FY14data\c70fy14\final\foundation description on web\found14 pplist.xls</vt:lpwstr>
      </vt:variant>
      <vt:variant>
        <vt:lpwstr/>
      </vt:variant>
      <vt:variant>
        <vt:i4>5570565</vt:i4>
      </vt:variant>
      <vt:variant>
        <vt:i4>12</vt:i4>
      </vt:variant>
      <vt:variant>
        <vt:i4>0</vt:i4>
      </vt:variant>
      <vt:variant>
        <vt:i4>5</vt:i4>
      </vt:variant>
      <vt:variant>
        <vt:lpwstr>\\File1\shared\FINANCE\SCHFIN\FY14data\c70fy14\final\foundation description on web\eleven categories brief description fy14.xls</vt:lpwstr>
      </vt:variant>
      <vt:variant>
        <vt:lpwstr/>
      </vt:variant>
      <vt:variant>
        <vt:i4>5701734</vt:i4>
      </vt:variant>
      <vt:variant>
        <vt:i4>9</vt:i4>
      </vt:variant>
      <vt:variant>
        <vt:i4>0</vt:i4>
      </vt:variant>
      <vt:variant>
        <vt:i4>5</vt:i4>
      </vt:variant>
      <vt:variant>
        <vt:lpwstr>http://finance1.doe.mass.edu/chapter70/enrollment_desc.doc</vt:lpwstr>
      </vt:variant>
      <vt:variant>
        <vt:lpwstr/>
      </vt:variant>
      <vt:variant>
        <vt:i4>655408</vt:i4>
      </vt:variant>
      <vt:variant>
        <vt:i4>6</vt:i4>
      </vt:variant>
      <vt:variant>
        <vt:i4>0</vt:i4>
      </vt:variant>
      <vt:variant>
        <vt:i4>5</vt:i4>
      </vt:variant>
      <vt:variant>
        <vt:lpwstr>\\File1\shared\FINANCE\SCHFIN\FY14data\c70fy14\final\foundation description on web\marshfield example excel fy14_draft.xls</vt:lpwstr>
      </vt:variant>
      <vt:variant>
        <vt:lpwstr/>
      </vt:variant>
      <vt:variant>
        <vt:i4>5963888</vt:i4>
      </vt:variant>
      <vt:variant>
        <vt:i4>3</vt:i4>
      </vt:variant>
      <vt:variant>
        <vt:i4>0</vt:i4>
      </vt:variant>
      <vt:variant>
        <vt:i4>5</vt:i4>
      </vt:variant>
      <vt:variant>
        <vt:lpwstr>\\File1\shared\FINANCE\SCHFIN\FY14data\c70fy14\analysis\draftc70fy14may28.xls</vt:lpwstr>
      </vt:variant>
      <vt:variant>
        <vt:lpwstr/>
      </vt:variant>
      <vt:variant>
        <vt:i4>4259951</vt:i4>
      </vt:variant>
      <vt:variant>
        <vt:i4>0</vt:i4>
      </vt:variant>
      <vt:variant>
        <vt:i4>0</vt:i4>
      </vt:variant>
      <vt:variant>
        <vt:i4>5</vt:i4>
      </vt:variant>
      <vt:variant>
        <vt:lpwstr>http://finance1.doe.mass.edu/chapter70/chapter_07_change_detail.doc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Defining Adequate School Funding Level In Massachusetts</dc:title>
  <dc:creator>Roger Hatch</dc:creator>
  <cp:lastModifiedBy>O'Donnell, Robert F (DOE)</cp:lastModifiedBy>
  <cp:revision>22</cp:revision>
  <cp:lastPrinted>2013-05-28T20:19:00Z</cp:lastPrinted>
  <dcterms:created xsi:type="dcterms:W3CDTF">2013-07-08T16:54:00Z</dcterms:created>
  <dcterms:modified xsi:type="dcterms:W3CDTF">2018-10-10T15:25:00Z</dcterms:modified>
</cp:coreProperties>
</file>