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95C23" w14:textId="77777777" w:rsidR="00FD23FE" w:rsidRDefault="00DA738C">
      <w:pPr>
        <w:spacing w:line="192" w:lineRule="auto"/>
        <w:outlineLvl w:val="0"/>
        <w:rPr>
          <w:rFonts w:ascii="Arial" w:hAnsi="Arial"/>
          <w:b/>
          <w:i/>
          <w:sz w:val="40"/>
        </w:rPr>
      </w:pPr>
      <w:bookmarkStart w:id="0" w:name="_GoBack"/>
      <w:r>
        <w:rPr>
          <w:rFonts w:ascii="Arial" w:hAnsi="Arial"/>
          <w:i/>
          <w:noProof/>
          <w:snapToGrid/>
          <w:sz w:val="40"/>
        </w:rPr>
        <w:drawing>
          <wp:anchor distT="0" distB="0" distL="114300" distR="274320" simplePos="0" relativeHeight="251657216" behindDoc="0" locked="0" layoutInCell="0" allowOverlap="1" wp14:anchorId="46995CB2" wp14:editId="46995CB3">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bookmarkEnd w:id="0"/>
      <w:r w:rsidR="00FD23FE">
        <w:rPr>
          <w:rFonts w:ascii="Arial" w:hAnsi="Arial"/>
          <w:b/>
          <w:i/>
          <w:sz w:val="40"/>
        </w:rPr>
        <w:t>Massachusetts Department of</w:t>
      </w:r>
    </w:p>
    <w:p w14:paraId="46995C24" w14:textId="77777777" w:rsidR="00FD23FE" w:rsidRDefault="00FD23FE">
      <w:pPr>
        <w:outlineLvl w:val="0"/>
        <w:rPr>
          <w:rFonts w:ascii="Arial" w:hAnsi="Arial"/>
          <w:b/>
          <w:i/>
          <w:sz w:val="50"/>
        </w:rPr>
      </w:pPr>
      <w:r>
        <w:rPr>
          <w:rFonts w:ascii="Arial" w:hAnsi="Arial"/>
          <w:b/>
          <w:i/>
          <w:sz w:val="40"/>
        </w:rPr>
        <w:t>Elementary and Secondary Education</w:t>
      </w:r>
    </w:p>
    <w:p w14:paraId="46995C25" w14:textId="128565BD" w:rsidR="00FD23FE" w:rsidRDefault="0033254B">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46995CB4" wp14:editId="1CD7813B">
                <wp:simplePos x="0" y="0"/>
                <wp:positionH relativeFrom="column">
                  <wp:posOffset>24765</wp:posOffset>
                </wp:positionH>
                <wp:positionV relativeFrom="paragraph">
                  <wp:posOffset>64769</wp:posOffset>
                </wp:positionV>
                <wp:extent cx="5066030" cy="0"/>
                <wp:effectExtent l="0" t="0" r="2032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8+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Ocq3z4S&#10;AgAAKQQAAA4AAAAAAAAAAAAAAAAALgIAAGRycy9lMm9Eb2MueG1sUEsBAi0AFAAGAAgAAAAhAOzZ&#10;Hs/bAAAABwEAAA8AAAAAAAAAAAAAAAAAbAQAAGRycy9kb3ducmV2LnhtbFBLBQYAAAAABAAEAPMA&#10;AAB0BQAAAAA=&#10;" o:allowincell="f" strokeweight="1pt"/>
            </w:pict>
          </mc:Fallback>
        </mc:AlternateContent>
      </w:r>
    </w:p>
    <w:p w14:paraId="46995C26" w14:textId="77777777" w:rsidR="00FD23FE" w:rsidRDefault="00FD23FE">
      <w:pPr>
        <w:pStyle w:val="Heading3"/>
        <w:tabs>
          <w:tab w:val="right" w:pos="9360"/>
        </w:tabs>
        <w:rPr>
          <w:sz w:val="16"/>
          <w:szCs w:val="16"/>
        </w:rPr>
      </w:pPr>
      <w:r>
        <w:rPr>
          <w:sz w:val="16"/>
          <w:szCs w:val="16"/>
        </w:rPr>
        <w:t xml:space="preserve">75 Pleasant Street, </w:t>
      </w:r>
      <w:smartTag w:uri="urn:schemas-microsoft-com:office:smarttags" w:element="place">
        <w:smartTag w:uri="urn:schemas-microsoft-com:office:smarttags" w:element="City">
          <w:r>
            <w:rPr>
              <w:sz w:val="16"/>
              <w:szCs w:val="16"/>
            </w:rPr>
            <w:t>Malden</w:t>
          </w:r>
        </w:smartTag>
        <w:r>
          <w:rPr>
            <w:sz w:val="16"/>
            <w:szCs w:val="16"/>
          </w:rPr>
          <w:t xml:space="preserve">, </w:t>
        </w:r>
        <w:smartTag w:uri="urn:schemas-microsoft-com:office:smarttags" w:element="State">
          <w:r>
            <w:rPr>
              <w:sz w:val="16"/>
              <w:szCs w:val="16"/>
            </w:rPr>
            <w:t>Massachusetts</w:t>
          </w:r>
        </w:smartTag>
        <w:r>
          <w:rPr>
            <w:sz w:val="16"/>
            <w:szCs w:val="16"/>
          </w:rPr>
          <w:t xml:space="preserve"> </w:t>
        </w:r>
        <w:smartTag w:uri="urn:schemas-microsoft-com:office:smarttags" w:element="PostalCode">
          <w:r>
            <w:rPr>
              <w:sz w:val="16"/>
              <w:szCs w:val="16"/>
            </w:rPr>
            <w:t>02148</w:t>
          </w:r>
        </w:smartTag>
      </w:smartTag>
      <w:r>
        <w:rPr>
          <w:sz w:val="16"/>
          <w:szCs w:val="16"/>
        </w:rPr>
        <w:t xml:space="preserve">-4906 </w:t>
      </w:r>
      <w:r>
        <w:rPr>
          <w:sz w:val="16"/>
          <w:szCs w:val="16"/>
        </w:rPr>
        <w:tab/>
        <w:t>Telephone: (781) 338-3000</w:t>
      </w:r>
    </w:p>
    <w:p w14:paraId="46995C27" w14:textId="77777777" w:rsidR="00FD23FE" w:rsidRDefault="00FD23FE">
      <w:pPr>
        <w:pStyle w:val="Heading2"/>
        <w:tabs>
          <w:tab w:val="right" w:pos="9000"/>
        </w:tabs>
        <w:jc w:val="left"/>
        <w:rPr>
          <w:sz w:val="16"/>
          <w:szCs w:val="16"/>
        </w:rPr>
      </w:pPr>
      <w:r>
        <w:rPr>
          <w:sz w:val="16"/>
          <w:szCs w:val="16"/>
        </w:rPr>
        <w:t xml:space="preserve">                                                                                                                 TTY: N.E.T. Relay 1-800-439-2370</w:t>
      </w:r>
    </w:p>
    <w:p w14:paraId="46995C28" w14:textId="77777777" w:rsidR="00FD23FE" w:rsidRDefault="00FD23FE">
      <w:pPr>
        <w:ind w:left="720"/>
        <w:rPr>
          <w:rFonts w:ascii="Arial" w:hAnsi="Arial"/>
          <w:i/>
          <w:sz w:val="16"/>
          <w:szCs w:val="16"/>
        </w:rPr>
      </w:pPr>
    </w:p>
    <w:p w14:paraId="46995C29" w14:textId="77777777" w:rsidR="00FD23FE" w:rsidRDefault="00FD23FE">
      <w:pPr>
        <w:ind w:left="720"/>
        <w:rPr>
          <w:rFonts w:ascii="Arial" w:hAnsi="Arial"/>
          <w:i/>
          <w:sz w:val="18"/>
        </w:rPr>
        <w:sectPr w:rsidR="00FD23FE">
          <w:footerReference w:type="even" r:id="rId13"/>
          <w:footerReference w:type="default" r:id="rId14"/>
          <w:endnotePr>
            <w:numFmt w:val="decimal"/>
          </w:endnotePr>
          <w:pgSz w:w="12240" w:h="15840"/>
          <w:pgMar w:top="864" w:right="1080" w:bottom="1440" w:left="1800" w:header="1440" w:footer="1440" w:gutter="0"/>
          <w:cols w:space="720"/>
          <w:noEndnote/>
          <w:titlePg/>
        </w:sectPr>
      </w:pPr>
    </w:p>
    <w:p w14:paraId="46995C2A" w14:textId="77777777" w:rsidR="00FD23FE" w:rsidRDefault="00FD23FE">
      <w:pPr>
        <w:ind w:left="720"/>
        <w:jc w:val="center"/>
        <w:rPr>
          <w:rFonts w:ascii="Arial" w:hAnsi="Arial"/>
          <w:i/>
          <w:sz w:val="16"/>
          <w:szCs w:val="16"/>
        </w:rPr>
      </w:pPr>
    </w:p>
    <w:tbl>
      <w:tblPr>
        <w:tblW w:w="0" w:type="auto"/>
        <w:tblLook w:val="01E0" w:firstRow="1" w:lastRow="1" w:firstColumn="1" w:lastColumn="1" w:noHBand="0" w:noVBand="0"/>
      </w:tblPr>
      <w:tblGrid>
        <w:gridCol w:w="2988"/>
        <w:gridCol w:w="8604"/>
      </w:tblGrid>
      <w:tr w:rsidR="00FD23FE" w14:paraId="46995C2E" w14:textId="77777777">
        <w:tc>
          <w:tcPr>
            <w:tcW w:w="2988" w:type="dxa"/>
          </w:tcPr>
          <w:p w14:paraId="46995C2B" w14:textId="77777777" w:rsidR="00FD23FE" w:rsidRDefault="00FD23FE">
            <w:pPr>
              <w:jc w:val="center"/>
              <w:rPr>
                <w:rFonts w:ascii="Arial" w:hAnsi="Arial" w:cs="Arial"/>
                <w:sz w:val="16"/>
                <w:szCs w:val="16"/>
              </w:rPr>
            </w:pPr>
            <w:r>
              <w:rPr>
                <w:rFonts w:ascii="Arial" w:hAnsi="Arial" w:cs="Arial"/>
                <w:sz w:val="16"/>
                <w:szCs w:val="16"/>
              </w:rPr>
              <w:t>Mitchell D. Chester, Ed.D.</w:t>
            </w:r>
          </w:p>
          <w:p w14:paraId="46995C2C" w14:textId="77777777" w:rsidR="00FD23FE" w:rsidRDefault="00FD23FE">
            <w:pPr>
              <w:jc w:val="center"/>
              <w:rPr>
                <w:rFonts w:ascii="Arial" w:hAnsi="Arial"/>
                <w:i/>
                <w:sz w:val="16"/>
                <w:szCs w:val="16"/>
              </w:rPr>
            </w:pPr>
            <w:r>
              <w:rPr>
                <w:rFonts w:ascii="Arial" w:hAnsi="Arial"/>
                <w:i/>
                <w:sz w:val="16"/>
                <w:szCs w:val="16"/>
              </w:rPr>
              <w:t>Commissioner</w:t>
            </w:r>
          </w:p>
        </w:tc>
        <w:tc>
          <w:tcPr>
            <w:tcW w:w="8604" w:type="dxa"/>
          </w:tcPr>
          <w:p w14:paraId="46995C2D" w14:textId="77777777" w:rsidR="00FD23FE" w:rsidRDefault="00FD23FE">
            <w:pPr>
              <w:jc w:val="center"/>
              <w:rPr>
                <w:rFonts w:ascii="Arial" w:hAnsi="Arial"/>
                <w:i/>
                <w:sz w:val="16"/>
                <w:szCs w:val="16"/>
              </w:rPr>
            </w:pPr>
          </w:p>
        </w:tc>
      </w:tr>
    </w:tbl>
    <w:p w14:paraId="46995C2F" w14:textId="77777777" w:rsidR="00FD23FE" w:rsidRDefault="00FD23FE">
      <w:pPr>
        <w:rPr>
          <w:rFonts w:ascii="Arial" w:hAnsi="Arial"/>
          <w:i/>
          <w:sz w:val="18"/>
        </w:rPr>
      </w:pPr>
    </w:p>
    <w:p w14:paraId="46995C30" w14:textId="77777777" w:rsidR="00FD23FE" w:rsidRDefault="00FD23FE">
      <w:pPr>
        <w:sectPr w:rsidR="00FD23FE">
          <w:endnotePr>
            <w:numFmt w:val="decimal"/>
          </w:endnotePr>
          <w:type w:val="continuous"/>
          <w:pgSz w:w="12240" w:h="15840"/>
          <w:pgMar w:top="864" w:right="432" w:bottom="1440" w:left="432" w:header="1440" w:footer="1440" w:gutter="0"/>
          <w:cols w:space="720"/>
          <w:noEndnote/>
        </w:sectPr>
      </w:pPr>
    </w:p>
    <w:p w14:paraId="46995C31" w14:textId="77777777" w:rsidR="00FD23FE" w:rsidRDefault="00FD23FE">
      <w:pPr>
        <w:pStyle w:val="Heading1"/>
        <w:tabs>
          <w:tab w:val="clear" w:pos="4680"/>
        </w:tabs>
      </w:pPr>
      <w:r>
        <w:lastRenderedPageBreak/>
        <w:t>MEMORANDUM</w:t>
      </w:r>
    </w:p>
    <w:p w14:paraId="46995C32" w14:textId="77777777" w:rsidR="00FD23FE" w:rsidRDefault="00FD23FE">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8"/>
        <w:gridCol w:w="8388"/>
      </w:tblGrid>
      <w:tr w:rsidR="00FD23FE" w14:paraId="46995C35" w14:textId="77777777">
        <w:tc>
          <w:tcPr>
            <w:tcW w:w="1188" w:type="dxa"/>
          </w:tcPr>
          <w:p w14:paraId="46995C33" w14:textId="77777777" w:rsidR="00FD23FE" w:rsidRDefault="00FD23FE">
            <w:pPr>
              <w:rPr>
                <w:b/>
              </w:rPr>
            </w:pPr>
            <w:r>
              <w:rPr>
                <w:b/>
              </w:rPr>
              <w:t>To:</w:t>
            </w:r>
          </w:p>
        </w:tc>
        <w:tc>
          <w:tcPr>
            <w:tcW w:w="8388" w:type="dxa"/>
          </w:tcPr>
          <w:p w14:paraId="46995C34" w14:textId="77777777" w:rsidR="00FD23FE" w:rsidRDefault="00FD23FE">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FD23FE" w14:paraId="46995C38" w14:textId="77777777">
        <w:tc>
          <w:tcPr>
            <w:tcW w:w="1188" w:type="dxa"/>
          </w:tcPr>
          <w:p w14:paraId="46995C36" w14:textId="77777777" w:rsidR="00FD23FE" w:rsidRDefault="00FD23FE">
            <w:pPr>
              <w:rPr>
                <w:b/>
              </w:rPr>
            </w:pPr>
            <w:r>
              <w:rPr>
                <w:b/>
              </w:rPr>
              <w:t>From:</w:t>
            </w:r>
            <w:r>
              <w:tab/>
            </w:r>
          </w:p>
        </w:tc>
        <w:tc>
          <w:tcPr>
            <w:tcW w:w="8388" w:type="dxa"/>
          </w:tcPr>
          <w:p w14:paraId="46995C37" w14:textId="77777777" w:rsidR="00FD23FE" w:rsidRDefault="00FD23FE">
            <w:pPr>
              <w:pStyle w:val="Footer"/>
              <w:widowControl w:val="0"/>
              <w:tabs>
                <w:tab w:val="clear" w:pos="4320"/>
                <w:tab w:val="clear" w:pos="8640"/>
              </w:tabs>
              <w:rPr>
                <w:bCs/>
                <w:snapToGrid w:val="0"/>
                <w:szCs w:val="20"/>
              </w:rPr>
            </w:pPr>
            <w:r>
              <w:rPr>
                <w:bCs/>
                <w:snapToGrid w:val="0"/>
                <w:szCs w:val="20"/>
              </w:rPr>
              <w:t>Mitchell D. Chester, Ed.D., Commissioner</w:t>
            </w:r>
          </w:p>
        </w:tc>
      </w:tr>
      <w:tr w:rsidR="00FD23FE" w14:paraId="46995C3B" w14:textId="77777777">
        <w:tc>
          <w:tcPr>
            <w:tcW w:w="1188" w:type="dxa"/>
          </w:tcPr>
          <w:p w14:paraId="46995C39" w14:textId="77777777" w:rsidR="00FD23FE" w:rsidRDefault="00FD23FE">
            <w:pPr>
              <w:rPr>
                <w:b/>
              </w:rPr>
            </w:pPr>
            <w:r>
              <w:rPr>
                <w:b/>
              </w:rPr>
              <w:t>Date:</w:t>
            </w:r>
            <w:r>
              <w:tab/>
            </w:r>
          </w:p>
        </w:tc>
        <w:tc>
          <w:tcPr>
            <w:tcW w:w="8388" w:type="dxa"/>
          </w:tcPr>
          <w:p w14:paraId="46995C3A" w14:textId="77777777" w:rsidR="00FD23FE" w:rsidRDefault="000F2A07">
            <w:pPr>
              <w:pStyle w:val="Footer"/>
              <w:widowControl w:val="0"/>
              <w:tabs>
                <w:tab w:val="clear" w:pos="4320"/>
                <w:tab w:val="clear" w:pos="8640"/>
              </w:tabs>
              <w:rPr>
                <w:bCs/>
                <w:snapToGrid w:val="0"/>
                <w:szCs w:val="20"/>
              </w:rPr>
            </w:pPr>
            <w:r>
              <w:rPr>
                <w:bCs/>
                <w:snapToGrid w:val="0"/>
                <w:szCs w:val="20"/>
              </w:rPr>
              <w:t>November 14, 2014</w:t>
            </w:r>
          </w:p>
        </w:tc>
      </w:tr>
      <w:tr w:rsidR="00FD23FE" w14:paraId="46995C3E" w14:textId="77777777">
        <w:tc>
          <w:tcPr>
            <w:tcW w:w="1188" w:type="dxa"/>
          </w:tcPr>
          <w:p w14:paraId="46995C3C" w14:textId="77777777" w:rsidR="00FD23FE" w:rsidRDefault="00FD23FE">
            <w:pPr>
              <w:rPr>
                <w:b/>
              </w:rPr>
            </w:pPr>
            <w:r>
              <w:rPr>
                <w:b/>
              </w:rPr>
              <w:t>Subject:</w:t>
            </w:r>
          </w:p>
        </w:tc>
        <w:tc>
          <w:tcPr>
            <w:tcW w:w="8388" w:type="dxa"/>
          </w:tcPr>
          <w:p w14:paraId="46995C3D" w14:textId="77777777" w:rsidR="004E02B6" w:rsidRPr="000F2A07" w:rsidRDefault="000F2A07">
            <w:pPr>
              <w:pStyle w:val="Footer"/>
              <w:widowControl w:val="0"/>
              <w:tabs>
                <w:tab w:val="clear" w:pos="4320"/>
                <w:tab w:val="clear" w:pos="8640"/>
              </w:tabs>
              <w:rPr>
                <w:bCs/>
                <w:snapToGrid w:val="0"/>
                <w:szCs w:val="20"/>
              </w:rPr>
            </w:pPr>
            <w:bookmarkStart w:id="1" w:name="OLE_LINK1"/>
            <w:bookmarkStart w:id="2" w:name="OLE_LINK2"/>
            <w:r w:rsidRPr="00A34735">
              <w:rPr>
                <w:bCs/>
                <w:snapToGrid w:val="0"/>
              </w:rPr>
              <w:t>2013-14 Educator Evaluation Ratings Data</w:t>
            </w:r>
            <w:r w:rsidR="008C327E">
              <w:rPr>
                <w:bCs/>
                <w:snapToGrid w:val="0"/>
                <w:szCs w:val="20"/>
              </w:rPr>
              <w:t xml:space="preserve"> </w:t>
            </w:r>
            <w:bookmarkEnd w:id="1"/>
            <w:bookmarkEnd w:id="2"/>
          </w:p>
        </w:tc>
      </w:tr>
    </w:tbl>
    <w:p w14:paraId="46995C3F" w14:textId="77777777" w:rsidR="00FD23FE" w:rsidRDefault="00FD23FE">
      <w:pPr>
        <w:pBdr>
          <w:bottom w:val="single" w:sz="4" w:space="1" w:color="auto"/>
        </w:pBdr>
      </w:pPr>
      <w:bookmarkStart w:id="3" w:name="TO"/>
      <w:bookmarkStart w:id="4" w:name="FROM"/>
      <w:bookmarkStart w:id="5" w:name="DATE"/>
      <w:bookmarkStart w:id="6" w:name="RE"/>
      <w:bookmarkEnd w:id="3"/>
      <w:bookmarkEnd w:id="4"/>
      <w:bookmarkEnd w:id="5"/>
      <w:bookmarkEnd w:id="6"/>
    </w:p>
    <w:p w14:paraId="46995C40" w14:textId="77777777" w:rsidR="00FD23FE" w:rsidRDefault="00FD23FE">
      <w:pPr>
        <w:rPr>
          <w:sz w:val="16"/>
        </w:rPr>
        <w:sectPr w:rsidR="00FD23FE">
          <w:endnotePr>
            <w:numFmt w:val="decimal"/>
          </w:endnotePr>
          <w:type w:val="continuous"/>
          <w:pgSz w:w="12240" w:h="15840"/>
          <w:pgMar w:top="1440" w:right="1440" w:bottom="1440" w:left="1440" w:header="1440" w:footer="1440" w:gutter="0"/>
          <w:cols w:space="720"/>
          <w:noEndnote/>
        </w:sectPr>
      </w:pPr>
    </w:p>
    <w:p w14:paraId="46995C41" w14:textId="77777777" w:rsidR="00FD23FE" w:rsidRDefault="00FD23FE">
      <w:pPr>
        <w:rPr>
          <w:sz w:val="16"/>
        </w:rPr>
      </w:pPr>
    </w:p>
    <w:p w14:paraId="46995C42" w14:textId="77777777" w:rsidR="000F2A07" w:rsidRPr="00A34735" w:rsidRDefault="000F2A07" w:rsidP="000F2A07">
      <w:pPr>
        <w:pStyle w:val="Bullet"/>
        <w:numPr>
          <w:ilvl w:val="0"/>
          <w:numId w:val="0"/>
        </w:numPr>
        <w:spacing w:before="0" w:after="0" w:line="240" w:lineRule="auto"/>
        <w:rPr>
          <w:rFonts w:ascii="Times New Roman" w:hAnsi="Times New Roman" w:cs="Times New Roman"/>
          <w:sz w:val="24"/>
          <w:szCs w:val="24"/>
        </w:rPr>
      </w:pPr>
      <w:r w:rsidRPr="00A34735">
        <w:rPr>
          <w:rFonts w:ascii="Times New Roman" w:hAnsi="Times New Roman" w:cs="Times New Roman"/>
          <w:sz w:val="24"/>
          <w:szCs w:val="24"/>
        </w:rPr>
        <w:t>On June 28, 2011, the Board of Elementary and Secondary Education adopted new regulations to guide the evaluation of all educators serving in positions requiring a license. The regulations and the evaluation system they define are intended to:</w:t>
      </w:r>
    </w:p>
    <w:p w14:paraId="46995C43" w14:textId="77777777" w:rsidR="000F2A07" w:rsidRPr="00A34735" w:rsidRDefault="000F2A07" w:rsidP="000F2A07">
      <w:pPr>
        <w:pStyle w:val="Bullet"/>
        <w:spacing w:before="120" w:after="120"/>
        <w:rPr>
          <w:rFonts w:ascii="Times New Roman" w:hAnsi="Times New Roman" w:cs="Times New Roman"/>
          <w:sz w:val="24"/>
          <w:szCs w:val="24"/>
        </w:rPr>
      </w:pPr>
      <w:r w:rsidRPr="00A34735">
        <w:rPr>
          <w:rFonts w:ascii="Times New Roman" w:hAnsi="Times New Roman" w:cs="Times New Roman"/>
          <w:sz w:val="24"/>
          <w:szCs w:val="24"/>
        </w:rPr>
        <w:t xml:space="preserve">Promote the growth and development of leaders and teachers, </w:t>
      </w:r>
    </w:p>
    <w:p w14:paraId="46995C44" w14:textId="77777777" w:rsidR="000F2A07" w:rsidRPr="00A34735" w:rsidRDefault="000F2A07" w:rsidP="000F2A07">
      <w:pPr>
        <w:pStyle w:val="Bullet"/>
        <w:spacing w:before="120" w:after="120"/>
        <w:rPr>
          <w:rFonts w:ascii="Times New Roman" w:hAnsi="Times New Roman" w:cs="Times New Roman"/>
          <w:sz w:val="24"/>
          <w:szCs w:val="24"/>
        </w:rPr>
      </w:pPr>
      <w:r w:rsidRPr="00A34735">
        <w:rPr>
          <w:rFonts w:ascii="Times New Roman" w:hAnsi="Times New Roman" w:cs="Times New Roman"/>
          <w:sz w:val="24"/>
          <w:szCs w:val="24"/>
        </w:rPr>
        <w:t>Place student learning at the center, using multiple measures of student learning, growth and achievement,</w:t>
      </w:r>
    </w:p>
    <w:p w14:paraId="46995C45" w14:textId="77777777" w:rsidR="000F2A07" w:rsidRPr="00A34735" w:rsidRDefault="000F2A07" w:rsidP="000F2A07">
      <w:pPr>
        <w:pStyle w:val="Bullet"/>
        <w:spacing w:before="120" w:after="120"/>
        <w:rPr>
          <w:rFonts w:ascii="Times New Roman" w:hAnsi="Times New Roman" w:cs="Times New Roman"/>
          <w:sz w:val="24"/>
          <w:szCs w:val="24"/>
        </w:rPr>
      </w:pPr>
      <w:r w:rsidRPr="00A34735">
        <w:rPr>
          <w:rFonts w:ascii="Times New Roman" w:hAnsi="Times New Roman" w:cs="Times New Roman"/>
          <w:sz w:val="24"/>
          <w:szCs w:val="24"/>
        </w:rPr>
        <w:t>Recognize excellence in teaching and leading,</w:t>
      </w:r>
    </w:p>
    <w:p w14:paraId="46995C46" w14:textId="77777777" w:rsidR="000F2A07" w:rsidRPr="00A34735" w:rsidRDefault="000F2A07" w:rsidP="000F2A07">
      <w:pPr>
        <w:pStyle w:val="Bullet"/>
        <w:spacing w:before="120" w:after="120"/>
        <w:rPr>
          <w:rFonts w:ascii="Times New Roman" w:hAnsi="Times New Roman" w:cs="Times New Roman"/>
          <w:sz w:val="24"/>
          <w:szCs w:val="24"/>
        </w:rPr>
      </w:pPr>
      <w:r w:rsidRPr="00A34735">
        <w:rPr>
          <w:rFonts w:ascii="Times New Roman" w:hAnsi="Times New Roman" w:cs="Times New Roman"/>
          <w:sz w:val="24"/>
          <w:szCs w:val="24"/>
        </w:rPr>
        <w:t>Set a high bar for professional teaching status, and</w:t>
      </w:r>
    </w:p>
    <w:p w14:paraId="46995C47" w14:textId="77777777" w:rsidR="000F2A07" w:rsidRPr="00A34735" w:rsidRDefault="000F2A07" w:rsidP="000F2A07">
      <w:pPr>
        <w:pStyle w:val="Bullet"/>
        <w:spacing w:before="120" w:after="120"/>
        <w:rPr>
          <w:rFonts w:ascii="Times New Roman" w:hAnsi="Times New Roman" w:cs="Times New Roman"/>
          <w:sz w:val="24"/>
          <w:szCs w:val="24"/>
        </w:rPr>
      </w:pPr>
      <w:r w:rsidRPr="00A34735">
        <w:rPr>
          <w:rFonts w:ascii="Times New Roman" w:hAnsi="Times New Roman" w:cs="Times New Roman"/>
          <w:sz w:val="24"/>
          <w:szCs w:val="24"/>
        </w:rPr>
        <w:t>Shorten timelines for improvement.</w:t>
      </w:r>
    </w:p>
    <w:p w14:paraId="46995C48" w14:textId="77777777" w:rsidR="000F2A07" w:rsidRPr="00A34735" w:rsidRDefault="000F2A07" w:rsidP="000F2A07">
      <w:pPr>
        <w:spacing w:after="40"/>
        <w:rPr>
          <w:szCs w:val="24"/>
        </w:rPr>
      </w:pPr>
      <w:r w:rsidRPr="00A34735">
        <w:rPr>
          <w:szCs w:val="24"/>
        </w:rPr>
        <w:t xml:space="preserve">The Massachusetts educator evaluation framework comprises two independent but linked ratings: </w:t>
      </w:r>
    </w:p>
    <w:p w14:paraId="46995C49" w14:textId="77777777" w:rsidR="000F2A07" w:rsidRPr="00A34735" w:rsidRDefault="000F2A07" w:rsidP="000F2A07">
      <w:pPr>
        <w:pStyle w:val="ListParagraph"/>
        <w:numPr>
          <w:ilvl w:val="0"/>
          <w:numId w:val="15"/>
        </w:numPr>
        <w:spacing w:after="40"/>
        <w:contextualSpacing w:val="0"/>
        <w:rPr>
          <w:szCs w:val="24"/>
        </w:rPr>
      </w:pPr>
      <w:r w:rsidRPr="00A34735">
        <w:rPr>
          <w:b/>
          <w:szCs w:val="24"/>
        </w:rPr>
        <w:t>Summative Performance Rating:</w:t>
      </w:r>
      <w:r w:rsidRPr="00A34735">
        <w:rPr>
          <w:szCs w:val="24"/>
        </w:rPr>
        <w:t xml:space="preserve"> rates an educator's practice against four statewide </w:t>
      </w:r>
      <w:hyperlink r:id="rId15" w:history="1">
        <w:r w:rsidRPr="00A34735">
          <w:rPr>
            <w:rStyle w:val="Hyperlink"/>
            <w:szCs w:val="24"/>
          </w:rPr>
          <w:t>Standards of Effective Teaching</w:t>
        </w:r>
      </w:hyperlink>
      <w:r w:rsidRPr="00A34735">
        <w:rPr>
          <w:rStyle w:val="FootnoteReference"/>
          <w:szCs w:val="24"/>
          <w:vertAlign w:val="superscript"/>
        </w:rPr>
        <w:footnoteReference w:id="1"/>
      </w:r>
      <w:r w:rsidRPr="00A34735">
        <w:rPr>
          <w:szCs w:val="24"/>
        </w:rPr>
        <w:t xml:space="preserve"> or </w:t>
      </w:r>
      <w:hyperlink r:id="rId16" w:history="1">
        <w:r w:rsidRPr="00A34735">
          <w:rPr>
            <w:rStyle w:val="Hyperlink"/>
            <w:szCs w:val="24"/>
          </w:rPr>
          <w:t>Administrator Leadership Practice</w:t>
        </w:r>
      </w:hyperlink>
      <w:r w:rsidRPr="00A34735">
        <w:rPr>
          <w:rStyle w:val="FootnoteReference"/>
          <w:szCs w:val="24"/>
          <w:vertAlign w:val="superscript"/>
        </w:rPr>
        <w:footnoteReference w:id="2"/>
      </w:r>
      <w:r w:rsidRPr="00A34735">
        <w:rPr>
          <w:szCs w:val="24"/>
        </w:rPr>
        <w:t xml:space="preserve">, as well as an educator's progress toward attainment of professional practice and student learning goals. </w:t>
      </w:r>
    </w:p>
    <w:p w14:paraId="46995C4A" w14:textId="77777777" w:rsidR="000F2A07" w:rsidRPr="00A34735" w:rsidRDefault="000F2A07" w:rsidP="000F2A07">
      <w:pPr>
        <w:pStyle w:val="ListParagraph"/>
        <w:numPr>
          <w:ilvl w:val="0"/>
          <w:numId w:val="15"/>
        </w:numPr>
        <w:spacing w:after="40"/>
        <w:contextualSpacing w:val="0"/>
        <w:rPr>
          <w:szCs w:val="24"/>
        </w:rPr>
      </w:pPr>
      <w:r w:rsidRPr="00A34735">
        <w:rPr>
          <w:b/>
          <w:szCs w:val="24"/>
        </w:rPr>
        <w:t xml:space="preserve">Student Impact Rating: </w:t>
      </w:r>
      <w:r w:rsidRPr="00A34735">
        <w:rPr>
          <w:szCs w:val="24"/>
        </w:rPr>
        <w:t xml:space="preserve">a determination of an educator’s impact on student learning, informed by patterns and trends in student learning, growth, and/or achievement based on results from statewide growth measures, where available, and district-determined measures (DDMs). </w:t>
      </w:r>
    </w:p>
    <w:p w14:paraId="46995C4B" w14:textId="77777777" w:rsidR="000F2A07" w:rsidRPr="00A34735" w:rsidRDefault="000F2A07" w:rsidP="000F2A07">
      <w:pPr>
        <w:spacing w:after="40"/>
        <w:rPr>
          <w:szCs w:val="24"/>
        </w:rPr>
      </w:pPr>
    </w:p>
    <w:p w14:paraId="46995C4C" w14:textId="77777777" w:rsidR="000F2A07" w:rsidRPr="00A34735" w:rsidRDefault="000F2A07" w:rsidP="000F2A07">
      <w:pPr>
        <w:spacing w:after="40"/>
        <w:rPr>
          <w:szCs w:val="24"/>
        </w:rPr>
      </w:pPr>
      <w:r w:rsidRPr="00A34735">
        <w:rPr>
          <w:szCs w:val="24"/>
        </w:rPr>
        <w:t>Taken together, these two ratings are designed to help educators reflect not only on their professional practice, but also the impact they are having on their students’ learning. At the November 25</w:t>
      </w:r>
      <w:r>
        <w:rPr>
          <w:szCs w:val="24"/>
        </w:rPr>
        <w:t>th</w:t>
      </w:r>
      <w:r w:rsidRPr="00A34735">
        <w:rPr>
          <w:szCs w:val="24"/>
        </w:rPr>
        <w:t xml:space="preserve"> meeting, I will present to the Board the statewide Summative Performance Rating data from the 2013-14 school year. I will be joined by Department staff members Robert Curtin, Simone Lynch and Claire Abbott.</w:t>
      </w:r>
    </w:p>
    <w:p w14:paraId="46995C4D" w14:textId="77777777" w:rsidR="005D5B08" w:rsidRDefault="005D5B08" w:rsidP="000F2A07">
      <w:pPr>
        <w:pStyle w:val="Heading1"/>
        <w:spacing w:before="120" w:after="40"/>
        <w:jc w:val="left"/>
        <w:rPr>
          <w:szCs w:val="24"/>
        </w:rPr>
      </w:pPr>
      <w:bookmarkStart w:id="7" w:name="_Toc384991266"/>
    </w:p>
    <w:p w14:paraId="46995C4E" w14:textId="77777777" w:rsidR="000F2A07" w:rsidRPr="00A34735" w:rsidRDefault="000F2A07" w:rsidP="000F2A07">
      <w:pPr>
        <w:pStyle w:val="Heading1"/>
        <w:spacing w:before="120" w:after="40"/>
        <w:jc w:val="left"/>
        <w:rPr>
          <w:szCs w:val="24"/>
        </w:rPr>
      </w:pPr>
      <w:r w:rsidRPr="00A34735">
        <w:rPr>
          <w:szCs w:val="24"/>
        </w:rPr>
        <w:t>Background: Intersection between the Summative Performance and the Student Impact Rating</w:t>
      </w:r>
      <w:bookmarkEnd w:id="7"/>
      <w:r w:rsidRPr="00A34735">
        <w:rPr>
          <w:szCs w:val="24"/>
        </w:rPr>
        <w:t>s</w:t>
      </w:r>
    </w:p>
    <w:p w14:paraId="46995C4F" w14:textId="77777777" w:rsidR="000F2A07" w:rsidRPr="00A34735" w:rsidRDefault="000F2A07" w:rsidP="000F2A07">
      <w:pPr>
        <w:spacing w:after="40"/>
        <w:rPr>
          <w:szCs w:val="24"/>
        </w:rPr>
      </w:pPr>
      <w:r w:rsidRPr="00A34735">
        <w:rPr>
          <w:szCs w:val="24"/>
        </w:rPr>
        <w:t>As described above, a Summative Performance Rating is a rating of educator practice and a Student Impact Rating is a rating of educator impact on student learning, growth, and/or achievement. These two ratings are independ</w:t>
      </w:r>
      <w:r>
        <w:rPr>
          <w:szCs w:val="24"/>
        </w:rPr>
        <w:t>ent, but intersect to provide ed</w:t>
      </w:r>
      <w:r w:rsidRPr="00A34735">
        <w:rPr>
          <w:szCs w:val="24"/>
        </w:rPr>
        <w:t xml:space="preserve">ucators and evaluators with a more complete picture of educator effectiveness (see Figure </w:t>
      </w:r>
      <w:r>
        <w:rPr>
          <w:szCs w:val="24"/>
        </w:rPr>
        <w:t>1</w:t>
      </w:r>
      <w:r w:rsidRPr="00A34735">
        <w:rPr>
          <w:szCs w:val="24"/>
        </w:rPr>
        <w:t>).</w:t>
      </w:r>
    </w:p>
    <w:p w14:paraId="46995C50" w14:textId="77777777" w:rsidR="000F2A07" w:rsidRPr="00A34735" w:rsidRDefault="000F2A07" w:rsidP="000F2A07">
      <w:pPr>
        <w:spacing w:before="120"/>
        <w:rPr>
          <w:szCs w:val="24"/>
        </w:rPr>
      </w:pPr>
    </w:p>
    <w:p w14:paraId="46995C51" w14:textId="77777777" w:rsidR="000F2A07" w:rsidRPr="00A34735" w:rsidRDefault="000F2A07" w:rsidP="000F2A07">
      <w:pPr>
        <w:spacing w:before="120"/>
        <w:rPr>
          <w:szCs w:val="24"/>
        </w:rPr>
      </w:pPr>
      <w:r w:rsidRPr="00A34735">
        <w:rPr>
          <w:szCs w:val="24"/>
        </w:rPr>
        <w:t xml:space="preserve">Figure </w:t>
      </w:r>
      <w:r>
        <w:rPr>
          <w:szCs w:val="24"/>
        </w:rPr>
        <w:t>1:</w:t>
      </w:r>
      <w:r w:rsidRPr="00A34735">
        <w:rPr>
          <w:szCs w:val="24"/>
        </w:rPr>
        <w:t xml:space="preserve"> Intersection of Summative Performance and Student Impact Ratings</w:t>
      </w:r>
    </w:p>
    <w:tbl>
      <w:tblPr>
        <w:tblpPr w:leftFromText="180" w:rightFromText="180" w:vertAnchor="text" w:horzAnchor="margin" w:tblpXSpec="center" w:tblpY="94"/>
        <w:tblW w:w="7304" w:type="dxa"/>
        <w:tblLayout w:type="fixed"/>
        <w:tblCellMar>
          <w:left w:w="0" w:type="dxa"/>
          <w:right w:w="0" w:type="dxa"/>
        </w:tblCellMar>
        <w:tblLook w:val="04A0" w:firstRow="1" w:lastRow="0" w:firstColumn="1" w:lastColumn="0" w:noHBand="0" w:noVBand="1"/>
      </w:tblPr>
      <w:tblGrid>
        <w:gridCol w:w="1134"/>
        <w:gridCol w:w="1733"/>
        <w:gridCol w:w="1456"/>
        <w:gridCol w:w="23"/>
        <w:gridCol w:w="1479"/>
        <w:gridCol w:w="1479"/>
      </w:tblGrid>
      <w:tr w:rsidR="000F2A07" w:rsidRPr="00A34735" w14:paraId="46995C56" w14:textId="77777777" w:rsidTr="005D5B08">
        <w:trPr>
          <w:cantSplit/>
          <w:trHeight w:val="120"/>
        </w:trPr>
        <w:tc>
          <w:tcPr>
            <w:tcW w:w="1134" w:type="dxa"/>
            <w:vMerge w:val="restart"/>
            <w:tcBorders>
              <w:top w:val="single" w:sz="8" w:space="0" w:color="0D1969"/>
              <w:left w:val="single" w:sz="8" w:space="0" w:color="0D1969"/>
              <w:bottom w:val="single" w:sz="8" w:space="0" w:color="0D1969"/>
              <w:right w:val="single" w:sz="8" w:space="0" w:color="0D1969"/>
            </w:tcBorders>
            <w:shd w:val="clear" w:color="auto" w:fill="F79646"/>
            <w:tcMar>
              <w:top w:w="72" w:type="dxa"/>
              <w:left w:w="144" w:type="dxa"/>
              <w:bottom w:w="72" w:type="dxa"/>
              <w:right w:w="144" w:type="dxa"/>
            </w:tcMar>
            <w:textDirection w:val="btLr"/>
            <w:vAlign w:val="center"/>
            <w:hideMark/>
          </w:tcPr>
          <w:p w14:paraId="46995C52" w14:textId="77777777" w:rsidR="000F2A07" w:rsidRPr="00A34735" w:rsidRDefault="000F2A07" w:rsidP="008D4D34">
            <w:pPr>
              <w:pStyle w:val="Heading1"/>
              <w:rPr>
                <w:color w:val="FFFFFF"/>
                <w:szCs w:val="24"/>
              </w:rPr>
            </w:pPr>
            <w:r w:rsidRPr="00A34735">
              <w:rPr>
                <w:color w:val="FFFFFF"/>
                <w:szCs w:val="24"/>
              </w:rPr>
              <w:t>Performance Rating</w:t>
            </w:r>
          </w:p>
        </w:tc>
        <w:tc>
          <w:tcPr>
            <w:tcW w:w="1733" w:type="dxa"/>
            <w:tcBorders>
              <w:top w:val="single" w:sz="8" w:space="0" w:color="0D1969"/>
              <w:left w:val="single" w:sz="8" w:space="0" w:color="0D1969"/>
              <w:bottom w:val="single" w:sz="8" w:space="0" w:color="0D1969"/>
              <w:right w:val="single" w:sz="8" w:space="0" w:color="0D1969"/>
            </w:tcBorders>
            <w:shd w:val="clear" w:color="auto" w:fill="FFFFFF"/>
            <w:tcMar>
              <w:top w:w="72" w:type="dxa"/>
              <w:left w:w="144" w:type="dxa"/>
              <w:bottom w:w="72" w:type="dxa"/>
              <w:right w:w="144" w:type="dxa"/>
            </w:tcMar>
            <w:vAlign w:val="center"/>
            <w:hideMark/>
          </w:tcPr>
          <w:p w14:paraId="46995C53" w14:textId="77777777" w:rsidR="000F2A07" w:rsidRPr="00A34735" w:rsidRDefault="000F2A07" w:rsidP="008D4D34">
            <w:pPr>
              <w:pStyle w:val="Heading1"/>
              <w:rPr>
                <w:b w:val="0"/>
                <w:szCs w:val="24"/>
              </w:rPr>
            </w:pPr>
            <w:r w:rsidRPr="00A34735">
              <w:rPr>
                <w:b w:val="0"/>
                <w:szCs w:val="24"/>
              </w:rPr>
              <w:t xml:space="preserve">Exemplary </w:t>
            </w:r>
          </w:p>
        </w:tc>
        <w:tc>
          <w:tcPr>
            <w:tcW w:w="1456" w:type="dxa"/>
            <w:vMerge w:val="restart"/>
            <w:tcBorders>
              <w:top w:val="single" w:sz="8" w:space="0" w:color="0D1969"/>
              <w:left w:val="single" w:sz="8" w:space="0" w:color="0D1969"/>
              <w:bottom w:val="single" w:sz="8" w:space="0" w:color="0D1969"/>
              <w:right w:val="single" w:sz="8" w:space="0" w:color="0D1969"/>
            </w:tcBorders>
            <w:shd w:val="clear" w:color="auto" w:fill="B6F692"/>
            <w:tcMar>
              <w:top w:w="72" w:type="dxa"/>
              <w:left w:w="144" w:type="dxa"/>
              <w:bottom w:w="72" w:type="dxa"/>
              <w:right w:w="144" w:type="dxa"/>
            </w:tcMar>
            <w:vAlign w:val="center"/>
            <w:hideMark/>
          </w:tcPr>
          <w:p w14:paraId="46995C54" w14:textId="77777777" w:rsidR="000F2A07" w:rsidRPr="00A34735" w:rsidRDefault="000F2A07" w:rsidP="008D4D34">
            <w:pPr>
              <w:pStyle w:val="Heading1"/>
              <w:rPr>
                <w:b w:val="0"/>
                <w:szCs w:val="24"/>
              </w:rPr>
            </w:pPr>
            <w:r w:rsidRPr="00A34735">
              <w:rPr>
                <w:b w:val="0"/>
                <w:szCs w:val="24"/>
              </w:rPr>
              <w:t>1-yr                  Self-Directed Growth Plan</w:t>
            </w:r>
          </w:p>
        </w:tc>
        <w:tc>
          <w:tcPr>
            <w:tcW w:w="2981" w:type="dxa"/>
            <w:gridSpan w:val="3"/>
            <w:vMerge w:val="restart"/>
            <w:tcBorders>
              <w:top w:val="single" w:sz="8" w:space="0" w:color="0D1969"/>
              <w:left w:val="single" w:sz="8" w:space="0" w:color="0D1969"/>
              <w:bottom w:val="single" w:sz="8" w:space="0" w:color="0D1969"/>
              <w:right w:val="single" w:sz="8" w:space="0" w:color="0D1969"/>
            </w:tcBorders>
            <w:shd w:val="clear" w:color="auto" w:fill="00B050"/>
            <w:tcMar>
              <w:top w:w="72" w:type="dxa"/>
              <w:left w:w="144" w:type="dxa"/>
              <w:bottom w:w="72" w:type="dxa"/>
              <w:right w:w="144" w:type="dxa"/>
            </w:tcMar>
            <w:vAlign w:val="center"/>
            <w:hideMark/>
          </w:tcPr>
          <w:p w14:paraId="46995C55" w14:textId="77777777" w:rsidR="000F2A07" w:rsidRPr="00A34735" w:rsidRDefault="000F2A07" w:rsidP="008D4D34">
            <w:pPr>
              <w:pStyle w:val="Heading1"/>
              <w:rPr>
                <w:b w:val="0"/>
                <w:szCs w:val="24"/>
              </w:rPr>
            </w:pPr>
            <w:r w:rsidRPr="00A34735">
              <w:rPr>
                <w:b w:val="0"/>
                <w:szCs w:val="24"/>
              </w:rPr>
              <w:t>2-yr                                                Self-Directed                           Growth Plan</w:t>
            </w:r>
          </w:p>
        </w:tc>
      </w:tr>
      <w:tr w:rsidR="000F2A07" w:rsidRPr="00A34735" w14:paraId="46995C5B" w14:textId="77777777" w:rsidTr="005D5B08">
        <w:trPr>
          <w:trHeight w:val="120"/>
        </w:trPr>
        <w:tc>
          <w:tcPr>
            <w:tcW w:w="1134" w:type="dxa"/>
            <w:vMerge/>
            <w:tcBorders>
              <w:top w:val="single" w:sz="8" w:space="0" w:color="0D1969"/>
              <w:left w:val="single" w:sz="8" w:space="0" w:color="0D1969"/>
              <w:bottom w:val="single" w:sz="8" w:space="0" w:color="0D1969"/>
              <w:right w:val="single" w:sz="8" w:space="0" w:color="0D1969"/>
            </w:tcBorders>
            <w:shd w:val="clear" w:color="auto" w:fill="F79646"/>
            <w:vAlign w:val="center"/>
            <w:hideMark/>
          </w:tcPr>
          <w:p w14:paraId="46995C57" w14:textId="77777777" w:rsidR="000F2A07" w:rsidRPr="00A34735" w:rsidRDefault="000F2A07" w:rsidP="008D4D34">
            <w:pPr>
              <w:pStyle w:val="Heading1"/>
              <w:rPr>
                <w:szCs w:val="24"/>
              </w:rPr>
            </w:pPr>
          </w:p>
        </w:tc>
        <w:tc>
          <w:tcPr>
            <w:tcW w:w="1733" w:type="dxa"/>
            <w:tcBorders>
              <w:top w:val="single" w:sz="8" w:space="0" w:color="0D1969"/>
              <w:left w:val="single" w:sz="8" w:space="0" w:color="0D1969"/>
              <w:bottom w:val="single" w:sz="8" w:space="0" w:color="0D1969"/>
              <w:right w:val="single" w:sz="8" w:space="0" w:color="0D1969"/>
            </w:tcBorders>
            <w:shd w:val="clear" w:color="auto" w:fill="FFFFFF"/>
            <w:tcMar>
              <w:top w:w="72" w:type="dxa"/>
              <w:left w:w="144" w:type="dxa"/>
              <w:bottom w:w="72" w:type="dxa"/>
              <w:right w:w="144" w:type="dxa"/>
            </w:tcMar>
            <w:vAlign w:val="center"/>
            <w:hideMark/>
          </w:tcPr>
          <w:p w14:paraId="46995C58" w14:textId="77777777" w:rsidR="000F2A07" w:rsidRPr="00A34735" w:rsidRDefault="000F2A07" w:rsidP="008D4D34">
            <w:pPr>
              <w:pStyle w:val="Heading1"/>
              <w:rPr>
                <w:b w:val="0"/>
                <w:szCs w:val="24"/>
              </w:rPr>
            </w:pPr>
            <w:r w:rsidRPr="00A34735">
              <w:rPr>
                <w:b w:val="0"/>
                <w:szCs w:val="24"/>
              </w:rPr>
              <w:t xml:space="preserve">Proficient </w:t>
            </w:r>
          </w:p>
        </w:tc>
        <w:tc>
          <w:tcPr>
            <w:tcW w:w="1456" w:type="dxa"/>
            <w:vMerge/>
            <w:tcBorders>
              <w:top w:val="single" w:sz="8" w:space="0" w:color="0D1969"/>
              <w:left w:val="single" w:sz="8" w:space="0" w:color="0D1969"/>
              <w:bottom w:val="single" w:sz="8" w:space="0" w:color="0D1969"/>
              <w:right w:val="single" w:sz="8" w:space="0" w:color="0D1969"/>
            </w:tcBorders>
            <w:shd w:val="clear" w:color="auto" w:fill="B6F692"/>
            <w:vAlign w:val="center"/>
            <w:hideMark/>
          </w:tcPr>
          <w:p w14:paraId="46995C59" w14:textId="77777777" w:rsidR="000F2A07" w:rsidRPr="00A34735" w:rsidRDefault="000F2A07" w:rsidP="008D4D34">
            <w:pPr>
              <w:pStyle w:val="Heading1"/>
              <w:rPr>
                <w:szCs w:val="24"/>
              </w:rPr>
            </w:pPr>
          </w:p>
        </w:tc>
        <w:tc>
          <w:tcPr>
            <w:tcW w:w="2981" w:type="dxa"/>
            <w:gridSpan w:val="3"/>
            <w:vMerge/>
            <w:tcBorders>
              <w:top w:val="single" w:sz="8" w:space="0" w:color="0D1969"/>
              <w:left w:val="single" w:sz="8" w:space="0" w:color="0D1969"/>
              <w:bottom w:val="single" w:sz="8" w:space="0" w:color="0D1969"/>
              <w:right w:val="single" w:sz="8" w:space="0" w:color="0D1969"/>
            </w:tcBorders>
            <w:shd w:val="clear" w:color="auto" w:fill="00B050"/>
            <w:vAlign w:val="center"/>
            <w:hideMark/>
          </w:tcPr>
          <w:p w14:paraId="46995C5A" w14:textId="77777777" w:rsidR="000F2A07" w:rsidRPr="00A34735" w:rsidRDefault="000F2A07" w:rsidP="008D4D34">
            <w:pPr>
              <w:pStyle w:val="Heading1"/>
              <w:rPr>
                <w:b w:val="0"/>
                <w:szCs w:val="24"/>
              </w:rPr>
            </w:pPr>
          </w:p>
        </w:tc>
      </w:tr>
      <w:tr w:rsidR="000F2A07" w:rsidRPr="00A34735" w14:paraId="46995C5F" w14:textId="77777777" w:rsidTr="005D5B08">
        <w:trPr>
          <w:trHeight w:val="120"/>
        </w:trPr>
        <w:tc>
          <w:tcPr>
            <w:tcW w:w="1134" w:type="dxa"/>
            <w:vMerge/>
            <w:tcBorders>
              <w:top w:val="single" w:sz="8" w:space="0" w:color="0D1969"/>
              <w:left w:val="single" w:sz="8" w:space="0" w:color="0D1969"/>
              <w:bottom w:val="single" w:sz="8" w:space="0" w:color="0D1969"/>
              <w:right w:val="single" w:sz="8" w:space="0" w:color="0D1969"/>
            </w:tcBorders>
            <w:shd w:val="clear" w:color="auto" w:fill="F79646"/>
            <w:vAlign w:val="center"/>
            <w:hideMark/>
          </w:tcPr>
          <w:p w14:paraId="46995C5C" w14:textId="77777777" w:rsidR="000F2A07" w:rsidRPr="00A34735" w:rsidRDefault="000F2A07" w:rsidP="008D4D34">
            <w:pPr>
              <w:pStyle w:val="Heading1"/>
              <w:rPr>
                <w:szCs w:val="24"/>
              </w:rPr>
            </w:pPr>
          </w:p>
        </w:tc>
        <w:tc>
          <w:tcPr>
            <w:tcW w:w="1733" w:type="dxa"/>
            <w:tcBorders>
              <w:top w:val="single" w:sz="8" w:space="0" w:color="0D1969"/>
              <w:left w:val="single" w:sz="8" w:space="0" w:color="0D1969"/>
              <w:bottom w:val="single" w:sz="8" w:space="0" w:color="0D1969"/>
              <w:right w:val="single" w:sz="8" w:space="0" w:color="0D1969"/>
            </w:tcBorders>
            <w:shd w:val="clear" w:color="auto" w:fill="FFFFFF"/>
            <w:tcMar>
              <w:top w:w="72" w:type="dxa"/>
              <w:left w:w="144" w:type="dxa"/>
              <w:bottom w:w="72" w:type="dxa"/>
              <w:right w:w="144" w:type="dxa"/>
            </w:tcMar>
            <w:vAlign w:val="center"/>
            <w:hideMark/>
          </w:tcPr>
          <w:p w14:paraId="46995C5D" w14:textId="77777777" w:rsidR="000F2A07" w:rsidRPr="00A34735" w:rsidRDefault="000F2A07" w:rsidP="008D4D34">
            <w:pPr>
              <w:pStyle w:val="Heading1"/>
              <w:rPr>
                <w:b w:val="0"/>
                <w:szCs w:val="24"/>
              </w:rPr>
            </w:pPr>
            <w:r w:rsidRPr="00A34735">
              <w:rPr>
                <w:b w:val="0"/>
                <w:szCs w:val="24"/>
              </w:rPr>
              <w:t xml:space="preserve">Needs Improvement </w:t>
            </w:r>
          </w:p>
        </w:tc>
        <w:tc>
          <w:tcPr>
            <w:tcW w:w="4437" w:type="dxa"/>
            <w:gridSpan w:val="4"/>
            <w:tcBorders>
              <w:top w:val="single" w:sz="8" w:space="0" w:color="0D1969"/>
              <w:left w:val="single" w:sz="8" w:space="0" w:color="0D1969"/>
              <w:bottom w:val="single" w:sz="8" w:space="0" w:color="0D1969"/>
              <w:right w:val="single" w:sz="8" w:space="0" w:color="0D1969"/>
            </w:tcBorders>
            <w:shd w:val="clear" w:color="auto" w:fill="FFFF00"/>
            <w:tcMar>
              <w:top w:w="72" w:type="dxa"/>
              <w:left w:w="144" w:type="dxa"/>
              <w:bottom w:w="72" w:type="dxa"/>
              <w:right w:w="144" w:type="dxa"/>
            </w:tcMar>
            <w:vAlign w:val="center"/>
            <w:hideMark/>
          </w:tcPr>
          <w:p w14:paraId="46995C5E" w14:textId="77777777" w:rsidR="000F2A07" w:rsidRPr="00A34735" w:rsidRDefault="000F2A07" w:rsidP="008D4D34">
            <w:pPr>
              <w:pStyle w:val="Heading1"/>
              <w:rPr>
                <w:b w:val="0"/>
                <w:szCs w:val="24"/>
              </w:rPr>
            </w:pPr>
            <w:r w:rsidRPr="00A34735">
              <w:rPr>
                <w:b w:val="0"/>
                <w:szCs w:val="24"/>
              </w:rPr>
              <w:t>Directed Growth Plan</w:t>
            </w:r>
          </w:p>
        </w:tc>
      </w:tr>
      <w:tr w:rsidR="000F2A07" w:rsidRPr="00A34735" w14:paraId="46995C63" w14:textId="77777777" w:rsidTr="005D5B08">
        <w:trPr>
          <w:trHeight w:val="120"/>
        </w:trPr>
        <w:tc>
          <w:tcPr>
            <w:tcW w:w="1134" w:type="dxa"/>
            <w:vMerge/>
            <w:tcBorders>
              <w:top w:val="single" w:sz="8" w:space="0" w:color="0D1969"/>
              <w:left w:val="single" w:sz="8" w:space="0" w:color="0D1969"/>
              <w:bottom w:val="single" w:sz="8" w:space="0" w:color="0D1969"/>
              <w:right w:val="single" w:sz="8" w:space="0" w:color="0D1969"/>
            </w:tcBorders>
            <w:shd w:val="clear" w:color="auto" w:fill="F79646"/>
            <w:vAlign w:val="center"/>
            <w:hideMark/>
          </w:tcPr>
          <w:p w14:paraId="46995C60" w14:textId="77777777" w:rsidR="000F2A07" w:rsidRPr="00A34735" w:rsidRDefault="000F2A07" w:rsidP="008D4D34">
            <w:pPr>
              <w:pStyle w:val="Heading1"/>
              <w:rPr>
                <w:szCs w:val="24"/>
              </w:rPr>
            </w:pPr>
          </w:p>
        </w:tc>
        <w:tc>
          <w:tcPr>
            <w:tcW w:w="1733" w:type="dxa"/>
            <w:tcBorders>
              <w:top w:val="single" w:sz="8" w:space="0" w:color="0D1969"/>
              <w:left w:val="single" w:sz="8" w:space="0" w:color="0D1969"/>
              <w:bottom w:val="single" w:sz="8" w:space="0" w:color="0D1969"/>
              <w:right w:val="single" w:sz="8" w:space="0" w:color="0D1969"/>
            </w:tcBorders>
            <w:shd w:val="clear" w:color="auto" w:fill="FFFFFF"/>
            <w:tcMar>
              <w:top w:w="72" w:type="dxa"/>
              <w:left w:w="144" w:type="dxa"/>
              <w:bottom w:w="72" w:type="dxa"/>
              <w:right w:w="144" w:type="dxa"/>
            </w:tcMar>
            <w:vAlign w:val="center"/>
            <w:hideMark/>
          </w:tcPr>
          <w:p w14:paraId="46995C61" w14:textId="77777777" w:rsidR="000F2A07" w:rsidRPr="00A34735" w:rsidRDefault="000F2A07" w:rsidP="008D4D34">
            <w:pPr>
              <w:pStyle w:val="Heading1"/>
              <w:rPr>
                <w:b w:val="0"/>
                <w:szCs w:val="24"/>
              </w:rPr>
            </w:pPr>
            <w:r w:rsidRPr="00A34735">
              <w:rPr>
                <w:b w:val="0"/>
                <w:szCs w:val="24"/>
              </w:rPr>
              <w:t xml:space="preserve">Unsatisfactory </w:t>
            </w:r>
          </w:p>
        </w:tc>
        <w:tc>
          <w:tcPr>
            <w:tcW w:w="4437" w:type="dxa"/>
            <w:gridSpan w:val="4"/>
            <w:tcBorders>
              <w:top w:val="single" w:sz="8" w:space="0" w:color="0D1969"/>
              <w:left w:val="single" w:sz="8" w:space="0" w:color="0D1969"/>
              <w:bottom w:val="single" w:sz="8" w:space="0" w:color="0D1969"/>
              <w:right w:val="single" w:sz="8" w:space="0" w:color="0D1969"/>
            </w:tcBorders>
            <w:shd w:val="clear" w:color="auto" w:fill="FF0000"/>
            <w:tcMar>
              <w:top w:w="72" w:type="dxa"/>
              <w:left w:w="144" w:type="dxa"/>
              <w:bottom w:w="72" w:type="dxa"/>
              <w:right w:w="144" w:type="dxa"/>
            </w:tcMar>
            <w:vAlign w:val="center"/>
            <w:hideMark/>
          </w:tcPr>
          <w:p w14:paraId="46995C62" w14:textId="77777777" w:rsidR="000F2A07" w:rsidRPr="00A34735" w:rsidRDefault="000F2A07" w:rsidP="008D4D34">
            <w:pPr>
              <w:pStyle w:val="Heading1"/>
              <w:rPr>
                <w:b w:val="0"/>
                <w:szCs w:val="24"/>
              </w:rPr>
            </w:pPr>
            <w:r w:rsidRPr="00A34735">
              <w:rPr>
                <w:b w:val="0"/>
                <w:szCs w:val="24"/>
              </w:rPr>
              <w:t>Improvement Plan</w:t>
            </w:r>
          </w:p>
        </w:tc>
      </w:tr>
      <w:tr w:rsidR="000F2A07" w:rsidRPr="00A34735" w14:paraId="46995C68" w14:textId="77777777" w:rsidTr="005D5B08">
        <w:trPr>
          <w:trHeight w:val="117"/>
        </w:trPr>
        <w:tc>
          <w:tcPr>
            <w:tcW w:w="2867" w:type="dxa"/>
            <w:gridSpan w:val="2"/>
            <w:vMerge w:val="restart"/>
            <w:tcBorders>
              <w:top w:val="single" w:sz="8" w:space="0" w:color="0D1969"/>
              <w:right w:val="single" w:sz="8" w:space="0" w:color="0D1969"/>
            </w:tcBorders>
            <w:shd w:val="clear" w:color="auto" w:fill="auto"/>
            <w:tcMar>
              <w:top w:w="72" w:type="dxa"/>
              <w:left w:w="144" w:type="dxa"/>
              <w:bottom w:w="72" w:type="dxa"/>
              <w:right w:w="144" w:type="dxa"/>
            </w:tcMar>
            <w:hideMark/>
          </w:tcPr>
          <w:p w14:paraId="46995C64" w14:textId="77777777" w:rsidR="000F2A07" w:rsidRPr="00A34735" w:rsidRDefault="000F2A07" w:rsidP="008D4D34">
            <w:pPr>
              <w:pStyle w:val="Heading1"/>
              <w:rPr>
                <w:szCs w:val="24"/>
              </w:rPr>
            </w:pPr>
          </w:p>
        </w:tc>
        <w:tc>
          <w:tcPr>
            <w:tcW w:w="1479" w:type="dxa"/>
            <w:gridSpan w:val="2"/>
            <w:tcBorders>
              <w:top w:val="single" w:sz="8" w:space="0" w:color="0D1969"/>
              <w:left w:val="single" w:sz="8" w:space="0" w:color="0D1969"/>
              <w:bottom w:val="single" w:sz="8" w:space="0" w:color="0D1969"/>
              <w:right w:val="single" w:sz="8" w:space="0" w:color="0D1969"/>
            </w:tcBorders>
            <w:shd w:val="clear" w:color="auto" w:fill="auto"/>
            <w:tcMar>
              <w:top w:w="72" w:type="dxa"/>
              <w:left w:w="144" w:type="dxa"/>
              <w:bottom w:w="72" w:type="dxa"/>
              <w:right w:w="144" w:type="dxa"/>
            </w:tcMar>
            <w:vAlign w:val="center"/>
            <w:hideMark/>
          </w:tcPr>
          <w:p w14:paraId="46995C65" w14:textId="77777777" w:rsidR="000F2A07" w:rsidRPr="00A34735" w:rsidRDefault="000F2A07" w:rsidP="008D4D34">
            <w:pPr>
              <w:pStyle w:val="Heading1"/>
              <w:rPr>
                <w:b w:val="0"/>
                <w:szCs w:val="24"/>
              </w:rPr>
            </w:pPr>
            <w:r w:rsidRPr="00A34735">
              <w:rPr>
                <w:b w:val="0"/>
                <w:szCs w:val="24"/>
              </w:rPr>
              <w:t>Low</w:t>
            </w:r>
          </w:p>
        </w:tc>
        <w:tc>
          <w:tcPr>
            <w:tcW w:w="1479" w:type="dxa"/>
            <w:tcBorders>
              <w:top w:val="single" w:sz="8" w:space="0" w:color="0D1969"/>
              <w:left w:val="single" w:sz="8" w:space="0" w:color="0D1969"/>
              <w:bottom w:val="single" w:sz="8" w:space="0" w:color="0D1969"/>
              <w:right w:val="single" w:sz="8" w:space="0" w:color="0D1969"/>
            </w:tcBorders>
            <w:shd w:val="clear" w:color="auto" w:fill="auto"/>
            <w:tcMar>
              <w:top w:w="72" w:type="dxa"/>
              <w:left w:w="144" w:type="dxa"/>
              <w:bottom w:w="72" w:type="dxa"/>
              <w:right w:w="144" w:type="dxa"/>
            </w:tcMar>
            <w:vAlign w:val="center"/>
            <w:hideMark/>
          </w:tcPr>
          <w:p w14:paraId="46995C66" w14:textId="77777777" w:rsidR="000F2A07" w:rsidRPr="00A34735" w:rsidRDefault="000F2A07" w:rsidP="008D4D34">
            <w:pPr>
              <w:pStyle w:val="Heading1"/>
              <w:rPr>
                <w:b w:val="0"/>
                <w:szCs w:val="24"/>
              </w:rPr>
            </w:pPr>
            <w:r w:rsidRPr="00A34735">
              <w:rPr>
                <w:b w:val="0"/>
                <w:szCs w:val="24"/>
              </w:rPr>
              <w:t>Moderate</w:t>
            </w:r>
          </w:p>
        </w:tc>
        <w:tc>
          <w:tcPr>
            <w:tcW w:w="1479" w:type="dxa"/>
            <w:tcBorders>
              <w:top w:val="single" w:sz="8" w:space="0" w:color="0D1969"/>
              <w:left w:val="single" w:sz="8" w:space="0" w:color="0D1969"/>
              <w:bottom w:val="single" w:sz="8" w:space="0" w:color="0D1969"/>
              <w:right w:val="single" w:sz="8" w:space="0" w:color="0D1969"/>
            </w:tcBorders>
            <w:shd w:val="clear" w:color="auto" w:fill="auto"/>
            <w:tcMar>
              <w:top w:w="72" w:type="dxa"/>
              <w:left w:w="144" w:type="dxa"/>
              <w:bottom w:w="72" w:type="dxa"/>
              <w:right w:w="144" w:type="dxa"/>
            </w:tcMar>
            <w:vAlign w:val="center"/>
            <w:hideMark/>
          </w:tcPr>
          <w:p w14:paraId="46995C67" w14:textId="77777777" w:rsidR="000F2A07" w:rsidRPr="00A34735" w:rsidRDefault="000F2A07" w:rsidP="008D4D34">
            <w:pPr>
              <w:pStyle w:val="Heading1"/>
              <w:rPr>
                <w:b w:val="0"/>
                <w:szCs w:val="24"/>
              </w:rPr>
            </w:pPr>
            <w:r w:rsidRPr="00A34735">
              <w:rPr>
                <w:b w:val="0"/>
                <w:szCs w:val="24"/>
              </w:rPr>
              <w:t>High</w:t>
            </w:r>
          </w:p>
        </w:tc>
      </w:tr>
      <w:tr w:rsidR="000F2A07" w:rsidRPr="00A34735" w14:paraId="46995C6B" w14:textId="77777777" w:rsidTr="005D5B08">
        <w:trPr>
          <w:trHeight w:val="77"/>
        </w:trPr>
        <w:tc>
          <w:tcPr>
            <w:tcW w:w="2867" w:type="dxa"/>
            <w:gridSpan w:val="2"/>
            <w:vMerge/>
            <w:tcBorders>
              <w:top w:val="single" w:sz="8" w:space="0" w:color="0D1969"/>
              <w:right w:val="single" w:sz="8" w:space="0" w:color="0D1969"/>
            </w:tcBorders>
            <w:vAlign w:val="center"/>
            <w:hideMark/>
          </w:tcPr>
          <w:p w14:paraId="46995C69" w14:textId="77777777" w:rsidR="000F2A07" w:rsidRPr="00A34735" w:rsidRDefault="000F2A07" w:rsidP="008D4D34">
            <w:pPr>
              <w:pStyle w:val="Heading1"/>
              <w:rPr>
                <w:szCs w:val="24"/>
              </w:rPr>
            </w:pPr>
          </w:p>
        </w:tc>
        <w:tc>
          <w:tcPr>
            <w:tcW w:w="4437" w:type="dxa"/>
            <w:gridSpan w:val="4"/>
            <w:tcBorders>
              <w:top w:val="single" w:sz="8" w:space="0" w:color="0D1969"/>
              <w:left w:val="single" w:sz="8" w:space="0" w:color="0D1969"/>
              <w:bottom w:val="single" w:sz="8" w:space="0" w:color="0D1969"/>
              <w:right w:val="single" w:sz="8" w:space="0" w:color="0D1969"/>
            </w:tcBorders>
            <w:shd w:val="clear" w:color="auto" w:fill="4F81BD"/>
            <w:tcMar>
              <w:top w:w="72" w:type="dxa"/>
              <w:left w:w="144" w:type="dxa"/>
              <w:bottom w:w="72" w:type="dxa"/>
              <w:right w:w="144" w:type="dxa"/>
            </w:tcMar>
            <w:vAlign w:val="center"/>
            <w:hideMark/>
          </w:tcPr>
          <w:p w14:paraId="46995C6A" w14:textId="77777777" w:rsidR="000F2A07" w:rsidRPr="00A34735" w:rsidRDefault="000F2A07" w:rsidP="008D4D34">
            <w:pPr>
              <w:pStyle w:val="Heading1"/>
              <w:rPr>
                <w:color w:val="FFFFFF"/>
                <w:szCs w:val="24"/>
              </w:rPr>
            </w:pPr>
            <w:r w:rsidRPr="00A34735">
              <w:rPr>
                <w:color w:val="FFFFFF"/>
                <w:szCs w:val="24"/>
              </w:rPr>
              <w:t>Impact Rating</w:t>
            </w:r>
          </w:p>
        </w:tc>
      </w:tr>
    </w:tbl>
    <w:p w14:paraId="46995C6C" w14:textId="77777777" w:rsidR="000F2A07" w:rsidRPr="00A34735" w:rsidRDefault="000F2A07" w:rsidP="000F2A07">
      <w:pPr>
        <w:rPr>
          <w:szCs w:val="24"/>
        </w:rPr>
      </w:pPr>
    </w:p>
    <w:p w14:paraId="46995C6D" w14:textId="77777777" w:rsidR="000F2A07" w:rsidRPr="00A34735" w:rsidRDefault="000F2A07" w:rsidP="000F2A07">
      <w:pPr>
        <w:spacing w:after="120"/>
        <w:rPr>
          <w:b/>
          <w:szCs w:val="24"/>
        </w:rPr>
      </w:pPr>
    </w:p>
    <w:p w14:paraId="46995C6E" w14:textId="77777777" w:rsidR="000F2A07" w:rsidRPr="00A34735" w:rsidRDefault="000F2A07" w:rsidP="000F2A07">
      <w:pPr>
        <w:rPr>
          <w:b/>
          <w:szCs w:val="24"/>
        </w:rPr>
      </w:pPr>
    </w:p>
    <w:p w14:paraId="46995C6F" w14:textId="77777777" w:rsidR="000F2A07" w:rsidRPr="00A34735" w:rsidRDefault="000F2A07" w:rsidP="000F2A07">
      <w:pPr>
        <w:rPr>
          <w:b/>
          <w:szCs w:val="24"/>
        </w:rPr>
      </w:pPr>
    </w:p>
    <w:p w14:paraId="46995C70" w14:textId="77777777" w:rsidR="000F2A07" w:rsidRPr="00A34735" w:rsidRDefault="000F2A07" w:rsidP="000F2A07">
      <w:pPr>
        <w:rPr>
          <w:b/>
          <w:szCs w:val="24"/>
        </w:rPr>
      </w:pPr>
    </w:p>
    <w:p w14:paraId="46995C71" w14:textId="77777777" w:rsidR="000F2A07" w:rsidRPr="00A34735" w:rsidRDefault="000F2A07" w:rsidP="000F2A07">
      <w:pPr>
        <w:rPr>
          <w:b/>
          <w:szCs w:val="24"/>
        </w:rPr>
      </w:pPr>
    </w:p>
    <w:p w14:paraId="46995C72" w14:textId="77777777" w:rsidR="000F2A07" w:rsidRPr="00A34735" w:rsidRDefault="000F2A07" w:rsidP="000F2A07">
      <w:pPr>
        <w:rPr>
          <w:b/>
          <w:szCs w:val="24"/>
        </w:rPr>
      </w:pPr>
    </w:p>
    <w:p w14:paraId="46995C73" w14:textId="77777777" w:rsidR="000F2A07" w:rsidRPr="00A34735" w:rsidRDefault="000F2A07" w:rsidP="000F2A07">
      <w:pPr>
        <w:rPr>
          <w:b/>
          <w:szCs w:val="24"/>
        </w:rPr>
      </w:pPr>
    </w:p>
    <w:p w14:paraId="46995C74" w14:textId="77777777" w:rsidR="000F2A07" w:rsidRPr="00A34735" w:rsidRDefault="000F2A07" w:rsidP="000F2A07">
      <w:pPr>
        <w:rPr>
          <w:b/>
          <w:szCs w:val="24"/>
        </w:rPr>
      </w:pPr>
    </w:p>
    <w:p w14:paraId="46995C75" w14:textId="77777777" w:rsidR="000F2A07" w:rsidRPr="00A34735" w:rsidRDefault="000F2A07" w:rsidP="000F2A07">
      <w:pPr>
        <w:rPr>
          <w:szCs w:val="24"/>
        </w:rPr>
      </w:pPr>
    </w:p>
    <w:p w14:paraId="46995C76" w14:textId="77777777" w:rsidR="000F2A07" w:rsidRDefault="000F2A07" w:rsidP="000F2A07">
      <w:pPr>
        <w:rPr>
          <w:szCs w:val="24"/>
        </w:rPr>
      </w:pPr>
    </w:p>
    <w:p w14:paraId="46995C77" w14:textId="77777777" w:rsidR="000F2A07" w:rsidRDefault="000F2A07" w:rsidP="000F2A07">
      <w:pPr>
        <w:rPr>
          <w:szCs w:val="24"/>
        </w:rPr>
      </w:pPr>
    </w:p>
    <w:p w14:paraId="46995C78" w14:textId="77777777" w:rsidR="000F2A07" w:rsidRDefault="000F2A07" w:rsidP="000F2A07">
      <w:pPr>
        <w:rPr>
          <w:szCs w:val="24"/>
        </w:rPr>
      </w:pPr>
    </w:p>
    <w:p w14:paraId="46995C79" w14:textId="77777777" w:rsidR="000F2A07" w:rsidRDefault="000F2A07" w:rsidP="000F2A07">
      <w:pPr>
        <w:rPr>
          <w:szCs w:val="24"/>
        </w:rPr>
      </w:pPr>
    </w:p>
    <w:p w14:paraId="46995C7A" w14:textId="77777777" w:rsidR="000F2A07" w:rsidRDefault="000F2A07" w:rsidP="000F2A07">
      <w:pPr>
        <w:rPr>
          <w:szCs w:val="24"/>
        </w:rPr>
      </w:pPr>
    </w:p>
    <w:p w14:paraId="46995C7B" w14:textId="77777777" w:rsidR="000F2A07" w:rsidRPr="00A34735" w:rsidRDefault="000F2A07" w:rsidP="000F2A07">
      <w:pPr>
        <w:rPr>
          <w:szCs w:val="24"/>
        </w:rPr>
      </w:pPr>
      <w:r w:rsidRPr="00A34735">
        <w:rPr>
          <w:szCs w:val="24"/>
        </w:rPr>
        <w:t xml:space="preserve">This intersection results in a number of opportunities for educator growth and development.   </w:t>
      </w:r>
    </w:p>
    <w:p w14:paraId="46995C7C" w14:textId="77777777" w:rsidR="000F2A07" w:rsidRPr="00A34735" w:rsidRDefault="000F2A07" w:rsidP="000F2A07">
      <w:pPr>
        <w:pStyle w:val="ListParagraph"/>
        <w:numPr>
          <w:ilvl w:val="0"/>
          <w:numId w:val="14"/>
        </w:numPr>
        <w:rPr>
          <w:szCs w:val="24"/>
        </w:rPr>
      </w:pPr>
      <w:r w:rsidRPr="00A34735">
        <w:rPr>
          <w:b/>
          <w:szCs w:val="24"/>
        </w:rPr>
        <w:t xml:space="preserve">Type and Length of Plan: </w:t>
      </w:r>
      <w:r w:rsidRPr="00A34735">
        <w:rPr>
          <w:szCs w:val="24"/>
        </w:rPr>
        <w:t xml:space="preserve">The Summative Performance Rating determines the type of plan; the Student Impact Rating has a direct impact on the length of the plan for experienced educators rated </w:t>
      </w:r>
      <w:r w:rsidRPr="00A34735">
        <w:rPr>
          <w:i/>
          <w:szCs w:val="24"/>
        </w:rPr>
        <w:t>proficient</w:t>
      </w:r>
      <w:r w:rsidRPr="00A34735">
        <w:rPr>
          <w:szCs w:val="24"/>
        </w:rPr>
        <w:t xml:space="preserve"> or </w:t>
      </w:r>
      <w:r w:rsidRPr="00A34735">
        <w:rPr>
          <w:i/>
          <w:szCs w:val="24"/>
        </w:rPr>
        <w:t>exemplary</w:t>
      </w:r>
      <w:r w:rsidRPr="00A34735">
        <w:rPr>
          <w:szCs w:val="24"/>
        </w:rPr>
        <w:t xml:space="preserve">. </w:t>
      </w:r>
    </w:p>
    <w:p w14:paraId="46995C7D" w14:textId="77777777" w:rsidR="000F2A07" w:rsidRPr="00A34735" w:rsidRDefault="000F2A07" w:rsidP="000F2A07">
      <w:pPr>
        <w:pStyle w:val="ListParagraph"/>
        <w:numPr>
          <w:ilvl w:val="0"/>
          <w:numId w:val="14"/>
        </w:numPr>
        <w:rPr>
          <w:szCs w:val="24"/>
        </w:rPr>
      </w:pPr>
      <w:r w:rsidRPr="00A34735">
        <w:rPr>
          <w:b/>
          <w:szCs w:val="24"/>
        </w:rPr>
        <w:t>Rewards and Recognition:</w:t>
      </w:r>
      <w:r w:rsidRPr="00A34735">
        <w:rPr>
          <w:szCs w:val="24"/>
        </w:rPr>
        <w:t xml:space="preserve"> The intersection of Summative Performance Ratings of </w:t>
      </w:r>
      <w:r w:rsidRPr="00A34735">
        <w:rPr>
          <w:i/>
          <w:szCs w:val="24"/>
        </w:rPr>
        <w:t>proficient</w:t>
      </w:r>
      <w:r w:rsidRPr="00A34735">
        <w:rPr>
          <w:szCs w:val="24"/>
        </w:rPr>
        <w:t xml:space="preserve"> or </w:t>
      </w:r>
      <w:r w:rsidRPr="00A34735">
        <w:rPr>
          <w:i/>
          <w:szCs w:val="24"/>
        </w:rPr>
        <w:t>exemplary</w:t>
      </w:r>
      <w:r w:rsidRPr="00A34735">
        <w:rPr>
          <w:szCs w:val="24"/>
        </w:rPr>
        <w:t xml:space="preserve"> and Student Impact Ratings of </w:t>
      </w:r>
      <w:r w:rsidRPr="00A34735">
        <w:rPr>
          <w:i/>
          <w:szCs w:val="24"/>
        </w:rPr>
        <w:t>moderate</w:t>
      </w:r>
      <w:r w:rsidRPr="00A34735">
        <w:rPr>
          <w:szCs w:val="24"/>
        </w:rPr>
        <w:t xml:space="preserve"> or </w:t>
      </w:r>
      <w:r w:rsidRPr="00A34735">
        <w:rPr>
          <w:i/>
          <w:szCs w:val="24"/>
        </w:rPr>
        <w:t>high</w:t>
      </w:r>
      <w:r w:rsidRPr="00A34735">
        <w:rPr>
          <w:szCs w:val="24"/>
        </w:rPr>
        <w:t xml:space="preserve"> result in opportunities for educator recognition and reward.</w:t>
      </w:r>
    </w:p>
    <w:p w14:paraId="46995C7E" w14:textId="77777777" w:rsidR="000F2A07" w:rsidRPr="00A34735" w:rsidRDefault="000F2A07" w:rsidP="000F2A07">
      <w:pPr>
        <w:pStyle w:val="ListParagraph"/>
        <w:numPr>
          <w:ilvl w:val="0"/>
          <w:numId w:val="14"/>
        </w:numPr>
        <w:rPr>
          <w:szCs w:val="24"/>
        </w:rPr>
      </w:pPr>
      <w:r w:rsidRPr="00A34735">
        <w:rPr>
          <w:b/>
          <w:szCs w:val="24"/>
        </w:rPr>
        <w:t>Investigating Discrepancies:</w:t>
      </w:r>
      <w:r w:rsidRPr="00A34735">
        <w:rPr>
          <w:szCs w:val="24"/>
        </w:rPr>
        <w:t xml:space="preserve"> A discrepancy between an educator’s two ratings serves as a signal for further exploration between the evaluator and educator.  </w:t>
      </w:r>
    </w:p>
    <w:p w14:paraId="46995C7F" w14:textId="77777777" w:rsidR="000F2A07" w:rsidRPr="00A34735" w:rsidRDefault="000F2A07" w:rsidP="000F2A07">
      <w:pPr>
        <w:rPr>
          <w:szCs w:val="24"/>
        </w:rPr>
        <w:sectPr w:rsidR="000F2A07" w:rsidRPr="00A34735" w:rsidSect="005D5B08">
          <w:footerReference w:type="default" r:id="rId17"/>
          <w:type w:val="continuous"/>
          <w:pgSz w:w="12240" w:h="15840"/>
          <w:pgMar w:top="1008" w:right="1440" w:bottom="720" w:left="1440" w:header="720" w:footer="288" w:gutter="0"/>
          <w:pgNumType w:start="1" w:chapStyle="1"/>
          <w:cols w:space="60"/>
          <w:noEndnote/>
          <w:docGrid w:linePitch="326"/>
        </w:sectPr>
      </w:pPr>
    </w:p>
    <w:p w14:paraId="46995C80" w14:textId="77777777" w:rsidR="000F2A07" w:rsidRPr="00A34735" w:rsidRDefault="000F2A07" w:rsidP="000F2A07">
      <w:pPr>
        <w:spacing w:before="240" w:after="80"/>
        <w:rPr>
          <w:b/>
          <w:szCs w:val="24"/>
        </w:rPr>
      </w:pPr>
      <w:r w:rsidRPr="00A34735">
        <w:rPr>
          <w:b/>
          <w:szCs w:val="24"/>
        </w:rPr>
        <w:lastRenderedPageBreak/>
        <w:t>Implementation Timeline</w:t>
      </w:r>
    </w:p>
    <w:p w14:paraId="46995C81" w14:textId="77777777" w:rsidR="000F2A07" w:rsidRPr="00A34735" w:rsidRDefault="000F2A07" w:rsidP="000F2A07">
      <w:pPr>
        <w:spacing w:after="120"/>
        <w:rPr>
          <w:szCs w:val="24"/>
          <w:shd w:val="clear" w:color="auto" w:fill="FFFFFF"/>
        </w:rPr>
      </w:pPr>
      <w:r w:rsidRPr="00A34735">
        <w:rPr>
          <w:szCs w:val="24"/>
          <w:shd w:val="clear" w:color="auto" w:fill="FFFFFF"/>
        </w:rPr>
        <w:t>Districts are implementing the new educator evaluation framework and submitting Summative Performance and Student Impact Ratings in accordance with the following timeline:</w:t>
      </w:r>
    </w:p>
    <w:tbl>
      <w:tblPr>
        <w:tblW w:w="5000" w:type="pct"/>
        <w:tblLook w:val="04A0" w:firstRow="1" w:lastRow="0" w:firstColumn="1" w:lastColumn="0" w:noHBand="0" w:noVBand="1"/>
      </w:tblPr>
      <w:tblGrid>
        <w:gridCol w:w="1547"/>
        <w:gridCol w:w="8029"/>
      </w:tblGrid>
      <w:tr w:rsidR="000F2A07" w:rsidRPr="00A34735" w14:paraId="46995C85" w14:textId="77777777" w:rsidTr="000F2A07">
        <w:tc>
          <w:tcPr>
            <w:tcW w:w="808" w:type="pct"/>
          </w:tcPr>
          <w:p w14:paraId="46995C82" w14:textId="77777777" w:rsidR="000F2A07" w:rsidRDefault="000F2A07" w:rsidP="008D4D34">
            <w:pPr>
              <w:rPr>
                <w:szCs w:val="24"/>
                <w:shd w:val="clear" w:color="auto" w:fill="FFFFFF"/>
              </w:rPr>
            </w:pPr>
            <w:r>
              <w:rPr>
                <w:szCs w:val="24"/>
                <w:shd w:val="clear" w:color="auto" w:fill="FFFFFF"/>
              </w:rPr>
              <w:t xml:space="preserve">SY: </w:t>
            </w:r>
            <w:r w:rsidRPr="00A34735">
              <w:rPr>
                <w:szCs w:val="24"/>
                <w:shd w:val="clear" w:color="auto" w:fill="FFFFFF"/>
              </w:rPr>
              <w:t xml:space="preserve">2012-13 </w:t>
            </w:r>
          </w:p>
          <w:p w14:paraId="46995C83" w14:textId="77777777" w:rsidR="000F2A07" w:rsidRPr="00A34735" w:rsidRDefault="000F2A07" w:rsidP="008D4D34">
            <w:pPr>
              <w:rPr>
                <w:szCs w:val="24"/>
                <w:shd w:val="clear" w:color="auto" w:fill="FFFFFF"/>
              </w:rPr>
            </w:pPr>
          </w:p>
        </w:tc>
        <w:tc>
          <w:tcPr>
            <w:tcW w:w="4192" w:type="pct"/>
          </w:tcPr>
          <w:p w14:paraId="46995C84" w14:textId="77777777" w:rsidR="000F2A07" w:rsidRPr="00A34735" w:rsidRDefault="000F2A07" w:rsidP="008D4D34">
            <w:pPr>
              <w:rPr>
                <w:szCs w:val="24"/>
                <w:shd w:val="clear" w:color="auto" w:fill="FFFFFF"/>
              </w:rPr>
            </w:pPr>
            <w:r w:rsidRPr="00A34735">
              <w:rPr>
                <w:szCs w:val="24"/>
                <w:shd w:val="clear" w:color="auto" w:fill="FFFFFF"/>
              </w:rPr>
              <w:t>Race to the Top (RTTT) districts implement and issue Summative Performance Ratings for a minimum of 50% of educators</w:t>
            </w:r>
          </w:p>
        </w:tc>
      </w:tr>
      <w:tr w:rsidR="000F2A07" w:rsidRPr="00A34735" w14:paraId="46995C8A" w14:textId="77777777" w:rsidTr="000F2A07">
        <w:tc>
          <w:tcPr>
            <w:tcW w:w="808" w:type="pct"/>
          </w:tcPr>
          <w:p w14:paraId="46995C86" w14:textId="77777777" w:rsidR="000F2A07" w:rsidRDefault="000F2A07" w:rsidP="008D4D34">
            <w:pPr>
              <w:rPr>
                <w:szCs w:val="24"/>
                <w:shd w:val="clear" w:color="auto" w:fill="FFFFFF"/>
              </w:rPr>
            </w:pPr>
            <w:r>
              <w:rPr>
                <w:szCs w:val="24"/>
                <w:shd w:val="clear" w:color="auto" w:fill="FFFFFF"/>
              </w:rPr>
              <w:t xml:space="preserve">SY: </w:t>
            </w:r>
            <w:r w:rsidRPr="00A34735">
              <w:rPr>
                <w:szCs w:val="24"/>
                <w:shd w:val="clear" w:color="auto" w:fill="FFFFFF"/>
              </w:rPr>
              <w:t xml:space="preserve">2013-14 </w:t>
            </w:r>
          </w:p>
          <w:p w14:paraId="46995C87" w14:textId="77777777" w:rsidR="000F2A07" w:rsidRDefault="000F2A07" w:rsidP="008D4D34">
            <w:pPr>
              <w:rPr>
                <w:szCs w:val="24"/>
                <w:shd w:val="clear" w:color="auto" w:fill="FFFFFF"/>
              </w:rPr>
            </w:pPr>
          </w:p>
          <w:p w14:paraId="46995C88" w14:textId="77777777" w:rsidR="000F2A07" w:rsidRPr="00A34735" w:rsidRDefault="000F2A07" w:rsidP="008D4D34">
            <w:pPr>
              <w:rPr>
                <w:szCs w:val="24"/>
                <w:shd w:val="clear" w:color="auto" w:fill="FFFFFF"/>
              </w:rPr>
            </w:pPr>
          </w:p>
        </w:tc>
        <w:tc>
          <w:tcPr>
            <w:tcW w:w="4192" w:type="pct"/>
          </w:tcPr>
          <w:p w14:paraId="46995C89" w14:textId="77777777" w:rsidR="000F2A07" w:rsidRPr="00A34735" w:rsidRDefault="000F2A07" w:rsidP="008D4D34">
            <w:pPr>
              <w:rPr>
                <w:szCs w:val="24"/>
                <w:shd w:val="clear" w:color="auto" w:fill="FFFFFF"/>
              </w:rPr>
            </w:pPr>
            <w:r w:rsidRPr="00A34735">
              <w:rPr>
                <w:szCs w:val="24"/>
                <w:shd w:val="clear" w:color="auto" w:fill="FFFFFF"/>
              </w:rPr>
              <w:t>RTTT districts implement and issue Summative Performance Ratings for 100% of educators, and non-RTTT districts implement and issue Summative Performance Ratings for at least 50% of educators</w:t>
            </w:r>
          </w:p>
        </w:tc>
      </w:tr>
      <w:tr w:rsidR="000F2A07" w:rsidRPr="00A34735" w14:paraId="46995C8E" w14:textId="77777777" w:rsidTr="000F2A07">
        <w:tc>
          <w:tcPr>
            <w:tcW w:w="808" w:type="pct"/>
          </w:tcPr>
          <w:p w14:paraId="46995C8B" w14:textId="77777777" w:rsidR="000F2A07" w:rsidRDefault="000F2A07" w:rsidP="008D4D34">
            <w:pPr>
              <w:rPr>
                <w:szCs w:val="24"/>
                <w:shd w:val="clear" w:color="auto" w:fill="FFFFFF"/>
              </w:rPr>
            </w:pPr>
            <w:r w:rsidRPr="00A34735">
              <w:rPr>
                <w:szCs w:val="24"/>
                <w:shd w:val="clear" w:color="auto" w:fill="FFFFFF"/>
              </w:rPr>
              <w:t xml:space="preserve">SY:2014-15 </w:t>
            </w:r>
          </w:p>
          <w:p w14:paraId="46995C8C" w14:textId="77777777" w:rsidR="000F2A07" w:rsidRPr="00A34735" w:rsidRDefault="000F2A07" w:rsidP="008D4D34">
            <w:pPr>
              <w:rPr>
                <w:szCs w:val="24"/>
                <w:shd w:val="clear" w:color="auto" w:fill="FFFFFF"/>
              </w:rPr>
            </w:pPr>
          </w:p>
        </w:tc>
        <w:tc>
          <w:tcPr>
            <w:tcW w:w="4192" w:type="pct"/>
          </w:tcPr>
          <w:p w14:paraId="46995C8D" w14:textId="77777777" w:rsidR="000F2A07" w:rsidRPr="00A34735" w:rsidRDefault="000F2A07" w:rsidP="008D4D34">
            <w:pPr>
              <w:rPr>
                <w:szCs w:val="24"/>
                <w:shd w:val="clear" w:color="auto" w:fill="FFFFFF"/>
              </w:rPr>
            </w:pPr>
            <w:r w:rsidRPr="00A34735">
              <w:rPr>
                <w:szCs w:val="24"/>
                <w:shd w:val="clear" w:color="auto" w:fill="FFFFFF"/>
              </w:rPr>
              <w:t>All districts issue Summative Performance Ratings for 100% of educators; all districts collect year 1 student data to inform Student Impact Ratings*</w:t>
            </w:r>
          </w:p>
        </w:tc>
      </w:tr>
      <w:tr w:rsidR="000F2A07" w:rsidRPr="00A34735" w14:paraId="46995C91" w14:textId="77777777" w:rsidTr="000F2A07">
        <w:tc>
          <w:tcPr>
            <w:tcW w:w="808" w:type="pct"/>
          </w:tcPr>
          <w:p w14:paraId="46995C8F" w14:textId="77777777" w:rsidR="000F2A07" w:rsidRPr="00A34735" w:rsidRDefault="000F2A07" w:rsidP="008D4D34">
            <w:pPr>
              <w:rPr>
                <w:szCs w:val="24"/>
                <w:shd w:val="clear" w:color="auto" w:fill="FFFFFF"/>
              </w:rPr>
            </w:pPr>
            <w:r>
              <w:rPr>
                <w:szCs w:val="24"/>
                <w:shd w:val="clear" w:color="auto" w:fill="FFFFFF"/>
              </w:rPr>
              <w:t>SY:</w:t>
            </w:r>
            <w:r w:rsidRPr="00A34735">
              <w:rPr>
                <w:szCs w:val="24"/>
                <w:shd w:val="clear" w:color="auto" w:fill="FFFFFF"/>
              </w:rPr>
              <w:t>2015-16</w:t>
            </w:r>
          </w:p>
        </w:tc>
        <w:tc>
          <w:tcPr>
            <w:tcW w:w="4192" w:type="pct"/>
          </w:tcPr>
          <w:p w14:paraId="46995C90" w14:textId="77777777" w:rsidR="000F2A07" w:rsidRPr="00A34735" w:rsidRDefault="000F2A07" w:rsidP="008D4D34">
            <w:pPr>
              <w:rPr>
                <w:szCs w:val="24"/>
                <w:shd w:val="clear" w:color="auto" w:fill="FFFFFF"/>
              </w:rPr>
            </w:pPr>
            <w:r w:rsidRPr="00A34735">
              <w:rPr>
                <w:szCs w:val="24"/>
                <w:shd w:val="clear" w:color="auto" w:fill="FFFFFF"/>
              </w:rPr>
              <w:t>All districts issue Summative Performance Ratings and Student Impact Ratings with 100% of educators</w:t>
            </w:r>
          </w:p>
        </w:tc>
      </w:tr>
    </w:tbl>
    <w:p w14:paraId="46995C92" w14:textId="77777777" w:rsidR="000F2A07" w:rsidRPr="000F2A07" w:rsidRDefault="000F2A07" w:rsidP="000F2A07">
      <w:pPr>
        <w:spacing w:before="120"/>
        <w:rPr>
          <w:sz w:val="22"/>
          <w:szCs w:val="22"/>
          <w:shd w:val="clear" w:color="auto" w:fill="FFFFFF"/>
        </w:rPr>
      </w:pPr>
      <w:r w:rsidRPr="000F2A07">
        <w:rPr>
          <w:sz w:val="22"/>
          <w:szCs w:val="22"/>
          <w:shd w:val="clear" w:color="auto" w:fill="FFFFFF"/>
        </w:rPr>
        <w:t>*As noted above, Student Impact Ratings will not be available until the end of the 2015/16 school year.</w:t>
      </w:r>
    </w:p>
    <w:p w14:paraId="46995C93" w14:textId="77777777" w:rsidR="000F2A07" w:rsidRPr="00A34735" w:rsidRDefault="000F2A07" w:rsidP="000F2A07">
      <w:pPr>
        <w:spacing w:before="120" w:line="260" w:lineRule="exact"/>
        <w:rPr>
          <w:b/>
          <w:szCs w:val="24"/>
        </w:rPr>
      </w:pPr>
      <w:r w:rsidRPr="00A34735">
        <w:rPr>
          <w:b/>
          <w:szCs w:val="24"/>
        </w:rPr>
        <w:lastRenderedPageBreak/>
        <w:t>The 2013-14 Summative Performance Ratings Data</w:t>
      </w:r>
    </w:p>
    <w:p w14:paraId="46995C94" w14:textId="77777777" w:rsidR="000F2A07" w:rsidRPr="00A34735" w:rsidRDefault="000F2A07" w:rsidP="000F2A07">
      <w:pPr>
        <w:rPr>
          <w:szCs w:val="24"/>
        </w:rPr>
      </w:pPr>
    </w:p>
    <w:p w14:paraId="46995C95" w14:textId="77777777" w:rsidR="000F2A07" w:rsidRPr="00A34735" w:rsidRDefault="000F2A07" w:rsidP="000F2A07">
      <w:pPr>
        <w:rPr>
          <w:szCs w:val="24"/>
        </w:rPr>
      </w:pPr>
      <w:r w:rsidRPr="00A34735">
        <w:rPr>
          <w:szCs w:val="24"/>
        </w:rPr>
        <w:t xml:space="preserve">Close to 71,700 educators in 372 districts were evaluated using systems aligned to the new state framework in 2013-14. Statewide, 86.5 percent of educators evaluated last year were rated Proficient. Smaller percentages of educators received the highest performance rating of Exemplary (8.1 percent) or a rating of Needs Improvement (4.8 percent). Less than one percent of educators were rated as Unsatisfactory (0.5 percent). </w:t>
      </w:r>
    </w:p>
    <w:p w14:paraId="46995C96" w14:textId="77777777" w:rsidR="000F2A07" w:rsidRPr="00A34735" w:rsidRDefault="000F2A07" w:rsidP="000F2A07">
      <w:pPr>
        <w:spacing w:before="120"/>
        <w:rPr>
          <w:szCs w:val="24"/>
        </w:rPr>
      </w:pPr>
      <w:r w:rsidRPr="00A34735">
        <w:rPr>
          <w:szCs w:val="24"/>
        </w:rPr>
        <w:t>Below is the overall state rating summary by group:</w:t>
      </w:r>
    </w:p>
    <w:p w14:paraId="46995C97" w14:textId="77777777" w:rsidR="000F2A07" w:rsidRPr="00A34735" w:rsidRDefault="000F2A07" w:rsidP="000F2A07">
      <w:pPr>
        <w:widowControl/>
        <w:numPr>
          <w:ilvl w:val="0"/>
          <w:numId w:val="16"/>
        </w:numPr>
        <w:spacing w:before="120" w:after="120"/>
        <w:rPr>
          <w:szCs w:val="24"/>
        </w:rPr>
      </w:pPr>
      <w:r w:rsidRPr="00A34735">
        <w:rPr>
          <w:b/>
          <w:bCs/>
          <w:szCs w:val="24"/>
          <w:u w:val="single"/>
        </w:rPr>
        <w:t>All Educators:</w:t>
      </w:r>
      <w:r w:rsidRPr="00A34735">
        <w:rPr>
          <w:szCs w:val="24"/>
        </w:rPr>
        <w:t xml:space="preserve"> Statewide, 8.1 percent were rated Exemplary, 86.5 percent were Proficient, 4.8 percent were Needs Improvement, and 0.5 percent were Unsatisfactory.</w:t>
      </w:r>
    </w:p>
    <w:p w14:paraId="46995C98" w14:textId="77777777" w:rsidR="000F2A07" w:rsidRPr="00A34735" w:rsidRDefault="000F2A07" w:rsidP="000F2A07">
      <w:pPr>
        <w:widowControl/>
        <w:numPr>
          <w:ilvl w:val="0"/>
          <w:numId w:val="16"/>
        </w:numPr>
        <w:spacing w:before="120" w:after="120"/>
        <w:rPr>
          <w:szCs w:val="24"/>
        </w:rPr>
      </w:pPr>
      <w:r w:rsidRPr="00A34735">
        <w:rPr>
          <w:b/>
          <w:bCs/>
          <w:szCs w:val="24"/>
          <w:u w:val="single"/>
        </w:rPr>
        <w:t>Administrators:</w:t>
      </w:r>
      <w:r w:rsidRPr="00A34735">
        <w:rPr>
          <w:szCs w:val="24"/>
        </w:rPr>
        <w:t xml:space="preserve"> Statewide, 12.9 percent were rated Exemplary, 83.5 percent were Proficient, 3.4 percent were Needs Improvement, and 0.1 percent were Unsatisfactory.</w:t>
      </w:r>
    </w:p>
    <w:p w14:paraId="46995C99" w14:textId="77777777" w:rsidR="000F2A07" w:rsidRPr="00A34735" w:rsidRDefault="000F2A07" w:rsidP="000F2A07">
      <w:pPr>
        <w:widowControl/>
        <w:numPr>
          <w:ilvl w:val="0"/>
          <w:numId w:val="16"/>
        </w:numPr>
        <w:spacing w:before="120" w:after="120"/>
        <w:rPr>
          <w:szCs w:val="24"/>
        </w:rPr>
      </w:pPr>
      <w:r w:rsidRPr="00A34735">
        <w:rPr>
          <w:b/>
          <w:bCs/>
          <w:szCs w:val="24"/>
          <w:u w:val="single"/>
        </w:rPr>
        <w:t>Principals:</w:t>
      </w:r>
      <w:r w:rsidRPr="00A34735">
        <w:rPr>
          <w:szCs w:val="24"/>
        </w:rPr>
        <w:t xml:space="preserve"> Statewide, 11.3 percent were rated Exemplary, 84.1 percent were Proficient, 4.4 percent were Needs Improvement, and 0.2 percent were Unsatisfactory.</w:t>
      </w:r>
    </w:p>
    <w:p w14:paraId="46995C9A" w14:textId="77777777" w:rsidR="000F2A07" w:rsidRPr="00A34735" w:rsidRDefault="000F2A07" w:rsidP="000F2A07">
      <w:pPr>
        <w:widowControl/>
        <w:numPr>
          <w:ilvl w:val="0"/>
          <w:numId w:val="16"/>
        </w:numPr>
        <w:spacing w:before="120" w:after="120"/>
        <w:rPr>
          <w:szCs w:val="24"/>
        </w:rPr>
      </w:pPr>
      <w:r w:rsidRPr="00A34735">
        <w:rPr>
          <w:b/>
          <w:bCs/>
          <w:szCs w:val="24"/>
          <w:u w:val="single"/>
        </w:rPr>
        <w:t>Teachers with Professional Teacher Status:</w:t>
      </w:r>
      <w:r w:rsidRPr="00A34735">
        <w:rPr>
          <w:szCs w:val="24"/>
        </w:rPr>
        <w:t xml:space="preserve"> Statewide, 8.3 percent were rated Exemplary, 88.2 percent were Proficient, 3.1 percent were Needs Improvement, and 0.4 percent were Unsatisfactory.</w:t>
      </w:r>
    </w:p>
    <w:p w14:paraId="46995C9B" w14:textId="77777777" w:rsidR="000F2A07" w:rsidRPr="00A34735" w:rsidRDefault="000F2A07" w:rsidP="000F2A07">
      <w:pPr>
        <w:widowControl/>
        <w:numPr>
          <w:ilvl w:val="0"/>
          <w:numId w:val="16"/>
        </w:numPr>
        <w:spacing w:before="120" w:after="120"/>
        <w:rPr>
          <w:szCs w:val="24"/>
        </w:rPr>
      </w:pPr>
      <w:r w:rsidRPr="00A34735">
        <w:rPr>
          <w:b/>
          <w:bCs/>
          <w:szCs w:val="24"/>
          <w:u w:val="single"/>
        </w:rPr>
        <w:t>Teachers without Professional Teacher Status:</w:t>
      </w:r>
      <w:r w:rsidRPr="00A34735">
        <w:rPr>
          <w:szCs w:val="24"/>
        </w:rPr>
        <w:t xml:space="preserve"> Statewide, 3.5 percent were rated Exemplary, 85.3 percent were Proficient, 10.4 percent were Needs Improvement, and 0.9 percent were Unsatisfactory. </w:t>
      </w:r>
    </w:p>
    <w:p w14:paraId="46995C9C" w14:textId="77777777" w:rsidR="000F2A07" w:rsidRPr="00A34735" w:rsidRDefault="000F2A07" w:rsidP="000F2A07">
      <w:pPr>
        <w:widowControl/>
        <w:spacing w:before="120" w:after="120"/>
        <w:rPr>
          <w:b/>
          <w:bCs/>
          <w:szCs w:val="24"/>
          <w:u w:val="single"/>
        </w:rPr>
      </w:pPr>
    </w:p>
    <w:p w14:paraId="46995C9D" w14:textId="77777777" w:rsidR="000F2A07" w:rsidRPr="00A34735" w:rsidRDefault="000F2A07" w:rsidP="000F2A07">
      <w:pPr>
        <w:widowControl/>
        <w:rPr>
          <w:bCs/>
          <w:szCs w:val="24"/>
        </w:rPr>
      </w:pPr>
      <w:r w:rsidRPr="00A34735">
        <w:rPr>
          <w:bCs/>
          <w:szCs w:val="24"/>
        </w:rPr>
        <w:t>Enclosures:</w:t>
      </w:r>
      <w:r w:rsidRPr="00A34735">
        <w:rPr>
          <w:bCs/>
          <w:szCs w:val="24"/>
        </w:rPr>
        <w:tab/>
        <w:t>Educator Evaluation Ratings Press Release</w:t>
      </w:r>
    </w:p>
    <w:p w14:paraId="46995C9E" w14:textId="77777777" w:rsidR="000F2A07" w:rsidRPr="00A34735" w:rsidRDefault="000F2A07" w:rsidP="000F2A07">
      <w:pPr>
        <w:widowControl/>
        <w:rPr>
          <w:szCs w:val="24"/>
        </w:rPr>
      </w:pPr>
      <w:r w:rsidRPr="00A34735">
        <w:rPr>
          <w:bCs/>
          <w:szCs w:val="24"/>
        </w:rPr>
        <w:tab/>
      </w:r>
      <w:r w:rsidRPr="00A34735">
        <w:rPr>
          <w:bCs/>
          <w:szCs w:val="24"/>
        </w:rPr>
        <w:tab/>
        <w:t>Educator Evaluation Data Overview</w:t>
      </w:r>
    </w:p>
    <w:p w14:paraId="46995C9F" w14:textId="77777777" w:rsidR="007379AC" w:rsidRDefault="007379AC" w:rsidP="004E02B6">
      <w:pPr>
        <w:widowControl/>
        <w:autoSpaceDE w:val="0"/>
        <w:autoSpaceDN w:val="0"/>
        <w:adjustRightInd w:val="0"/>
      </w:pPr>
    </w:p>
    <w:p w14:paraId="46995CA0" w14:textId="77777777" w:rsidR="007379AC" w:rsidRDefault="007379AC" w:rsidP="004E02B6">
      <w:pPr>
        <w:widowControl/>
        <w:autoSpaceDE w:val="0"/>
        <w:autoSpaceDN w:val="0"/>
        <w:adjustRightInd w:val="0"/>
      </w:pPr>
    </w:p>
    <w:p w14:paraId="46995CA1" w14:textId="77777777" w:rsidR="007379AC" w:rsidRDefault="007379AC" w:rsidP="004E02B6">
      <w:pPr>
        <w:widowControl/>
        <w:autoSpaceDE w:val="0"/>
        <w:autoSpaceDN w:val="0"/>
        <w:adjustRightInd w:val="0"/>
      </w:pPr>
    </w:p>
    <w:p w14:paraId="46995CA2" w14:textId="77777777" w:rsidR="007379AC" w:rsidRDefault="007379AC" w:rsidP="004E02B6">
      <w:pPr>
        <w:widowControl/>
        <w:autoSpaceDE w:val="0"/>
        <w:autoSpaceDN w:val="0"/>
        <w:adjustRightInd w:val="0"/>
      </w:pPr>
    </w:p>
    <w:p w14:paraId="46995CA3" w14:textId="77777777" w:rsidR="007379AC" w:rsidRDefault="007379AC" w:rsidP="004E02B6">
      <w:pPr>
        <w:widowControl/>
        <w:autoSpaceDE w:val="0"/>
        <w:autoSpaceDN w:val="0"/>
        <w:adjustRightInd w:val="0"/>
      </w:pPr>
    </w:p>
    <w:p w14:paraId="46995CA4" w14:textId="77777777" w:rsidR="007379AC" w:rsidRDefault="007379AC" w:rsidP="004E02B6">
      <w:pPr>
        <w:widowControl/>
        <w:autoSpaceDE w:val="0"/>
        <w:autoSpaceDN w:val="0"/>
        <w:adjustRightInd w:val="0"/>
      </w:pPr>
    </w:p>
    <w:p w14:paraId="46995CA5" w14:textId="77777777" w:rsidR="007379AC" w:rsidRDefault="007379AC" w:rsidP="004E02B6">
      <w:pPr>
        <w:widowControl/>
        <w:autoSpaceDE w:val="0"/>
        <w:autoSpaceDN w:val="0"/>
        <w:adjustRightInd w:val="0"/>
      </w:pPr>
    </w:p>
    <w:p w14:paraId="46995CA6" w14:textId="77777777" w:rsidR="007379AC" w:rsidRDefault="007379AC" w:rsidP="004E02B6">
      <w:pPr>
        <w:widowControl/>
        <w:autoSpaceDE w:val="0"/>
        <w:autoSpaceDN w:val="0"/>
        <w:adjustRightInd w:val="0"/>
      </w:pPr>
    </w:p>
    <w:p w14:paraId="46995CA7" w14:textId="77777777" w:rsidR="007379AC" w:rsidRDefault="007379AC" w:rsidP="004E02B6">
      <w:pPr>
        <w:widowControl/>
        <w:autoSpaceDE w:val="0"/>
        <w:autoSpaceDN w:val="0"/>
        <w:adjustRightInd w:val="0"/>
      </w:pPr>
    </w:p>
    <w:p w14:paraId="46995CA8" w14:textId="77777777" w:rsidR="007379AC" w:rsidRDefault="007379AC" w:rsidP="004E02B6">
      <w:pPr>
        <w:widowControl/>
        <w:autoSpaceDE w:val="0"/>
        <w:autoSpaceDN w:val="0"/>
        <w:adjustRightInd w:val="0"/>
      </w:pPr>
    </w:p>
    <w:p w14:paraId="46995CA9" w14:textId="77777777" w:rsidR="007379AC" w:rsidRDefault="007379AC" w:rsidP="004E02B6">
      <w:pPr>
        <w:widowControl/>
        <w:autoSpaceDE w:val="0"/>
        <w:autoSpaceDN w:val="0"/>
        <w:adjustRightInd w:val="0"/>
      </w:pPr>
    </w:p>
    <w:p w14:paraId="46995CAA" w14:textId="77777777" w:rsidR="007379AC" w:rsidRDefault="007379AC" w:rsidP="004E02B6">
      <w:pPr>
        <w:widowControl/>
        <w:autoSpaceDE w:val="0"/>
        <w:autoSpaceDN w:val="0"/>
        <w:adjustRightInd w:val="0"/>
      </w:pPr>
    </w:p>
    <w:p w14:paraId="46995CAB" w14:textId="77777777" w:rsidR="007379AC" w:rsidRDefault="007379AC" w:rsidP="004E02B6">
      <w:pPr>
        <w:widowControl/>
        <w:autoSpaceDE w:val="0"/>
        <w:autoSpaceDN w:val="0"/>
        <w:adjustRightInd w:val="0"/>
      </w:pPr>
    </w:p>
    <w:p w14:paraId="46995CAC" w14:textId="77777777" w:rsidR="007379AC" w:rsidRDefault="007379AC" w:rsidP="004E02B6">
      <w:pPr>
        <w:widowControl/>
        <w:autoSpaceDE w:val="0"/>
        <w:autoSpaceDN w:val="0"/>
        <w:adjustRightInd w:val="0"/>
      </w:pPr>
    </w:p>
    <w:p w14:paraId="46995CAD" w14:textId="77777777" w:rsidR="007379AC" w:rsidRDefault="007379AC" w:rsidP="004E02B6">
      <w:pPr>
        <w:widowControl/>
        <w:autoSpaceDE w:val="0"/>
        <w:autoSpaceDN w:val="0"/>
        <w:adjustRightInd w:val="0"/>
      </w:pPr>
    </w:p>
    <w:p w14:paraId="46995CAE" w14:textId="77777777" w:rsidR="007379AC" w:rsidRDefault="007379AC" w:rsidP="004E02B6">
      <w:pPr>
        <w:widowControl/>
        <w:autoSpaceDE w:val="0"/>
        <w:autoSpaceDN w:val="0"/>
        <w:adjustRightInd w:val="0"/>
      </w:pPr>
    </w:p>
    <w:p w14:paraId="46995CAF" w14:textId="77777777" w:rsidR="007379AC" w:rsidRDefault="007379AC" w:rsidP="004E02B6">
      <w:pPr>
        <w:widowControl/>
        <w:autoSpaceDE w:val="0"/>
        <w:autoSpaceDN w:val="0"/>
        <w:adjustRightInd w:val="0"/>
      </w:pPr>
    </w:p>
    <w:p w14:paraId="46995CB0" w14:textId="77777777" w:rsidR="007379AC" w:rsidRDefault="007379AC" w:rsidP="004E02B6">
      <w:pPr>
        <w:widowControl/>
        <w:autoSpaceDE w:val="0"/>
        <w:autoSpaceDN w:val="0"/>
        <w:adjustRightInd w:val="0"/>
      </w:pPr>
    </w:p>
    <w:p w14:paraId="46995CB1" w14:textId="77777777" w:rsidR="007379AC" w:rsidRDefault="007379AC" w:rsidP="004E02B6">
      <w:pPr>
        <w:widowControl/>
        <w:autoSpaceDE w:val="0"/>
        <w:autoSpaceDN w:val="0"/>
        <w:adjustRightInd w:val="0"/>
      </w:pPr>
    </w:p>
    <w:sectPr w:rsidR="007379AC" w:rsidSect="000F2A07">
      <w:endnotePr>
        <w:numFmt w:val="decimal"/>
      </w:endnotePr>
      <w:type w:val="continuous"/>
      <w:pgSz w:w="12240" w:h="15840"/>
      <w:pgMar w:top="1008" w:right="1440" w:bottom="720" w:left="1440" w:header="1440" w:footer="1440"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95CB7" w14:textId="77777777" w:rsidR="005F1842" w:rsidRDefault="005F1842">
      <w:r>
        <w:separator/>
      </w:r>
    </w:p>
  </w:endnote>
  <w:endnote w:type="continuationSeparator" w:id="0">
    <w:p w14:paraId="46995CB8" w14:textId="77777777" w:rsidR="005F1842" w:rsidRDefault="005F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95CB9" w14:textId="77777777" w:rsidR="002B014B" w:rsidRDefault="00A57419">
    <w:pPr>
      <w:pStyle w:val="Footer"/>
      <w:framePr w:wrap="around" w:vAnchor="text" w:hAnchor="margin" w:xAlign="right" w:y="1"/>
      <w:rPr>
        <w:rStyle w:val="PageNumber"/>
      </w:rPr>
    </w:pPr>
    <w:r>
      <w:rPr>
        <w:rStyle w:val="PageNumber"/>
      </w:rPr>
      <w:fldChar w:fldCharType="begin"/>
    </w:r>
    <w:r w:rsidR="002B014B">
      <w:rPr>
        <w:rStyle w:val="PageNumber"/>
      </w:rPr>
      <w:instrText xml:space="preserve">PAGE  </w:instrText>
    </w:r>
    <w:r>
      <w:rPr>
        <w:rStyle w:val="PageNumber"/>
      </w:rPr>
      <w:fldChar w:fldCharType="end"/>
    </w:r>
  </w:p>
  <w:p w14:paraId="46995CBA" w14:textId="77777777" w:rsidR="002B014B" w:rsidRDefault="002B01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95CBB" w14:textId="77777777" w:rsidR="004A16E4" w:rsidRDefault="00A57419">
    <w:pPr>
      <w:pStyle w:val="Footer"/>
      <w:jc w:val="right"/>
    </w:pPr>
    <w:r>
      <w:fldChar w:fldCharType="begin"/>
    </w:r>
    <w:r w:rsidR="004A16E4">
      <w:instrText xml:space="preserve"> PAGE   \* MERGEFORMAT </w:instrText>
    </w:r>
    <w:r>
      <w:fldChar w:fldCharType="separate"/>
    </w:r>
    <w:r w:rsidR="007379AC">
      <w:rPr>
        <w:noProof/>
      </w:rPr>
      <w:t>2</w:t>
    </w:r>
    <w:r>
      <w:rPr>
        <w:noProof/>
      </w:rPr>
      <w:fldChar w:fldCharType="end"/>
    </w:r>
  </w:p>
  <w:p w14:paraId="46995CBC" w14:textId="77777777" w:rsidR="002B014B" w:rsidRDefault="002B014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397683"/>
      <w:docPartObj>
        <w:docPartGallery w:val="Page Numbers (Bottom of Page)"/>
        <w:docPartUnique/>
      </w:docPartObj>
    </w:sdtPr>
    <w:sdtEndPr/>
    <w:sdtContent>
      <w:p w14:paraId="46995CBD" w14:textId="77777777" w:rsidR="005D5B08" w:rsidRDefault="003325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995CBE" w14:textId="77777777" w:rsidR="000F2A07" w:rsidRDefault="000F2A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95CB5" w14:textId="77777777" w:rsidR="005F1842" w:rsidRDefault="005F1842">
      <w:r>
        <w:separator/>
      </w:r>
    </w:p>
  </w:footnote>
  <w:footnote w:type="continuationSeparator" w:id="0">
    <w:p w14:paraId="46995CB6" w14:textId="77777777" w:rsidR="005F1842" w:rsidRDefault="005F1842">
      <w:r>
        <w:continuationSeparator/>
      </w:r>
    </w:p>
  </w:footnote>
  <w:footnote w:id="1">
    <w:p w14:paraId="46995CBF" w14:textId="77777777" w:rsidR="000F2A07" w:rsidRDefault="000F2A07" w:rsidP="000F2A07">
      <w:pPr>
        <w:pStyle w:val="FootnoteText"/>
      </w:pPr>
      <w:r w:rsidRPr="0077542C">
        <w:rPr>
          <w:rStyle w:val="FootnoteReference"/>
          <w:vertAlign w:val="superscript"/>
        </w:rPr>
        <w:footnoteRef/>
      </w:r>
      <w:r>
        <w:t xml:space="preserve"> Standards of Effective Teaching: </w:t>
      </w:r>
      <w:hyperlink r:id="rId1" w:history="1">
        <w:r w:rsidRPr="00EB4E51">
          <w:rPr>
            <w:rStyle w:val="Hyperlink"/>
          </w:rPr>
          <w:t>http://www.doe.mass.edu/lawsregs/603cmr35.html?section=03</w:t>
        </w:r>
      </w:hyperlink>
      <w:r>
        <w:t xml:space="preserve"> </w:t>
      </w:r>
    </w:p>
  </w:footnote>
  <w:footnote w:id="2">
    <w:p w14:paraId="46995CC0" w14:textId="77777777" w:rsidR="000F2A07" w:rsidRDefault="000F2A07" w:rsidP="000F2A07">
      <w:pPr>
        <w:pStyle w:val="FootnoteText"/>
      </w:pPr>
      <w:r w:rsidRPr="0077542C">
        <w:rPr>
          <w:rStyle w:val="FootnoteReference"/>
          <w:vertAlign w:val="superscript"/>
        </w:rPr>
        <w:footnoteRef/>
      </w:r>
      <w:r>
        <w:t xml:space="preserve"> Standards of Administrator Leadership Practice: </w:t>
      </w:r>
      <w:hyperlink r:id="rId2" w:history="1">
        <w:r w:rsidRPr="00EB4E51">
          <w:rPr>
            <w:rStyle w:val="Hyperlink"/>
          </w:rPr>
          <w:t>http://www.doe.mass.edu/lawsregs/603cmr35.html?section=04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D91FDD"/>
    <w:multiLevelType w:val="hybridMultilevel"/>
    <w:tmpl w:val="35009A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8D4638"/>
    <w:multiLevelType w:val="hybridMultilevel"/>
    <w:tmpl w:val="66ECF216"/>
    <w:lvl w:ilvl="0" w:tplc="DF66DFC0">
      <w:start w:val="1"/>
      <w:numFmt w:val="bullet"/>
      <w:pStyle w:val="Bullet"/>
      <w:lvlText w:val=""/>
      <w:lvlJc w:val="left"/>
      <w:pPr>
        <w:ind w:left="720" w:hanging="360"/>
      </w:pPr>
      <w:rPr>
        <w:rFonts w:ascii="Wingdings" w:hAnsi="Wingdings" w:hint="default"/>
        <w:color w:val="E285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E36F74"/>
    <w:multiLevelType w:val="hybridMultilevel"/>
    <w:tmpl w:val="287A1DD0"/>
    <w:lvl w:ilvl="0" w:tplc="0409000B">
      <w:start w:val="1"/>
      <w:numFmt w:val="bullet"/>
      <w:lvlText w:val=""/>
      <w:lvlJc w:val="left"/>
      <w:pPr>
        <w:ind w:left="360" w:hanging="360"/>
      </w:pPr>
      <w:rPr>
        <w:rFonts w:ascii="Wingdings" w:hAnsi="Wingdings"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1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3450EE4"/>
    <w:multiLevelType w:val="hybridMultilevel"/>
    <w:tmpl w:val="CED2CEBE"/>
    <w:lvl w:ilvl="0" w:tplc="0409000F">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10"/>
  </w:num>
  <w:num w:numId="3">
    <w:abstractNumId w:val="0"/>
  </w:num>
  <w:num w:numId="4">
    <w:abstractNumId w:val="14"/>
  </w:num>
  <w:num w:numId="5">
    <w:abstractNumId w:val="12"/>
  </w:num>
  <w:num w:numId="6">
    <w:abstractNumId w:val="2"/>
  </w:num>
  <w:num w:numId="7">
    <w:abstractNumId w:val="9"/>
  </w:num>
  <w:num w:numId="8">
    <w:abstractNumId w:val="11"/>
  </w:num>
  <w:num w:numId="9">
    <w:abstractNumId w:val="6"/>
  </w:num>
  <w:num w:numId="10">
    <w:abstractNumId w:val="15"/>
  </w:num>
  <w:num w:numId="11">
    <w:abstractNumId w:val="3"/>
  </w:num>
  <w:num w:numId="12">
    <w:abstractNumId w:val="8"/>
  </w:num>
  <w:num w:numId="13">
    <w:abstractNumId w:val="7"/>
  </w:num>
  <w:num w:numId="14">
    <w:abstractNumId w:val="13"/>
  </w:num>
  <w:num w:numId="15">
    <w:abstractNumId w:val="5"/>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B08"/>
    <w:rsid w:val="00001329"/>
    <w:rsid w:val="000063B9"/>
    <w:rsid w:val="000072AA"/>
    <w:rsid w:val="0001606C"/>
    <w:rsid w:val="00027086"/>
    <w:rsid w:val="00030DD3"/>
    <w:rsid w:val="00034C92"/>
    <w:rsid w:val="00043474"/>
    <w:rsid w:val="00053AA3"/>
    <w:rsid w:val="00055A3D"/>
    <w:rsid w:val="00056B96"/>
    <w:rsid w:val="00063782"/>
    <w:rsid w:val="0007158E"/>
    <w:rsid w:val="0007250C"/>
    <w:rsid w:val="00077595"/>
    <w:rsid w:val="000853D9"/>
    <w:rsid w:val="00090BBA"/>
    <w:rsid w:val="00097A70"/>
    <w:rsid w:val="000A0B86"/>
    <w:rsid w:val="000A1302"/>
    <w:rsid w:val="000A5AA5"/>
    <w:rsid w:val="000B2C99"/>
    <w:rsid w:val="000B63DE"/>
    <w:rsid w:val="000B6697"/>
    <w:rsid w:val="000D052C"/>
    <w:rsid w:val="000E1B88"/>
    <w:rsid w:val="000E1DFE"/>
    <w:rsid w:val="000E3F4E"/>
    <w:rsid w:val="000E3F88"/>
    <w:rsid w:val="000E6832"/>
    <w:rsid w:val="000F2A07"/>
    <w:rsid w:val="000F7EAB"/>
    <w:rsid w:val="00102267"/>
    <w:rsid w:val="00103AB9"/>
    <w:rsid w:val="001160EA"/>
    <w:rsid w:val="00121B6D"/>
    <w:rsid w:val="00132C9F"/>
    <w:rsid w:val="00132F44"/>
    <w:rsid w:val="00133302"/>
    <w:rsid w:val="001362F3"/>
    <w:rsid w:val="00141A59"/>
    <w:rsid w:val="00163AEA"/>
    <w:rsid w:val="00173F1B"/>
    <w:rsid w:val="0017686B"/>
    <w:rsid w:val="00181784"/>
    <w:rsid w:val="0018208E"/>
    <w:rsid w:val="00183DF0"/>
    <w:rsid w:val="001925A3"/>
    <w:rsid w:val="00193BBC"/>
    <w:rsid w:val="00195E0F"/>
    <w:rsid w:val="001A4CA9"/>
    <w:rsid w:val="001B3A5F"/>
    <w:rsid w:val="001B71EB"/>
    <w:rsid w:val="001C2471"/>
    <w:rsid w:val="001C2712"/>
    <w:rsid w:val="001D7ECC"/>
    <w:rsid w:val="001E0FC4"/>
    <w:rsid w:val="001E111C"/>
    <w:rsid w:val="001F1874"/>
    <w:rsid w:val="001F26EB"/>
    <w:rsid w:val="00202DBD"/>
    <w:rsid w:val="002049E8"/>
    <w:rsid w:val="002123AB"/>
    <w:rsid w:val="002150AA"/>
    <w:rsid w:val="00215989"/>
    <w:rsid w:val="00226754"/>
    <w:rsid w:val="0023149B"/>
    <w:rsid w:val="00237924"/>
    <w:rsid w:val="002425E3"/>
    <w:rsid w:val="00246035"/>
    <w:rsid w:val="0025000B"/>
    <w:rsid w:val="00261E31"/>
    <w:rsid w:val="00262458"/>
    <w:rsid w:val="0026636C"/>
    <w:rsid w:val="002673FE"/>
    <w:rsid w:val="0027262E"/>
    <w:rsid w:val="0027294B"/>
    <w:rsid w:val="002845F8"/>
    <w:rsid w:val="002A70A7"/>
    <w:rsid w:val="002B014B"/>
    <w:rsid w:val="002B359D"/>
    <w:rsid w:val="002C2E4F"/>
    <w:rsid w:val="002C337A"/>
    <w:rsid w:val="002C7591"/>
    <w:rsid w:val="002D1039"/>
    <w:rsid w:val="002E102C"/>
    <w:rsid w:val="002E41B2"/>
    <w:rsid w:val="002E51BC"/>
    <w:rsid w:val="002F061C"/>
    <w:rsid w:val="002F71C2"/>
    <w:rsid w:val="00305463"/>
    <w:rsid w:val="003149DE"/>
    <w:rsid w:val="00317064"/>
    <w:rsid w:val="00324E4C"/>
    <w:rsid w:val="00330A7E"/>
    <w:rsid w:val="0033254B"/>
    <w:rsid w:val="00334D40"/>
    <w:rsid w:val="00353491"/>
    <w:rsid w:val="00356545"/>
    <w:rsid w:val="003625A9"/>
    <w:rsid w:val="003641D0"/>
    <w:rsid w:val="00364FF1"/>
    <w:rsid w:val="0037790E"/>
    <w:rsid w:val="00387541"/>
    <w:rsid w:val="003906C7"/>
    <w:rsid w:val="00391E0B"/>
    <w:rsid w:val="00396344"/>
    <w:rsid w:val="003A17FE"/>
    <w:rsid w:val="003B31F6"/>
    <w:rsid w:val="003B4529"/>
    <w:rsid w:val="003C7113"/>
    <w:rsid w:val="003D5981"/>
    <w:rsid w:val="003E2E9E"/>
    <w:rsid w:val="003F2098"/>
    <w:rsid w:val="003F45CB"/>
    <w:rsid w:val="004066EF"/>
    <w:rsid w:val="004117E5"/>
    <w:rsid w:val="0041778C"/>
    <w:rsid w:val="00430E3D"/>
    <w:rsid w:val="00432013"/>
    <w:rsid w:val="004320BB"/>
    <w:rsid w:val="004323E2"/>
    <w:rsid w:val="004412C3"/>
    <w:rsid w:val="0044226F"/>
    <w:rsid w:val="004528BB"/>
    <w:rsid w:val="004628FA"/>
    <w:rsid w:val="00467314"/>
    <w:rsid w:val="00472450"/>
    <w:rsid w:val="00483A49"/>
    <w:rsid w:val="004864C6"/>
    <w:rsid w:val="00486520"/>
    <w:rsid w:val="0049108E"/>
    <w:rsid w:val="0049178A"/>
    <w:rsid w:val="00491797"/>
    <w:rsid w:val="00497E17"/>
    <w:rsid w:val="004A16E4"/>
    <w:rsid w:val="004A2086"/>
    <w:rsid w:val="004A3523"/>
    <w:rsid w:val="004A46FF"/>
    <w:rsid w:val="004A5CA3"/>
    <w:rsid w:val="004B1A61"/>
    <w:rsid w:val="004C33BC"/>
    <w:rsid w:val="004D18E2"/>
    <w:rsid w:val="004D1CC7"/>
    <w:rsid w:val="004D7E25"/>
    <w:rsid w:val="004E02B6"/>
    <w:rsid w:val="004E295A"/>
    <w:rsid w:val="004E7FFB"/>
    <w:rsid w:val="004F377F"/>
    <w:rsid w:val="00512093"/>
    <w:rsid w:val="00512A29"/>
    <w:rsid w:val="00526BBE"/>
    <w:rsid w:val="00531C9F"/>
    <w:rsid w:val="00534010"/>
    <w:rsid w:val="00540887"/>
    <w:rsid w:val="00552248"/>
    <w:rsid w:val="00555582"/>
    <w:rsid w:val="005603C5"/>
    <w:rsid w:val="00561DC6"/>
    <w:rsid w:val="00561F0C"/>
    <w:rsid w:val="00561F32"/>
    <w:rsid w:val="005632C2"/>
    <w:rsid w:val="00564569"/>
    <w:rsid w:val="0058020F"/>
    <w:rsid w:val="00581828"/>
    <w:rsid w:val="005849A5"/>
    <w:rsid w:val="00594483"/>
    <w:rsid w:val="005A2808"/>
    <w:rsid w:val="005A42B8"/>
    <w:rsid w:val="005A56AA"/>
    <w:rsid w:val="005B1E54"/>
    <w:rsid w:val="005B269E"/>
    <w:rsid w:val="005B6D5E"/>
    <w:rsid w:val="005B7436"/>
    <w:rsid w:val="005C42DA"/>
    <w:rsid w:val="005D5B08"/>
    <w:rsid w:val="005E2191"/>
    <w:rsid w:val="005E4844"/>
    <w:rsid w:val="005E5D8E"/>
    <w:rsid w:val="005F1842"/>
    <w:rsid w:val="005F1874"/>
    <w:rsid w:val="00613BF0"/>
    <w:rsid w:val="006345E9"/>
    <w:rsid w:val="00636AC7"/>
    <w:rsid w:val="00641DFD"/>
    <w:rsid w:val="0066491A"/>
    <w:rsid w:val="0066511D"/>
    <w:rsid w:val="00666BEC"/>
    <w:rsid w:val="00676217"/>
    <w:rsid w:val="00676769"/>
    <w:rsid w:val="00685AD0"/>
    <w:rsid w:val="00690654"/>
    <w:rsid w:val="00692A67"/>
    <w:rsid w:val="00693BC1"/>
    <w:rsid w:val="0069716C"/>
    <w:rsid w:val="006A3BCD"/>
    <w:rsid w:val="006B5DD1"/>
    <w:rsid w:val="006C60B0"/>
    <w:rsid w:val="006D4CBC"/>
    <w:rsid w:val="006E620A"/>
    <w:rsid w:val="00705EED"/>
    <w:rsid w:val="0070733C"/>
    <w:rsid w:val="00717A96"/>
    <w:rsid w:val="0072082D"/>
    <w:rsid w:val="00723057"/>
    <w:rsid w:val="00723D53"/>
    <w:rsid w:val="0072430F"/>
    <w:rsid w:val="00730853"/>
    <w:rsid w:val="00731AF4"/>
    <w:rsid w:val="007358F4"/>
    <w:rsid w:val="00735907"/>
    <w:rsid w:val="00735D52"/>
    <w:rsid w:val="00737900"/>
    <w:rsid w:val="007379AC"/>
    <w:rsid w:val="0074184A"/>
    <w:rsid w:val="00743AB6"/>
    <w:rsid w:val="00753271"/>
    <w:rsid w:val="00766272"/>
    <w:rsid w:val="007709BB"/>
    <w:rsid w:val="00770F7B"/>
    <w:rsid w:val="007718AD"/>
    <w:rsid w:val="0078028D"/>
    <w:rsid w:val="007965D9"/>
    <w:rsid w:val="007966DA"/>
    <w:rsid w:val="007B5B50"/>
    <w:rsid w:val="007B65CB"/>
    <w:rsid w:val="007B7FC8"/>
    <w:rsid w:val="007C5222"/>
    <w:rsid w:val="007C71E4"/>
    <w:rsid w:val="007D0007"/>
    <w:rsid w:val="007D6BF1"/>
    <w:rsid w:val="007E19B0"/>
    <w:rsid w:val="007E5344"/>
    <w:rsid w:val="007F38DA"/>
    <w:rsid w:val="007F6D30"/>
    <w:rsid w:val="008011DD"/>
    <w:rsid w:val="00806779"/>
    <w:rsid w:val="00807214"/>
    <w:rsid w:val="00814B5D"/>
    <w:rsid w:val="00820F63"/>
    <w:rsid w:val="00821C27"/>
    <w:rsid w:val="00843516"/>
    <w:rsid w:val="0084404F"/>
    <w:rsid w:val="0085432C"/>
    <w:rsid w:val="00856A08"/>
    <w:rsid w:val="00871C6C"/>
    <w:rsid w:val="00873E2A"/>
    <w:rsid w:val="0088140A"/>
    <w:rsid w:val="00881B8C"/>
    <w:rsid w:val="00881D9A"/>
    <w:rsid w:val="0088225A"/>
    <w:rsid w:val="00884064"/>
    <w:rsid w:val="00895CB2"/>
    <w:rsid w:val="008A1373"/>
    <w:rsid w:val="008A2E0F"/>
    <w:rsid w:val="008A6332"/>
    <w:rsid w:val="008B4475"/>
    <w:rsid w:val="008B5908"/>
    <w:rsid w:val="008B6DCA"/>
    <w:rsid w:val="008B73D8"/>
    <w:rsid w:val="008C1C16"/>
    <w:rsid w:val="008C2BE1"/>
    <w:rsid w:val="008C327E"/>
    <w:rsid w:val="008C551B"/>
    <w:rsid w:val="008C7DAC"/>
    <w:rsid w:val="008D08BB"/>
    <w:rsid w:val="008E1431"/>
    <w:rsid w:val="008F2EC4"/>
    <w:rsid w:val="008F7DF3"/>
    <w:rsid w:val="009073FC"/>
    <w:rsid w:val="00911054"/>
    <w:rsid w:val="0091782C"/>
    <w:rsid w:val="00920E7C"/>
    <w:rsid w:val="00921189"/>
    <w:rsid w:val="0092272F"/>
    <w:rsid w:val="00927714"/>
    <w:rsid w:val="00930EB6"/>
    <w:rsid w:val="00937A15"/>
    <w:rsid w:val="00942697"/>
    <w:rsid w:val="00943163"/>
    <w:rsid w:val="00946642"/>
    <w:rsid w:val="009475FC"/>
    <w:rsid w:val="0095696F"/>
    <w:rsid w:val="00957155"/>
    <w:rsid w:val="00963B70"/>
    <w:rsid w:val="00970D92"/>
    <w:rsid w:val="0097243C"/>
    <w:rsid w:val="00980B43"/>
    <w:rsid w:val="00991317"/>
    <w:rsid w:val="00991B9B"/>
    <w:rsid w:val="009A3651"/>
    <w:rsid w:val="009B4876"/>
    <w:rsid w:val="009D0E22"/>
    <w:rsid w:val="009D25AD"/>
    <w:rsid w:val="009D559B"/>
    <w:rsid w:val="009D5A72"/>
    <w:rsid w:val="009D6479"/>
    <w:rsid w:val="009D6BF9"/>
    <w:rsid w:val="009D73AA"/>
    <w:rsid w:val="009E3257"/>
    <w:rsid w:val="009E74CB"/>
    <w:rsid w:val="009F0450"/>
    <w:rsid w:val="009F1E11"/>
    <w:rsid w:val="009F3C73"/>
    <w:rsid w:val="009F64AE"/>
    <w:rsid w:val="00A00281"/>
    <w:rsid w:val="00A0258F"/>
    <w:rsid w:val="00A15085"/>
    <w:rsid w:val="00A20567"/>
    <w:rsid w:val="00A24C8B"/>
    <w:rsid w:val="00A30C5B"/>
    <w:rsid w:val="00A31947"/>
    <w:rsid w:val="00A36AED"/>
    <w:rsid w:val="00A375F5"/>
    <w:rsid w:val="00A40123"/>
    <w:rsid w:val="00A4026B"/>
    <w:rsid w:val="00A42F3D"/>
    <w:rsid w:val="00A443D7"/>
    <w:rsid w:val="00A46795"/>
    <w:rsid w:val="00A477B0"/>
    <w:rsid w:val="00A57419"/>
    <w:rsid w:val="00A57A92"/>
    <w:rsid w:val="00A57ACB"/>
    <w:rsid w:val="00A645C5"/>
    <w:rsid w:val="00A65A44"/>
    <w:rsid w:val="00A70BFE"/>
    <w:rsid w:val="00A72D38"/>
    <w:rsid w:val="00A74663"/>
    <w:rsid w:val="00A75214"/>
    <w:rsid w:val="00A76029"/>
    <w:rsid w:val="00A83364"/>
    <w:rsid w:val="00A925E5"/>
    <w:rsid w:val="00A964AC"/>
    <w:rsid w:val="00AA1067"/>
    <w:rsid w:val="00AA2373"/>
    <w:rsid w:val="00AB0230"/>
    <w:rsid w:val="00AC07B4"/>
    <w:rsid w:val="00AC1060"/>
    <w:rsid w:val="00AC2B41"/>
    <w:rsid w:val="00AC48C5"/>
    <w:rsid w:val="00AD11C2"/>
    <w:rsid w:val="00AD7FFB"/>
    <w:rsid w:val="00AE1D7A"/>
    <w:rsid w:val="00AE708E"/>
    <w:rsid w:val="00AF411A"/>
    <w:rsid w:val="00B04CB4"/>
    <w:rsid w:val="00B10CD1"/>
    <w:rsid w:val="00B12122"/>
    <w:rsid w:val="00B14926"/>
    <w:rsid w:val="00B31568"/>
    <w:rsid w:val="00B34436"/>
    <w:rsid w:val="00B346EC"/>
    <w:rsid w:val="00B36CC5"/>
    <w:rsid w:val="00B4785F"/>
    <w:rsid w:val="00B6078C"/>
    <w:rsid w:val="00B64E34"/>
    <w:rsid w:val="00B678F6"/>
    <w:rsid w:val="00B70C76"/>
    <w:rsid w:val="00B714CF"/>
    <w:rsid w:val="00B71DC2"/>
    <w:rsid w:val="00B720CE"/>
    <w:rsid w:val="00B76A63"/>
    <w:rsid w:val="00B82F0A"/>
    <w:rsid w:val="00B87612"/>
    <w:rsid w:val="00B92842"/>
    <w:rsid w:val="00BA3BBC"/>
    <w:rsid w:val="00BA3DED"/>
    <w:rsid w:val="00BA4316"/>
    <w:rsid w:val="00BB0169"/>
    <w:rsid w:val="00BB0A92"/>
    <w:rsid w:val="00BB5EA5"/>
    <w:rsid w:val="00BB6D04"/>
    <w:rsid w:val="00BC47EE"/>
    <w:rsid w:val="00BC7C35"/>
    <w:rsid w:val="00BD52B8"/>
    <w:rsid w:val="00BE2AD9"/>
    <w:rsid w:val="00BE6925"/>
    <w:rsid w:val="00BF06B2"/>
    <w:rsid w:val="00C02C99"/>
    <w:rsid w:val="00C02E92"/>
    <w:rsid w:val="00C0735A"/>
    <w:rsid w:val="00C12A11"/>
    <w:rsid w:val="00C414E3"/>
    <w:rsid w:val="00C43DA7"/>
    <w:rsid w:val="00C44992"/>
    <w:rsid w:val="00C46D42"/>
    <w:rsid w:val="00C521C8"/>
    <w:rsid w:val="00C528BD"/>
    <w:rsid w:val="00C566D5"/>
    <w:rsid w:val="00C57231"/>
    <w:rsid w:val="00C62DE5"/>
    <w:rsid w:val="00C637A2"/>
    <w:rsid w:val="00C63E93"/>
    <w:rsid w:val="00C74B50"/>
    <w:rsid w:val="00C76ED7"/>
    <w:rsid w:val="00C827A2"/>
    <w:rsid w:val="00C82914"/>
    <w:rsid w:val="00C876DD"/>
    <w:rsid w:val="00C91411"/>
    <w:rsid w:val="00C9397B"/>
    <w:rsid w:val="00CA2D7A"/>
    <w:rsid w:val="00CA46AA"/>
    <w:rsid w:val="00CA57EB"/>
    <w:rsid w:val="00CA7396"/>
    <w:rsid w:val="00CB5098"/>
    <w:rsid w:val="00CB6E14"/>
    <w:rsid w:val="00CB7517"/>
    <w:rsid w:val="00CD2E04"/>
    <w:rsid w:val="00CE0A55"/>
    <w:rsid w:val="00CE739F"/>
    <w:rsid w:val="00CE76B7"/>
    <w:rsid w:val="00CF4B25"/>
    <w:rsid w:val="00CF4F03"/>
    <w:rsid w:val="00D07B9A"/>
    <w:rsid w:val="00D229F5"/>
    <w:rsid w:val="00D22BBA"/>
    <w:rsid w:val="00D2338F"/>
    <w:rsid w:val="00D30764"/>
    <w:rsid w:val="00D32426"/>
    <w:rsid w:val="00D34B7E"/>
    <w:rsid w:val="00D372F5"/>
    <w:rsid w:val="00D40BD2"/>
    <w:rsid w:val="00D5037F"/>
    <w:rsid w:val="00D5524E"/>
    <w:rsid w:val="00D71AFA"/>
    <w:rsid w:val="00D8267B"/>
    <w:rsid w:val="00D84D0A"/>
    <w:rsid w:val="00DA0850"/>
    <w:rsid w:val="00DA0FF8"/>
    <w:rsid w:val="00DA2496"/>
    <w:rsid w:val="00DA738C"/>
    <w:rsid w:val="00DB7F7C"/>
    <w:rsid w:val="00DC5246"/>
    <w:rsid w:val="00DD5420"/>
    <w:rsid w:val="00DE18A3"/>
    <w:rsid w:val="00DF1633"/>
    <w:rsid w:val="00E01EFC"/>
    <w:rsid w:val="00E44774"/>
    <w:rsid w:val="00E45E92"/>
    <w:rsid w:val="00E45FAB"/>
    <w:rsid w:val="00E509C5"/>
    <w:rsid w:val="00E5661A"/>
    <w:rsid w:val="00E57A43"/>
    <w:rsid w:val="00E6486D"/>
    <w:rsid w:val="00E708B6"/>
    <w:rsid w:val="00E72A50"/>
    <w:rsid w:val="00E8146C"/>
    <w:rsid w:val="00E86F08"/>
    <w:rsid w:val="00E90AB5"/>
    <w:rsid w:val="00E90B3D"/>
    <w:rsid w:val="00EA654A"/>
    <w:rsid w:val="00EB28BB"/>
    <w:rsid w:val="00EB65E2"/>
    <w:rsid w:val="00EC6614"/>
    <w:rsid w:val="00EC6B6F"/>
    <w:rsid w:val="00ED1D14"/>
    <w:rsid w:val="00ED7C97"/>
    <w:rsid w:val="00EE11C8"/>
    <w:rsid w:val="00EE1AA3"/>
    <w:rsid w:val="00EE3A31"/>
    <w:rsid w:val="00EE4119"/>
    <w:rsid w:val="00EE5C4E"/>
    <w:rsid w:val="00EE64FC"/>
    <w:rsid w:val="00EE6A34"/>
    <w:rsid w:val="00EF2EE2"/>
    <w:rsid w:val="00EF2F5D"/>
    <w:rsid w:val="00EF5DB0"/>
    <w:rsid w:val="00EF7985"/>
    <w:rsid w:val="00EF7A30"/>
    <w:rsid w:val="00F1120A"/>
    <w:rsid w:val="00F11BC7"/>
    <w:rsid w:val="00F1429A"/>
    <w:rsid w:val="00F33734"/>
    <w:rsid w:val="00F35503"/>
    <w:rsid w:val="00F4186B"/>
    <w:rsid w:val="00F47F6A"/>
    <w:rsid w:val="00F502A4"/>
    <w:rsid w:val="00F56E73"/>
    <w:rsid w:val="00F60C57"/>
    <w:rsid w:val="00F61C39"/>
    <w:rsid w:val="00F64DB1"/>
    <w:rsid w:val="00F75C76"/>
    <w:rsid w:val="00F871B5"/>
    <w:rsid w:val="00F95F6E"/>
    <w:rsid w:val="00F9630B"/>
    <w:rsid w:val="00F96CAB"/>
    <w:rsid w:val="00FA7E0D"/>
    <w:rsid w:val="00FB577A"/>
    <w:rsid w:val="00FC100E"/>
    <w:rsid w:val="00FC1EF6"/>
    <w:rsid w:val="00FC2278"/>
    <w:rsid w:val="00FD23FE"/>
    <w:rsid w:val="00FE1348"/>
    <w:rsid w:val="00FE2208"/>
    <w:rsid w:val="00FE7B75"/>
    <w:rsid w:val="00FF1D4C"/>
    <w:rsid w:val="00FF200D"/>
    <w:rsid w:val="00FF4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7"/>
    <o:shapelayout v:ext="edit">
      <o:idmap v:ext="edit" data="1"/>
    </o:shapelayout>
  </w:shapeDefaults>
  <w:decimalSymbol w:val="."/>
  <w:listSeparator w:val=","/>
  <w14:docId w14:val="4699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A57A92"/>
    <w:pPr>
      <w:keepNext/>
      <w:tabs>
        <w:tab w:val="center" w:pos="4680"/>
      </w:tabs>
      <w:jc w:val="center"/>
      <w:outlineLvl w:val="0"/>
    </w:pPr>
    <w:rPr>
      <w:b/>
    </w:rPr>
  </w:style>
  <w:style w:type="paragraph" w:styleId="Heading2">
    <w:name w:val="heading 2"/>
    <w:basedOn w:val="Normal"/>
    <w:next w:val="Normal"/>
    <w:qFormat/>
    <w:rsid w:val="00A57A92"/>
    <w:pPr>
      <w:keepNext/>
      <w:ind w:left="720"/>
      <w:jc w:val="right"/>
      <w:outlineLvl w:val="1"/>
    </w:pPr>
    <w:rPr>
      <w:rFonts w:ascii="Arial" w:hAnsi="Arial"/>
      <w:i/>
      <w:sz w:val="18"/>
    </w:rPr>
  </w:style>
  <w:style w:type="paragraph" w:styleId="Heading3">
    <w:name w:val="heading 3"/>
    <w:basedOn w:val="Normal"/>
    <w:next w:val="Normal"/>
    <w:qFormat/>
    <w:rsid w:val="00A57A92"/>
    <w:pPr>
      <w:keepNext/>
      <w:tabs>
        <w:tab w:val="left" w:pos="5400"/>
      </w:tabs>
      <w:ind w:left="720"/>
      <w:outlineLvl w:val="2"/>
    </w:pPr>
    <w:rPr>
      <w:rFonts w:ascii="Arial" w:hAnsi="Arial"/>
      <w:i/>
      <w:sz w:val="18"/>
    </w:rPr>
  </w:style>
  <w:style w:type="paragraph" w:styleId="Heading4">
    <w:name w:val="heading 4"/>
    <w:basedOn w:val="Normal"/>
    <w:next w:val="Normal"/>
    <w:qFormat/>
    <w:rsid w:val="00A57A92"/>
    <w:pPr>
      <w:keepNext/>
      <w:outlineLvl w:val="3"/>
    </w:pPr>
    <w:rPr>
      <w:b/>
      <w:bCs/>
    </w:rPr>
  </w:style>
  <w:style w:type="paragraph" w:styleId="Heading5">
    <w:name w:val="heading 5"/>
    <w:basedOn w:val="Normal"/>
    <w:next w:val="Normal"/>
    <w:qFormat/>
    <w:rsid w:val="00A57A92"/>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57A92"/>
  </w:style>
  <w:style w:type="paragraph" w:styleId="Footer">
    <w:name w:val="footer"/>
    <w:basedOn w:val="Normal"/>
    <w:link w:val="FooterChar"/>
    <w:uiPriority w:val="99"/>
    <w:rsid w:val="00A57A92"/>
    <w:pPr>
      <w:widowControl/>
      <w:tabs>
        <w:tab w:val="center" w:pos="4320"/>
        <w:tab w:val="right" w:pos="8640"/>
      </w:tabs>
    </w:pPr>
    <w:rPr>
      <w:snapToGrid/>
      <w:szCs w:val="24"/>
    </w:rPr>
  </w:style>
  <w:style w:type="paragraph" w:styleId="BodyText">
    <w:name w:val="Body Text"/>
    <w:basedOn w:val="Normal"/>
    <w:rsid w:val="00A57A92"/>
    <w:pPr>
      <w:widowControl/>
    </w:pPr>
    <w:rPr>
      <w:rFonts w:ascii="Times" w:hAnsi="Times"/>
      <w:color w:val="000000"/>
    </w:rPr>
  </w:style>
  <w:style w:type="character" w:styleId="Hyperlink">
    <w:name w:val="Hyperlink"/>
    <w:uiPriority w:val="99"/>
    <w:rsid w:val="00A57A92"/>
    <w:rPr>
      <w:color w:val="0000FF"/>
      <w:u w:val="single"/>
    </w:rPr>
  </w:style>
  <w:style w:type="paragraph" w:styleId="BodyText2">
    <w:name w:val="Body Text 2"/>
    <w:basedOn w:val="Normal"/>
    <w:rsid w:val="00A57A92"/>
    <w:rPr>
      <w:i/>
      <w:iCs/>
    </w:rPr>
  </w:style>
  <w:style w:type="paragraph" w:styleId="BodyTextIndent">
    <w:name w:val="Body Text Indent"/>
    <w:basedOn w:val="Normal"/>
    <w:rsid w:val="00A57A92"/>
    <w:pPr>
      <w:autoSpaceDE w:val="0"/>
      <w:autoSpaceDN w:val="0"/>
      <w:adjustRightInd w:val="0"/>
      <w:ind w:left="-360"/>
    </w:pPr>
    <w:rPr>
      <w:snapToGrid/>
      <w:szCs w:val="24"/>
    </w:rPr>
  </w:style>
  <w:style w:type="character" w:styleId="PageNumber">
    <w:name w:val="page number"/>
    <w:basedOn w:val="DefaultParagraphFont"/>
    <w:rsid w:val="00A57A92"/>
  </w:style>
  <w:style w:type="paragraph" w:styleId="BodyTextIndent3">
    <w:name w:val="Body Text Indent 3"/>
    <w:basedOn w:val="Normal"/>
    <w:rsid w:val="00A57A92"/>
    <w:pPr>
      <w:widowControl/>
      <w:ind w:left="360" w:hanging="360"/>
    </w:pPr>
    <w:rPr>
      <w:szCs w:val="24"/>
    </w:rPr>
  </w:style>
  <w:style w:type="paragraph" w:styleId="BodyText3">
    <w:name w:val="Body Text 3"/>
    <w:basedOn w:val="Normal"/>
    <w:rsid w:val="00A57A92"/>
    <w:pPr>
      <w:autoSpaceDE w:val="0"/>
      <w:autoSpaceDN w:val="0"/>
      <w:adjustRightInd w:val="0"/>
    </w:pPr>
    <w:rPr>
      <w:b/>
      <w:bCs/>
    </w:rPr>
  </w:style>
  <w:style w:type="character" w:styleId="FollowedHyperlink">
    <w:name w:val="FollowedHyperlink"/>
    <w:rsid w:val="00A57A92"/>
    <w:rPr>
      <w:color w:val="800080"/>
      <w:u w:val="single"/>
    </w:rPr>
  </w:style>
  <w:style w:type="character" w:styleId="Strong">
    <w:name w:val="Strong"/>
    <w:qFormat/>
    <w:rsid w:val="00A57A92"/>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paragraph" w:styleId="ListParagraph">
    <w:name w:val="List Paragraph"/>
    <w:basedOn w:val="Normal"/>
    <w:uiPriority w:val="34"/>
    <w:qFormat/>
    <w:rsid w:val="000F2A07"/>
    <w:pPr>
      <w:widowControl/>
      <w:ind w:left="720"/>
      <w:contextualSpacing/>
    </w:pPr>
    <w:rPr>
      <w:snapToGrid/>
    </w:rPr>
  </w:style>
  <w:style w:type="character" w:customStyle="1" w:styleId="FootnoteTextChar">
    <w:name w:val="Footnote Text Char"/>
    <w:basedOn w:val="DefaultParagraphFont"/>
    <w:link w:val="FootnoteText"/>
    <w:uiPriority w:val="99"/>
    <w:rsid w:val="000F2A07"/>
  </w:style>
  <w:style w:type="paragraph" w:customStyle="1" w:styleId="Bullet">
    <w:name w:val="Bullet"/>
    <w:basedOn w:val="NormalWeb"/>
    <w:link w:val="BulletChar"/>
    <w:qFormat/>
    <w:rsid w:val="000F2A07"/>
    <w:pPr>
      <w:numPr>
        <w:numId w:val="17"/>
      </w:numPr>
      <w:spacing w:before="160" w:beforeAutospacing="0" w:after="160" w:afterAutospacing="0" w:line="276" w:lineRule="auto"/>
      <w:jc w:val="both"/>
    </w:pPr>
    <w:rPr>
      <w:rFonts w:ascii="Arial" w:hAnsi="Arial" w:cs="Arial"/>
      <w:sz w:val="20"/>
      <w:szCs w:val="20"/>
    </w:rPr>
  </w:style>
  <w:style w:type="character" w:customStyle="1" w:styleId="BulletChar">
    <w:name w:val="Bullet Char"/>
    <w:basedOn w:val="DefaultParagraphFont"/>
    <w:link w:val="Bullet"/>
    <w:rsid w:val="000F2A07"/>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A57A92"/>
    <w:pPr>
      <w:keepNext/>
      <w:tabs>
        <w:tab w:val="center" w:pos="4680"/>
      </w:tabs>
      <w:jc w:val="center"/>
      <w:outlineLvl w:val="0"/>
    </w:pPr>
    <w:rPr>
      <w:b/>
    </w:rPr>
  </w:style>
  <w:style w:type="paragraph" w:styleId="Heading2">
    <w:name w:val="heading 2"/>
    <w:basedOn w:val="Normal"/>
    <w:next w:val="Normal"/>
    <w:qFormat/>
    <w:rsid w:val="00A57A92"/>
    <w:pPr>
      <w:keepNext/>
      <w:ind w:left="720"/>
      <w:jc w:val="right"/>
      <w:outlineLvl w:val="1"/>
    </w:pPr>
    <w:rPr>
      <w:rFonts w:ascii="Arial" w:hAnsi="Arial"/>
      <w:i/>
      <w:sz w:val="18"/>
    </w:rPr>
  </w:style>
  <w:style w:type="paragraph" w:styleId="Heading3">
    <w:name w:val="heading 3"/>
    <w:basedOn w:val="Normal"/>
    <w:next w:val="Normal"/>
    <w:qFormat/>
    <w:rsid w:val="00A57A92"/>
    <w:pPr>
      <w:keepNext/>
      <w:tabs>
        <w:tab w:val="left" w:pos="5400"/>
      </w:tabs>
      <w:ind w:left="720"/>
      <w:outlineLvl w:val="2"/>
    </w:pPr>
    <w:rPr>
      <w:rFonts w:ascii="Arial" w:hAnsi="Arial"/>
      <w:i/>
      <w:sz w:val="18"/>
    </w:rPr>
  </w:style>
  <w:style w:type="paragraph" w:styleId="Heading4">
    <w:name w:val="heading 4"/>
    <w:basedOn w:val="Normal"/>
    <w:next w:val="Normal"/>
    <w:qFormat/>
    <w:rsid w:val="00A57A92"/>
    <w:pPr>
      <w:keepNext/>
      <w:outlineLvl w:val="3"/>
    </w:pPr>
    <w:rPr>
      <w:b/>
      <w:bCs/>
    </w:rPr>
  </w:style>
  <w:style w:type="paragraph" w:styleId="Heading5">
    <w:name w:val="heading 5"/>
    <w:basedOn w:val="Normal"/>
    <w:next w:val="Normal"/>
    <w:qFormat/>
    <w:rsid w:val="00A57A92"/>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57A92"/>
  </w:style>
  <w:style w:type="paragraph" w:styleId="Footer">
    <w:name w:val="footer"/>
    <w:basedOn w:val="Normal"/>
    <w:link w:val="FooterChar"/>
    <w:uiPriority w:val="99"/>
    <w:rsid w:val="00A57A92"/>
    <w:pPr>
      <w:widowControl/>
      <w:tabs>
        <w:tab w:val="center" w:pos="4320"/>
        <w:tab w:val="right" w:pos="8640"/>
      </w:tabs>
    </w:pPr>
    <w:rPr>
      <w:snapToGrid/>
      <w:szCs w:val="24"/>
    </w:rPr>
  </w:style>
  <w:style w:type="paragraph" w:styleId="BodyText">
    <w:name w:val="Body Text"/>
    <w:basedOn w:val="Normal"/>
    <w:rsid w:val="00A57A92"/>
    <w:pPr>
      <w:widowControl/>
    </w:pPr>
    <w:rPr>
      <w:rFonts w:ascii="Times" w:hAnsi="Times"/>
      <w:color w:val="000000"/>
    </w:rPr>
  </w:style>
  <w:style w:type="character" w:styleId="Hyperlink">
    <w:name w:val="Hyperlink"/>
    <w:uiPriority w:val="99"/>
    <w:rsid w:val="00A57A92"/>
    <w:rPr>
      <w:color w:val="0000FF"/>
      <w:u w:val="single"/>
    </w:rPr>
  </w:style>
  <w:style w:type="paragraph" w:styleId="BodyText2">
    <w:name w:val="Body Text 2"/>
    <w:basedOn w:val="Normal"/>
    <w:rsid w:val="00A57A92"/>
    <w:rPr>
      <w:i/>
      <w:iCs/>
    </w:rPr>
  </w:style>
  <w:style w:type="paragraph" w:styleId="BodyTextIndent">
    <w:name w:val="Body Text Indent"/>
    <w:basedOn w:val="Normal"/>
    <w:rsid w:val="00A57A92"/>
    <w:pPr>
      <w:autoSpaceDE w:val="0"/>
      <w:autoSpaceDN w:val="0"/>
      <w:adjustRightInd w:val="0"/>
      <w:ind w:left="-360"/>
    </w:pPr>
    <w:rPr>
      <w:snapToGrid/>
      <w:szCs w:val="24"/>
    </w:rPr>
  </w:style>
  <w:style w:type="character" w:styleId="PageNumber">
    <w:name w:val="page number"/>
    <w:basedOn w:val="DefaultParagraphFont"/>
    <w:rsid w:val="00A57A92"/>
  </w:style>
  <w:style w:type="paragraph" w:styleId="BodyTextIndent3">
    <w:name w:val="Body Text Indent 3"/>
    <w:basedOn w:val="Normal"/>
    <w:rsid w:val="00A57A92"/>
    <w:pPr>
      <w:widowControl/>
      <w:ind w:left="360" w:hanging="360"/>
    </w:pPr>
    <w:rPr>
      <w:szCs w:val="24"/>
    </w:rPr>
  </w:style>
  <w:style w:type="paragraph" w:styleId="BodyText3">
    <w:name w:val="Body Text 3"/>
    <w:basedOn w:val="Normal"/>
    <w:rsid w:val="00A57A92"/>
    <w:pPr>
      <w:autoSpaceDE w:val="0"/>
      <w:autoSpaceDN w:val="0"/>
      <w:adjustRightInd w:val="0"/>
    </w:pPr>
    <w:rPr>
      <w:b/>
      <w:bCs/>
    </w:rPr>
  </w:style>
  <w:style w:type="character" w:styleId="FollowedHyperlink">
    <w:name w:val="FollowedHyperlink"/>
    <w:rsid w:val="00A57A92"/>
    <w:rPr>
      <w:color w:val="800080"/>
      <w:u w:val="single"/>
    </w:rPr>
  </w:style>
  <w:style w:type="character" w:styleId="Strong">
    <w:name w:val="Strong"/>
    <w:qFormat/>
    <w:rsid w:val="00A57A92"/>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paragraph" w:styleId="ListParagraph">
    <w:name w:val="List Paragraph"/>
    <w:basedOn w:val="Normal"/>
    <w:uiPriority w:val="34"/>
    <w:qFormat/>
    <w:rsid w:val="000F2A07"/>
    <w:pPr>
      <w:widowControl/>
      <w:ind w:left="720"/>
      <w:contextualSpacing/>
    </w:pPr>
    <w:rPr>
      <w:snapToGrid/>
    </w:rPr>
  </w:style>
  <w:style w:type="character" w:customStyle="1" w:styleId="FootnoteTextChar">
    <w:name w:val="Footnote Text Char"/>
    <w:basedOn w:val="DefaultParagraphFont"/>
    <w:link w:val="FootnoteText"/>
    <w:uiPriority w:val="99"/>
    <w:rsid w:val="000F2A07"/>
  </w:style>
  <w:style w:type="paragraph" w:customStyle="1" w:styleId="Bullet">
    <w:name w:val="Bullet"/>
    <w:basedOn w:val="NormalWeb"/>
    <w:link w:val="BulletChar"/>
    <w:qFormat/>
    <w:rsid w:val="000F2A07"/>
    <w:pPr>
      <w:numPr>
        <w:numId w:val="17"/>
      </w:numPr>
      <w:spacing w:before="160" w:beforeAutospacing="0" w:after="160" w:afterAutospacing="0" w:line="276" w:lineRule="auto"/>
      <w:jc w:val="both"/>
    </w:pPr>
    <w:rPr>
      <w:rFonts w:ascii="Arial" w:hAnsi="Arial" w:cs="Arial"/>
      <w:sz w:val="20"/>
      <w:szCs w:val="20"/>
    </w:rPr>
  </w:style>
  <w:style w:type="character" w:customStyle="1" w:styleId="BulletChar">
    <w:name w:val="Bullet Char"/>
    <w:basedOn w:val="DefaultParagraphFont"/>
    <w:link w:val="Bullet"/>
    <w:rsid w:val="000F2A0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lawsregs/603cmr35.html?section=0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doe.mass.edu/lawsregs/603cmr35.html?section=03"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doe.mass.edu/lawsregs/603cmr35.html?section=04" TargetMode="External"/><Relationship Id="rId1" Type="http://schemas.openxmlformats.org/officeDocument/2006/relationships/hyperlink" Target="http://www.doe.mass.edu/lawsregs/603cmr35.html?section=0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ile1\Template\DOE%20Common\DOE%20Memo\ESE%20Board%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DESE-231-11938</_dlc_DocId>
    <_dlc_DocIdUrl xmlns="733efe1c-5bbe-4968-87dc-d400e65c879f">
      <Url>https://sharepoint.doemass.org/ese/webteam/cps/_layouts/DocIdRedir.aspx?ID=DESE-231-11938</Url>
      <Description>DESE-231-11938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0068AE1D-200B-474B-B07D-3CEC80C25E4A}">
  <ds:schemaRefs>
    <ds:schemaRef ds:uri="http://schemas.microsoft.com/office/2006/documentManagement/types"/>
    <ds:schemaRef ds:uri="http://purl.org/dc/elements/1.1/"/>
    <ds:schemaRef ds:uri="http://purl.org/dc/terms/"/>
    <ds:schemaRef ds:uri="http://schemas.microsoft.com/office/infopath/2007/PartnerControls"/>
    <ds:schemaRef ds:uri="733efe1c-5bbe-4968-87dc-d400e65c879f"/>
    <ds:schemaRef ds:uri="http://www.w3.org/XML/1998/namespace"/>
    <ds:schemaRef ds:uri="http://purl.org/dc/dcmitype/"/>
    <ds:schemaRef ds:uri="http://schemas.openxmlformats.org/package/2006/metadata/core-properties"/>
    <ds:schemaRef ds:uri="0a4e05da-b9bc-4326-ad73-01ef31b95567"/>
    <ds:schemaRef ds:uri="http://schemas.microsoft.com/office/2006/metadata/properties"/>
  </ds:schemaRefs>
</ds:datastoreItem>
</file>

<file path=customXml/itemProps2.xml><?xml version="1.0" encoding="utf-8"?>
<ds:datastoreItem xmlns:ds="http://schemas.openxmlformats.org/officeDocument/2006/customXml" ds:itemID="{C00EF431-CED0-41B2-9930-C14E70219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12DB1C-B35C-4E10-897B-007BA50CFFAF}">
  <ds:schemaRefs>
    <ds:schemaRef ds:uri="http://schemas.microsoft.com/sharepoint/events"/>
  </ds:schemaRefs>
</ds:datastoreItem>
</file>

<file path=customXml/itemProps4.xml><?xml version="1.0" encoding="utf-8"?>
<ds:datastoreItem xmlns:ds="http://schemas.openxmlformats.org/officeDocument/2006/customXml" ds:itemID="{07945AF0-C99F-46F2-A977-5AE6E7E4A9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ESE Board memo.dotx</Template>
  <TotalTime>0</TotalTime>
  <Pages>3</Pages>
  <Words>1016</Words>
  <Characters>5208</Characters>
  <Application>Microsoft Office Word</Application>
  <DocSecurity>0</DocSecurity>
  <Lines>400</Lines>
  <Paragraphs>414</Paragraphs>
  <ScaleCrop>false</ScaleCrop>
  <HeadingPairs>
    <vt:vector size="2" baseType="variant">
      <vt:variant>
        <vt:lpstr>Title</vt:lpstr>
      </vt:variant>
      <vt:variant>
        <vt:i4>1</vt:i4>
      </vt:variant>
    </vt:vector>
  </HeadingPairs>
  <TitlesOfParts>
    <vt:vector size="1" baseType="lpstr">
      <vt:lpstr>Board Memorandum, 2013-14 Educator Evaluation Ratings Data, November 2014</vt:lpstr>
    </vt:vector>
  </TitlesOfParts>
  <LinksUpToDate>false</LinksUpToDate>
  <CharactersWithSpaces>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 11/25/14, 2013-14 Educator Evaluation Ratings Data, November 2014</dc:title>
  <dc:creator/>
  <cp:lastModifiedBy/>
  <cp:revision>1</cp:revision>
  <cp:lastPrinted>2011-01-14T19:54:00Z</cp:lastPrinted>
  <dcterms:created xsi:type="dcterms:W3CDTF">2014-11-20T21:12:00Z</dcterms:created>
  <dcterms:modified xsi:type="dcterms:W3CDTF">2014-11-20T21:12:00Z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e407f226-46fc-4e7e-bd2a-e38d83276fba</vt:lpwstr>
  </property>
  <property fmtid="{D5CDD505-2E9C-101B-9397-08002B2CF9AE}" pid="4" name="metadate">
    <vt:lpwstr>Nov 20 2014</vt:lpwstr>
  </property>
</Properties>
</file>