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90" w:type="dxa"/>
        <w:tblInd w:w="-252" w:type="dxa"/>
        <w:tblLook w:val="04A0" w:firstRow="1" w:lastRow="0" w:firstColumn="1" w:lastColumn="0" w:noHBand="0" w:noVBand="1"/>
      </w:tblPr>
      <w:tblGrid>
        <w:gridCol w:w="9990"/>
      </w:tblGrid>
      <w:tr w:rsidR="00906081" w:rsidRPr="00871BD5" w14:paraId="27966846" w14:textId="77777777" w:rsidTr="00906081">
        <w:tc>
          <w:tcPr>
            <w:tcW w:w="9990" w:type="dxa"/>
            <w:shd w:val="clear" w:color="auto" w:fill="FDE9D9" w:themeFill="accent6" w:themeFillTint="33"/>
          </w:tcPr>
          <w:p w14:paraId="27966845" w14:textId="77777777" w:rsidR="00906081" w:rsidRPr="00906081" w:rsidRDefault="00367014" w:rsidP="00862A3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DEPARTMENT OF ELEMENTARY AND SECONDARY EDUCATION (ESE) </w:t>
            </w:r>
            <w:r w:rsidR="00906081">
              <w:rPr>
                <w:b/>
                <w:sz w:val="28"/>
                <w:szCs w:val="28"/>
              </w:rPr>
              <w:t>IMPLEMENTATION PLAN</w:t>
            </w:r>
          </w:p>
        </w:tc>
      </w:tr>
      <w:tr w:rsidR="00E73104" w:rsidRPr="00871BD5" w14:paraId="27966848" w14:textId="77777777" w:rsidTr="00FA24CE">
        <w:tc>
          <w:tcPr>
            <w:tcW w:w="9990" w:type="dxa"/>
            <w:shd w:val="clear" w:color="auto" w:fill="DBE5F1" w:themeFill="accent1" w:themeFillTint="33"/>
          </w:tcPr>
          <w:p w14:paraId="27966847" w14:textId="77777777" w:rsidR="00E73104" w:rsidRPr="00871BD5" w:rsidRDefault="007B2A8A" w:rsidP="00862A33">
            <w:pPr>
              <w:spacing w:before="120" w:after="120"/>
              <w:jc w:val="center"/>
            </w:pPr>
            <w:r>
              <w:rPr>
                <w:b/>
                <w:sz w:val="28"/>
                <w:szCs w:val="28"/>
                <w:u w:val="single"/>
              </w:rPr>
              <w:t>Research Findings</w:t>
            </w:r>
          </w:p>
        </w:tc>
      </w:tr>
      <w:tr w:rsidR="00E73104" w:rsidRPr="00871BD5" w14:paraId="2796684C" w14:textId="77777777" w:rsidTr="00FA24CE">
        <w:tc>
          <w:tcPr>
            <w:tcW w:w="9990" w:type="dxa"/>
          </w:tcPr>
          <w:p w14:paraId="27966849" w14:textId="77777777" w:rsidR="00E73104" w:rsidRPr="00871BD5" w:rsidRDefault="00E73104" w:rsidP="00DD16F4">
            <w:pPr>
              <w:spacing w:before="120" w:after="120"/>
            </w:pPr>
            <w:r w:rsidRPr="00DD16F4">
              <w:rPr>
                <w:b/>
                <w:u w:val="single"/>
              </w:rPr>
              <w:t>Identification</w:t>
            </w:r>
          </w:p>
          <w:p w14:paraId="2796684A" w14:textId="77777777" w:rsidR="005C4F72" w:rsidRDefault="00DE429E" w:rsidP="00DD16F4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</w:pPr>
            <w:r>
              <w:t xml:space="preserve">Differences in rate of low-income students being found eligible for special education (more than </w:t>
            </w:r>
            <w:r w:rsidR="00191861">
              <w:t>2.6 times as</w:t>
            </w:r>
            <w:r>
              <w:t xml:space="preserve"> likely to be found eligible than non-low income) reflect</w:t>
            </w:r>
            <w:r w:rsidR="00E73104" w:rsidRPr="00871BD5">
              <w:t xml:space="preserve"> over-identification of low-income students in Massachusetts</w:t>
            </w:r>
            <w:r>
              <w:t>, much higher than would be expected</w:t>
            </w:r>
            <w:r w:rsidR="00191861">
              <w:t xml:space="preserve"> (expected rate of .5 more likely to be found eligible).</w:t>
            </w:r>
            <w:r w:rsidR="00E73104" w:rsidRPr="00871BD5">
              <w:t xml:space="preserve"> </w:t>
            </w:r>
          </w:p>
          <w:p w14:paraId="2796684B" w14:textId="77777777" w:rsidR="00B45CC2" w:rsidRPr="00871BD5" w:rsidRDefault="005C4F72" w:rsidP="005C4F72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</w:pPr>
            <w:r w:rsidRPr="005C4F72">
              <w:rPr>
                <w:snapToGrid w:val="0"/>
              </w:rPr>
              <w:t xml:space="preserve">ESE data show the highest referral rates to special education are for 3-5 year olds.  As with the K-12 population, 3-5 year olds who are low-income are more likely to be found eligible for special education than non-low income students. </w:t>
            </w:r>
          </w:p>
        </w:tc>
      </w:tr>
      <w:tr w:rsidR="007E5CC5" w:rsidRPr="00871BD5" w14:paraId="27966852" w14:textId="77777777" w:rsidTr="00FA24CE">
        <w:tc>
          <w:tcPr>
            <w:tcW w:w="9990" w:type="dxa"/>
          </w:tcPr>
          <w:p w14:paraId="2796684D" w14:textId="77777777" w:rsidR="008C5DBA" w:rsidRDefault="007E5CC5" w:rsidP="00DD16F4">
            <w:pPr>
              <w:spacing w:before="120" w:after="120"/>
              <w:rPr>
                <w:b/>
                <w:u w:val="single"/>
              </w:rPr>
            </w:pPr>
            <w:r w:rsidRPr="00DD16F4">
              <w:rPr>
                <w:b/>
                <w:u w:val="single"/>
              </w:rPr>
              <w:t>Access</w:t>
            </w:r>
            <w:r w:rsidR="008C5DBA">
              <w:rPr>
                <w:b/>
                <w:u w:val="single"/>
              </w:rPr>
              <w:t xml:space="preserve"> to the General </w:t>
            </w:r>
            <w:r w:rsidR="007935D2">
              <w:rPr>
                <w:b/>
                <w:u w:val="single"/>
              </w:rPr>
              <w:t xml:space="preserve">Education </w:t>
            </w:r>
            <w:r w:rsidR="008C5DBA">
              <w:rPr>
                <w:b/>
                <w:u w:val="single"/>
              </w:rPr>
              <w:t xml:space="preserve">Curriculum and to High Quality Instruction </w:t>
            </w:r>
          </w:p>
          <w:p w14:paraId="2796684E" w14:textId="77777777" w:rsidR="008C5DBA" w:rsidRPr="008C5DBA" w:rsidRDefault="008C5DBA" w:rsidP="00DD16F4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b/>
                <w:i/>
              </w:rPr>
            </w:pPr>
            <w:r w:rsidRPr="00871BD5">
              <w:t xml:space="preserve">Students with disabilities in inclusive settings </w:t>
            </w:r>
            <w:r>
              <w:t xml:space="preserve">(including vocational schools) </w:t>
            </w:r>
            <w:r w:rsidRPr="00871BD5">
              <w:t>have better educational outcomes and graduate at higher rates and</w:t>
            </w:r>
            <w:r>
              <w:t xml:space="preserve"> on time, compared to students in more restrictive settings (substantially separate classrooms and out-of district placements)</w:t>
            </w:r>
            <w:r w:rsidRPr="00871BD5">
              <w:t xml:space="preserve">.  </w:t>
            </w:r>
            <w:r w:rsidR="004F05A2">
              <w:t xml:space="preserve"> </w:t>
            </w:r>
          </w:p>
          <w:p w14:paraId="2796684F" w14:textId="77777777" w:rsidR="008C5DBA" w:rsidRPr="00F03307" w:rsidRDefault="008C5DBA" w:rsidP="008C5DBA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b/>
                <w:i/>
              </w:rPr>
            </w:pPr>
            <w:r w:rsidRPr="00871BD5">
              <w:t xml:space="preserve">There are disparities in enrollment of students </w:t>
            </w:r>
            <w:r w:rsidR="00BA1254">
              <w:t>with disabilities in vocational-</w:t>
            </w:r>
            <w:r w:rsidRPr="00871BD5">
              <w:t xml:space="preserve">technical schools </w:t>
            </w:r>
            <w:r>
              <w:t>such that</w:t>
            </w:r>
            <w:r w:rsidRPr="00871BD5">
              <w:t xml:space="preserve"> certain students with </w:t>
            </w:r>
            <w:r>
              <w:t>sensory impairments (</w:t>
            </w:r>
            <w:r w:rsidR="00BA1254">
              <w:t>d</w:t>
            </w:r>
            <w:r w:rsidR="004967B5">
              <w:t>eaf</w:t>
            </w:r>
            <w:r>
              <w:t xml:space="preserve">, </w:t>
            </w:r>
            <w:r w:rsidR="000B6664">
              <w:t>h</w:t>
            </w:r>
            <w:r>
              <w:t xml:space="preserve">ard of </w:t>
            </w:r>
            <w:r w:rsidR="000B6664">
              <w:t>h</w:t>
            </w:r>
            <w:r>
              <w:t xml:space="preserve">earing, </w:t>
            </w:r>
            <w:r w:rsidR="000B6664">
              <w:t>b</w:t>
            </w:r>
            <w:r>
              <w:t xml:space="preserve">lind, </w:t>
            </w:r>
            <w:r w:rsidR="004967B5">
              <w:t>deaf/blind</w:t>
            </w:r>
            <w:r>
              <w:t>) or emotional impairments</w:t>
            </w:r>
            <w:r w:rsidRPr="00871BD5">
              <w:t xml:space="preserve"> are un</w:t>
            </w:r>
            <w:r w:rsidR="00BA1254">
              <w:t>der-</w:t>
            </w:r>
            <w:r w:rsidRPr="00871BD5">
              <w:t xml:space="preserve">represented in the various </w:t>
            </w:r>
            <w:r w:rsidR="00BA1254">
              <w:t>c</w:t>
            </w:r>
            <w:r>
              <w:t>areer</w:t>
            </w:r>
            <w:r w:rsidR="00BA1254">
              <w:t>/t</w:t>
            </w:r>
            <w:r>
              <w:t>echn</w:t>
            </w:r>
            <w:r w:rsidR="00BA1254">
              <w:t>ical e</w:t>
            </w:r>
            <w:r>
              <w:t xml:space="preserve">ducation </w:t>
            </w:r>
            <w:r w:rsidRPr="00871BD5">
              <w:t>program</w:t>
            </w:r>
            <w:r w:rsidR="00BA1254">
              <w:t>s and</w:t>
            </w:r>
            <w:r w:rsidRPr="00871BD5">
              <w:t xml:space="preserve"> school</w:t>
            </w:r>
            <w:r w:rsidR="00BA1254">
              <w:t>s</w:t>
            </w:r>
            <w:r w:rsidRPr="00871BD5">
              <w:t xml:space="preserve">. </w:t>
            </w:r>
            <w:r>
              <w:t xml:space="preserve">  </w:t>
            </w:r>
          </w:p>
          <w:p w14:paraId="27966850" w14:textId="77777777" w:rsidR="007E5CC5" w:rsidRDefault="00BA1254" w:rsidP="00C26685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</w:pPr>
            <w:r>
              <w:t>D</w:t>
            </w:r>
            <w:r w:rsidR="00B45CC2" w:rsidRPr="00B45CC2">
              <w:t xml:space="preserve">ata from the state’s Special Education Performance Plan show poor outcomes regarding preparing 3-5- year-old students with disabilities for age-appropriate social and emotional skills prior to entering </w:t>
            </w:r>
            <w:r w:rsidR="000B6664">
              <w:t>k</w:t>
            </w:r>
            <w:r w:rsidR="00B45CC2" w:rsidRPr="00B45CC2">
              <w:t xml:space="preserve">indergarten.  </w:t>
            </w:r>
          </w:p>
          <w:p w14:paraId="27966851" w14:textId="77777777" w:rsidR="007E5CC5" w:rsidRPr="00871BD5" w:rsidRDefault="007E5CC5" w:rsidP="00367014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</w:pPr>
            <w:r w:rsidRPr="007E5CC5">
              <w:t xml:space="preserve">Students with disabilities, particularly those with learning disabilities and those with behavioral </w:t>
            </w:r>
            <w:r w:rsidRPr="00871BD5">
              <w:t xml:space="preserve">issues, have a much higher likelihood of dropping out of school than their nondisabled peers (roughly </w:t>
            </w:r>
            <w:r w:rsidR="000B6664">
              <w:t>twice as likely</w:t>
            </w:r>
            <w:r w:rsidRPr="00871BD5">
              <w:t xml:space="preserve">). These students </w:t>
            </w:r>
            <w:r w:rsidR="00367014" w:rsidRPr="00871BD5">
              <w:t>experience poorer education outco</w:t>
            </w:r>
            <w:r w:rsidR="00367014">
              <w:t>mes</w:t>
            </w:r>
            <w:r w:rsidR="00367014" w:rsidRPr="00871BD5">
              <w:t xml:space="preserve"> </w:t>
            </w:r>
            <w:r w:rsidR="00367014">
              <w:t xml:space="preserve">and </w:t>
            </w:r>
            <w:r w:rsidRPr="00871BD5">
              <w:t>are less likely to return to education</w:t>
            </w:r>
            <w:r>
              <w:t>.</w:t>
            </w:r>
          </w:p>
        </w:tc>
      </w:tr>
      <w:tr w:rsidR="00E73104" w:rsidRPr="00871BD5" w14:paraId="27966859" w14:textId="77777777" w:rsidTr="00FA24CE">
        <w:tc>
          <w:tcPr>
            <w:tcW w:w="9990" w:type="dxa"/>
          </w:tcPr>
          <w:p w14:paraId="27966853" w14:textId="77777777" w:rsidR="008C5DBA" w:rsidRPr="00871BD5" w:rsidRDefault="00E73104" w:rsidP="008C5DBA">
            <w:pPr>
              <w:spacing w:before="120" w:after="120"/>
            </w:pPr>
            <w:r w:rsidRPr="00FA24CE">
              <w:rPr>
                <w:szCs w:val="24"/>
              </w:rPr>
              <w:t xml:space="preserve"> </w:t>
            </w:r>
            <w:r w:rsidR="007935D2" w:rsidRPr="00951E69">
              <w:rPr>
                <w:b/>
                <w:szCs w:val="24"/>
                <w:u w:val="single"/>
              </w:rPr>
              <w:t xml:space="preserve">Placement in </w:t>
            </w:r>
            <w:r w:rsidR="007935D2" w:rsidRPr="00951E69">
              <w:rPr>
                <w:b/>
                <w:u w:val="single"/>
              </w:rPr>
              <w:t>t</w:t>
            </w:r>
            <w:r w:rsidR="008C5DBA" w:rsidRPr="00951E69">
              <w:rPr>
                <w:b/>
                <w:u w:val="single"/>
              </w:rPr>
              <w:t>he</w:t>
            </w:r>
            <w:r w:rsidR="008C5DBA">
              <w:rPr>
                <w:b/>
                <w:u w:val="single"/>
              </w:rPr>
              <w:t xml:space="preserve"> Least Restrictive Environment</w:t>
            </w:r>
          </w:p>
          <w:p w14:paraId="27966854" w14:textId="77777777" w:rsidR="00DE429E" w:rsidRDefault="00E73104" w:rsidP="008C5DBA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</w:pPr>
            <w:r w:rsidRPr="00871BD5">
              <w:t>Students with disabilities in full inclusion settings outperform similar students who are not included to the same extent in general education classrooms. There is significant variability of inclusion practices</w:t>
            </w:r>
            <w:r w:rsidR="00951E69">
              <w:t>,</w:t>
            </w:r>
            <w:r w:rsidR="00730953">
              <w:t xml:space="preserve"> with </w:t>
            </w:r>
            <w:r w:rsidR="00951E69">
              <w:t xml:space="preserve">significantly fewer </w:t>
            </w:r>
            <w:r w:rsidR="008C5DBA">
              <w:t xml:space="preserve">inclusion </w:t>
            </w:r>
            <w:r w:rsidR="00730953">
              <w:t>options at the secondary level</w:t>
            </w:r>
            <w:r w:rsidRPr="00871BD5">
              <w:t xml:space="preserve">. </w:t>
            </w:r>
          </w:p>
          <w:p w14:paraId="27966855" w14:textId="77777777" w:rsidR="00DE429E" w:rsidRPr="008C5DBA" w:rsidRDefault="00E73104" w:rsidP="00C26685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</w:pPr>
            <w:r w:rsidRPr="008C5DBA">
              <w:t xml:space="preserve">A substantial majority of students </w:t>
            </w:r>
            <w:r w:rsidR="00F03307" w:rsidRPr="008C5DBA">
              <w:t xml:space="preserve">in out-of-district settings </w:t>
            </w:r>
            <w:r w:rsidRPr="008C5DBA">
              <w:t xml:space="preserve">never return to a more inclusive setting.   </w:t>
            </w:r>
            <w:r w:rsidR="00DE429E" w:rsidRPr="008C5DBA">
              <w:t>Special</w:t>
            </w:r>
            <w:r w:rsidR="00BC4FBA" w:rsidRPr="008C5DBA">
              <w:t xml:space="preserve"> </w:t>
            </w:r>
            <w:r w:rsidR="00367014" w:rsidRPr="008C5DBA">
              <w:t>e</w:t>
            </w:r>
            <w:r w:rsidR="00DE429E" w:rsidRPr="008C5DBA">
              <w:t xml:space="preserve">ducation </w:t>
            </w:r>
            <w:r w:rsidR="00367014" w:rsidRPr="008C5DBA">
              <w:t>a</w:t>
            </w:r>
            <w:r w:rsidR="00DE429E" w:rsidRPr="008C5DBA">
              <w:t xml:space="preserve">dministrators report </w:t>
            </w:r>
            <w:r w:rsidR="0026413C" w:rsidRPr="008C5DBA">
              <w:t xml:space="preserve">that student </w:t>
            </w:r>
            <w:r w:rsidR="00DE429E" w:rsidRPr="008C5DBA">
              <w:t xml:space="preserve">behavior </w:t>
            </w:r>
            <w:r w:rsidR="0026413C" w:rsidRPr="008C5DBA">
              <w:t>i</w:t>
            </w:r>
            <w:r w:rsidR="00DE429E" w:rsidRPr="008C5DBA">
              <w:t xml:space="preserve">s </w:t>
            </w:r>
            <w:r w:rsidR="00367014" w:rsidRPr="008C5DBA">
              <w:t xml:space="preserve">the </w:t>
            </w:r>
            <w:r w:rsidR="00DE429E" w:rsidRPr="008C5DBA">
              <w:t>single biggest reason for out-of-district placements at all ages.</w:t>
            </w:r>
            <w:r w:rsidR="004F05A2" w:rsidRPr="008C5DBA">
              <w:t xml:space="preserve">  </w:t>
            </w:r>
          </w:p>
          <w:p w14:paraId="27966856" w14:textId="77777777" w:rsidR="00191861" w:rsidRPr="00191861" w:rsidRDefault="00191861" w:rsidP="00FA24CE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</w:pPr>
            <w:r>
              <w:t>Low</w:t>
            </w:r>
            <w:r w:rsidR="0026413C">
              <w:t>-</w:t>
            </w:r>
            <w:r>
              <w:t>income students, black</w:t>
            </w:r>
            <w:r w:rsidR="0026413C">
              <w:t xml:space="preserve"> students,</w:t>
            </w:r>
            <w:r>
              <w:t xml:space="preserve"> and Hispanic students </w:t>
            </w:r>
            <w:r w:rsidR="0026413C">
              <w:t xml:space="preserve">with disabilities </w:t>
            </w:r>
            <w:r>
              <w:t xml:space="preserve">are more likely </w:t>
            </w:r>
            <w:r w:rsidR="0026413C">
              <w:t xml:space="preserve">than other students with disabilities </w:t>
            </w:r>
            <w:r>
              <w:t xml:space="preserve">to be placed in substantially separate or out-of-district settings.  (See also </w:t>
            </w:r>
            <w:r w:rsidR="007935D2">
              <w:t>the finding above regarding i</w:t>
            </w:r>
            <w:r>
              <w:t xml:space="preserve">dentification of </w:t>
            </w:r>
            <w:r w:rsidR="0026413C">
              <w:t>l</w:t>
            </w:r>
            <w:r>
              <w:t>ow</w:t>
            </w:r>
            <w:r w:rsidR="0026413C">
              <w:t>-</w:t>
            </w:r>
            <w:r>
              <w:t>income students.)</w:t>
            </w:r>
          </w:p>
          <w:p w14:paraId="27966857" w14:textId="77777777" w:rsidR="00C619C8" w:rsidRDefault="007E5CC5" w:rsidP="00C619C8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</w:pPr>
            <w:r w:rsidRPr="00C26685">
              <w:t>Strong outcomes</w:t>
            </w:r>
            <w:r w:rsidR="00C26685">
              <w:t xml:space="preserve"> and persistence of</w:t>
            </w:r>
            <w:r w:rsidRPr="00C26685">
              <w:t xml:space="preserve"> </w:t>
            </w:r>
            <w:r w:rsidR="00730953" w:rsidRPr="00C26685">
              <w:t xml:space="preserve">students with disabilities </w:t>
            </w:r>
            <w:r w:rsidRPr="00C26685">
              <w:t xml:space="preserve">in </w:t>
            </w:r>
            <w:r w:rsidR="0026413C" w:rsidRPr="00C26685">
              <w:t>v</w:t>
            </w:r>
            <w:r w:rsidRPr="00C26685">
              <w:t>ocational</w:t>
            </w:r>
            <w:r w:rsidR="0026413C" w:rsidRPr="00C26685">
              <w:t>-t</w:t>
            </w:r>
            <w:r w:rsidRPr="00C26685">
              <w:t xml:space="preserve">echnical </w:t>
            </w:r>
            <w:r w:rsidR="0026413C" w:rsidRPr="00C26685">
              <w:t>s</w:t>
            </w:r>
            <w:r w:rsidRPr="00C26685">
              <w:t xml:space="preserve">chools suggest that </w:t>
            </w:r>
            <w:r w:rsidR="00C26685">
              <w:t xml:space="preserve">alternate </w:t>
            </w:r>
            <w:r w:rsidRPr="00C26685">
              <w:t>organizational</w:t>
            </w:r>
            <w:r w:rsidRPr="00871BD5">
              <w:t xml:space="preserve"> structure</w:t>
            </w:r>
            <w:r w:rsidR="00C26685">
              <w:t xml:space="preserve">s help secondary school level students to </w:t>
            </w:r>
            <w:r w:rsidR="00C619C8">
              <w:t>be successful.</w:t>
            </w:r>
          </w:p>
          <w:p w14:paraId="27966858" w14:textId="77777777" w:rsidR="00CF769D" w:rsidRDefault="00DD16F4" w:rsidP="00C619C8">
            <w:pPr>
              <w:pStyle w:val="ListParagraph"/>
              <w:spacing w:before="120" w:after="120" w:line="240" w:lineRule="auto"/>
              <w:ind w:left="360"/>
            </w:pPr>
            <w:r w:rsidRPr="00871BD5">
              <w:rPr>
                <w:b/>
                <w:i/>
              </w:rPr>
              <w:t xml:space="preserve"> </w:t>
            </w:r>
          </w:p>
        </w:tc>
      </w:tr>
    </w:tbl>
    <w:p w14:paraId="2796685A" w14:textId="77777777" w:rsidR="00951E69" w:rsidRDefault="00951E69">
      <w:r>
        <w:br w:type="page"/>
      </w:r>
    </w:p>
    <w:tbl>
      <w:tblPr>
        <w:tblStyle w:val="TableGrid"/>
        <w:tblW w:w="9990" w:type="dxa"/>
        <w:tblInd w:w="-252" w:type="dxa"/>
        <w:tblLook w:val="04A0" w:firstRow="1" w:lastRow="0" w:firstColumn="1" w:lastColumn="0" w:noHBand="0" w:noVBand="1"/>
      </w:tblPr>
      <w:tblGrid>
        <w:gridCol w:w="9990"/>
      </w:tblGrid>
      <w:tr w:rsidR="00E73104" w:rsidRPr="00871BD5" w14:paraId="2796685C" w14:textId="77777777" w:rsidTr="00C619C8">
        <w:tc>
          <w:tcPr>
            <w:tcW w:w="9990" w:type="dxa"/>
            <w:shd w:val="clear" w:color="auto" w:fill="D6E3BC" w:themeFill="accent3" w:themeFillTint="66"/>
          </w:tcPr>
          <w:p w14:paraId="2796685B" w14:textId="77777777" w:rsidR="00E73104" w:rsidRPr="00871BD5" w:rsidRDefault="005714AF" w:rsidP="00862A3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ESE Responsive Strategic Actions</w:t>
            </w:r>
          </w:p>
        </w:tc>
      </w:tr>
      <w:tr w:rsidR="005714AF" w:rsidRPr="00871BD5" w14:paraId="27966875" w14:textId="77777777" w:rsidTr="00FA24CE">
        <w:tc>
          <w:tcPr>
            <w:tcW w:w="9990" w:type="dxa"/>
          </w:tcPr>
          <w:p w14:paraId="2796685D" w14:textId="77777777" w:rsidR="00FA24CE" w:rsidRPr="00FA24CE" w:rsidRDefault="003B28A5" w:rsidP="00FA24CE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Provide early interventions to improve student outcomes</w:t>
            </w:r>
          </w:p>
          <w:p w14:paraId="2796685E" w14:textId="77777777" w:rsidR="003B28A5" w:rsidRPr="00FA24CE" w:rsidRDefault="003B28A5" w:rsidP="003B28A5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b/>
                <w:u w:val="single"/>
              </w:rPr>
            </w:pPr>
            <w:r>
              <w:rPr>
                <w:b/>
                <w:i/>
              </w:rPr>
              <w:t xml:space="preserve">ESE will focus technical assistance on eligibility </w:t>
            </w:r>
            <w:r w:rsidR="004967B5">
              <w:rPr>
                <w:b/>
                <w:i/>
              </w:rPr>
              <w:t>determinations at</w:t>
            </w:r>
            <w:r>
              <w:rPr>
                <w:b/>
                <w:i/>
              </w:rPr>
              <w:t xml:space="preserve"> the </w:t>
            </w:r>
            <w:r w:rsidR="007935D2">
              <w:rPr>
                <w:b/>
                <w:i/>
              </w:rPr>
              <w:t xml:space="preserve">pre-kindergarten </w:t>
            </w:r>
            <w:r>
              <w:rPr>
                <w:b/>
                <w:i/>
              </w:rPr>
              <w:t xml:space="preserve">level to address the highest rates of initial referral.  </w:t>
            </w:r>
            <w:r>
              <w:t>Starting technical assistance Sept. 2015.  (Lead:  Special Ed</w:t>
            </w:r>
            <w:r w:rsidR="009306FF">
              <w:t>ucation</w:t>
            </w:r>
            <w:r>
              <w:t xml:space="preserve"> Planning and Policy partnering with </w:t>
            </w:r>
            <w:r w:rsidR="004967B5">
              <w:t>Department</w:t>
            </w:r>
            <w:r>
              <w:t xml:space="preserve"> of Early Education and Care and the ESE Early Childhood Team)</w:t>
            </w:r>
          </w:p>
          <w:p w14:paraId="2796685F" w14:textId="77777777" w:rsidR="003B28A5" w:rsidRPr="003B28A5" w:rsidRDefault="003B28A5" w:rsidP="003B28A5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b/>
                <w:u w:val="single"/>
              </w:rPr>
            </w:pPr>
            <w:r>
              <w:rPr>
                <w:b/>
                <w:i/>
              </w:rPr>
              <w:t xml:space="preserve">ESE will improve </w:t>
            </w:r>
            <w:r w:rsidR="007935D2">
              <w:rPr>
                <w:b/>
                <w:i/>
              </w:rPr>
              <w:t>pre-kindergarten</w:t>
            </w:r>
            <w:r>
              <w:rPr>
                <w:b/>
                <w:i/>
              </w:rPr>
              <w:t xml:space="preserve"> focus</w:t>
            </w:r>
            <w:r>
              <w:t xml:space="preserve"> on providing  young children with disabilities with opportunities for </w:t>
            </w:r>
            <w:r w:rsidRPr="00871BD5">
              <w:t xml:space="preserve">positive social-emotional skills/acquisition and use of knowledge and skills, and use of appropriate behaviors in </w:t>
            </w:r>
            <w:r w:rsidR="007935D2">
              <w:t>pre-kindergarten</w:t>
            </w:r>
            <w:r>
              <w:t xml:space="preserve"> as a means of improving overall access to education throughout the grades.  This work will be done in coordination with ESE’s Positive Behavior Interventions and Supports initiatives.  Ongoing</w:t>
            </w:r>
            <w:r w:rsidRPr="00871BD5">
              <w:t>.</w:t>
            </w:r>
            <w:r>
              <w:t xml:space="preserve">  (Lead:  Special Education Planning and Policy partnering with </w:t>
            </w:r>
            <w:r w:rsidR="004967B5">
              <w:t>Department</w:t>
            </w:r>
            <w:r>
              <w:t xml:space="preserve"> of Early Education and Care</w:t>
            </w:r>
            <w:r w:rsidR="007935D2">
              <w:t>,</w:t>
            </w:r>
            <w:r>
              <w:t xml:space="preserve"> ESE Early Childhood Team</w:t>
            </w:r>
            <w:r w:rsidR="007935D2">
              <w:t>,</w:t>
            </w:r>
            <w:r>
              <w:t xml:space="preserve"> and the Offi</w:t>
            </w:r>
            <w:r w:rsidR="00951E69">
              <w:t>ce of Tiered Systems of Support</w:t>
            </w:r>
            <w:r>
              <w:t>)</w:t>
            </w:r>
          </w:p>
          <w:p w14:paraId="27966860" w14:textId="77777777" w:rsidR="003B28A5" w:rsidRPr="003B28A5" w:rsidRDefault="003B28A5" w:rsidP="003B28A5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8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Increase the capacity of general educ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</w:t>
            </w:r>
            <w:r w:rsidRPr="003B28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tion classrooms to meet the needs of diverse learners.</w:t>
            </w:r>
          </w:p>
          <w:p w14:paraId="27966861" w14:textId="77777777" w:rsidR="003B28A5" w:rsidRPr="00096098" w:rsidRDefault="003B28A5" w:rsidP="003B28A5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b/>
                <w:u w:val="single"/>
              </w:rPr>
            </w:pPr>
            <w:r>
              <w:rPr>
                <w:b/>
                <w:i/>
              </w:rPr>
              <w:t xml:space="preserve">ESE will promote use of the Massachusetts Tiered Systems of Support (MTSS) </w:t>
            </w:r>
            <w:r>
              <w:t xml:space="preserve">in identified districts. Ongoing.  (Lead: </w:t>
            </w:r>
            <w:r w:rsidRPr="00096098">
              <w:t>Office of Tiered Systems of Support</w:t>
            </w:r>
            <w:r>
              <w:t>)</w:t>
            </w:r>
          </w:p>
          <w:p w14:paraId="27966862" w14:textId="77777777" w:rsidR="003B28A5" w:rsidRPr="00FA24CE" w:rsidRDefault="003B28A5" w:rsidP="003B28A5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b/>
                <w:u w:val="single"/>
              </w:rPr>
            </w:pPr>
            <w:r>
              <w:rPr>
                <w:b/>
                <w:i/>
              </w:rPr>
              <w:t xml:space="preserve">ESE will </w:t>
            </w:r>
            <w:r w:rsidRPr="0036514A">
              <w:rPr>
                <w:b/>
                <w:i/>
              </w:rPr>
              <w:t>identify high schools</w:t>
            </w:r>
            <w:r w:rsidRPr="00871BD5">
              <w:t xml:space="preserve"> that have demonstrated effectiveness in serving students with disabilities. </w:t>
            </w:r>
            <w:r>
              <w:t xml:space="preserve">Identify and promote model practices.  Begin identification activity Dec. 2014.  (Lead:  Special Education Planning and Policy, partnering with the </w:t>
            </w:r>
            <w:r w:rsidR="009306FF">
              <w:t xml:space="preserve">Office of </w:t>
            </w:r>
            <w:r w:rsidRPr="0036514A">
              <w:t>College and Career Readiness</w:t>
            </w:r>
            <w:r>
              <w:t>)</w:t>
            </w:r>
            <w:r w:rsidRPr="00871BD5">
              <w:t xml:space="preserve"> </w:t>
            </w:r>
          </w:p>
          <w:p w14:paraId="27966863" w14:textId="77777777" w:rsidR="003B28A5" w:rsidRPr="00D353DB" w:rsidRDefault="003B28A5" w:rsidP="003B28A5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b/>
                <w:u w:val="single"/>
              </w:rPr>
            </w:pPr>
            <w:r>
              <w:rPr>
                <w:b/>
              </w:rPr>
              <w:t xml:space="preserve">At the secondary level </w:t>
            </w:r>
            <w:r>
              <w:t>ESE will explore</w:t>
            </w:r>
            <w:r w:rsidRPr="00871BD5">
              <w:t xml:space="preserve"> </w:t>
            </w:r>
            <w:r>
              <w:t xml:space="preserve">available </w:t>
            </w:r>
            <w:r w:rsidRPr="00871BD5">
              <w:t xml:space="preserve">data on students with disabilities’ access to </w:t>
            </w:r>
            <w:r>
              <w:t xml:space="preserve">Title 1, </w:t>
            </w:r>
            <w:r w:rsidRPr="00871BD5">
              <w:t>AP courses</w:t>
            </w:r>
            <w:r>
              <w:t>,</w:t>
            </w:r>
            <w:r w:rsidRPr="00871BD5">
              <w:t xml:space="preserve"> and </w:t>
            </w:r>
            <w:r>
              <w:t xml:space="preserve">other </w:t>
            </w:r>
            <w:r w:rsidRPr="00871BD5">
              <w:t xml:space="preserve">high school options </w:t>
            </w:r>
            <w:r>
              <w:t xml:space="preserve">and cross-reference with </w:t>
            </w:r>
            <w:r w:rsidRPr="00871BD5">
              <w:t>disability and income status</w:t>
            </w:r>
            <w:r>
              <w:t xml:space="preserve"> to evaluate access opportunities for students with disabilities</w:t>
            </w:r>
            <w:r w:rsidRPr="00871BD5">
              <w:t>.</w:t>
            </w:r>
            <w:r>
              <w:t xml:space="preserve">  </w:t>
            </w:r>
            <w:r w:rsidR="009306FF">
              <w:t>Starting</w:t>
            </w:r>
            <w:r>
              <w:t xml:space="preserve"> Sept</w:t>
            </w:r>
            <w:r w:rsidR="009306FF">
              <w:t>ember</w:t>
            </w:r>
            <w:r>
              <w:t xml:space="preserve"> 2015.  (Lead:  </w:t>
            </w:r>
            <w:r w:rsidR="009306FF">
              <w:t xml:space="preserve">Office of Planning, </w:t>
            </w:r>
            <w:r>
              <w:t>Research</w:t>
            </w:r>
            <w:r w:rsidR="009306FF">
              <w:t>, and Delivery Systems</w:t>
            </w:r>
            <w:r>
              <w:t xml:space="preserve"> with Special Ed</w:t>
            </w:r>
            <w:r w:rsidR="009306FF">
              <w:t>ucation</w:t>
            </w:r>
            <w:r>
              <w:t xml:space="preserve"> Planning and Policy)</w:t>
            </w:r>
          </w:p>
          <w:p w14:paraId="27966864" w14:textId="77777777" w:rsidR="003B28A5" w:rsidRPr="00094555" w:rsidRDefault="003B28A5" w:rsidP="003B28A5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b/>
                <w:u w:val="single"/>
              </w:rPr>
            </w:pPr>
            <w:r>
              <w:rPr>
                <w:b/>
                <w:i/>
              </w:rPr>
              <w:t>ESE curriculum materials will be reviewed and updated</w:t>
            </w:r>
            <w:r>
              <w:t xml:space="preserve"> to include Universal Design for Learning approaches at every opportunity.  Ongoing.  (Lead: Office</w:t>
            </w:r>
            <w:r w:rsidR="009306FF">
              <w:t xml:space="preserve"> of Teaching and Learning with the Office</w:t>
            </w:r>
            <w:r>
              <w:t xml:space="preserve"> for Tiered Systems of Support)</w:t>
            </w:r>
          </w:p>
          <w:p w14:paraId="27966865" w14:textId="77777777" w:rsidR="003B28A5" w:rsidRDefault="003B28A5" w:rsidP="003B28A5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</w:pPr>
            <w:r>
              <w:rPr>
                <w:b/>
                <w:i/>
              </w:rPr>
              <w:t xml:space="preserve">ESE will </w:t>
            </w:r>
            <w:r w:rsidR="00887451">
              <w:rPr>
                <w:b/>
                <w:i/>
              </w:rPr>
              <w:t>continue to</w:t>
            </w:r>
            <w:r>
              <w:rPr>
                <w:b/>
                <w:i/>
              </w:rPr>
              <w:t xml:space="preserve"> promote</w:t>
            </w:r>
            <w:r w:rsidRPr="00094555">
              <w:rPr>
                <w:b/>
                <w:i/>
              </w:rPr>
              <w:t xml:space="preserve"> </w:t>
            </w:r>
            <w:r w:rsidRPr="00C64FCE">
              <w:t xml:space="preserve">access and equity </w:t>
            </w:r>
            <w:r w:rsidRPr="00871BD5">
              <w:t>in charter schools</w:t>
            </w:r>
            <w:r>
              <w:t xml:space="preserve"> through </w:t>
            </w:r>
            <w:r w:rsidRPr="00871BD5">
              <w:t xml:space="preserve">promotion of best practice in special education. </w:t>
            </w:r>
            <w:r w:rsidR="00951E69">
              <w:t xml:space="preserve"> </w:t>
            </w:r>
            <w:r>
              <w:t xml:space="preserve">Consider development of secondary schools without traditional organization structure, to provide broader opportunities for students with disabilities to succeed.  Ongoing.  (Lead:  </w:t>
            </w:r>
            <w:r w:rsidR="009306FF">
              <w:t xml:space="preserve">Office of Educational Redesign </w:t>
            </w:r>
            <w:r>
              <w:t>partnering with Special Education Planning and Policy)</w:t>
            </w:r>
          </w:p>
          <w:p w14:paraId="27966866" w14:textId="77777777" w:rsidR="00887451" w:rsidRDefault="00887451" w:rsidP="003B28A5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</w:pPr>
            <w:r>
              <w:rPr>
                <w:b/>
                <w:i/>
              </w:rPr>
              <w:t xml:space="preserve">ESE will continue to promote best practices </w:t>
            </w:r>
            <w:r>
              <w:t>in statewide drop</w:t>
            </w:r>
            <w:r w:rsidRPr="00871BD5">
              <w:t>out prevention</w:t>
            </w:r>
            <w:r>
              <w:t xml:space="preserve"> programs, including targeted</w:t>
            </w:r>
            <w:r w:rsidRPr="00871BD5">
              <w:t xml:space="preserve"> interventions </w:t>
            </w:r>
            <w:r>
              <w:t xml:space="preserve">for high risk </w:t>
            </w:r>
            <w:r w:rsidRPr="00871BD5">
              <w:t>students</w:t>
            </w:r>
            <w:r>
              <w:t xml:space="preserve"> and use of the Early Warning Indicators System.  Ongoing.  (Lead:  </w:t>
            </w:r>
            <w:r w:rsidRPr="00DB3093">
              <w:t>Offices of College and Career Readiness and Career and Technical Education</w:t>
            </w:r>
            <w:r>
              <w:t>).</w:t>
            </w:r>
          </w:p>
          <w:p w14:paraId="27966867" w14:textId="77777777" w:rsidR="003B28A5" w:rsidRPr="003B28A5" w:rsidRDefault="003B28A5" w:rsidP="003B28A5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Reduce inappropriate identification of low-income students as eligible for special education</w:t>
            </w:r>
          </w:p>
          <w:p w14:paraId="27966868" w14:textId="77777777" w:rsidR="00887451" w:rsidRDefault="00887451" w:rsidP="0088745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</w:pPr>
            <w:r>
              <w:rPr>
                <w:b/>
                <w:i/>
              </w:rPr>
              <w:t>ESE will revise</w:t>
            </w:r>
            <w:r>
              <w:t xml:space="preserve"> eligibility guidance documents.  Completion by July 2015.  (Lead:  Special Ed</w:t>
            </w:r>
            <w:r w:rsidR="009306FF">
              <w:t>ucation</w:t>
            </w:r>
            <w:r>
              <w:t xml:space="preserve"> Planning and Policy)</w:t>
            </w:r>
          </w:p>
          <w:p w14:paraId="27966869" w14:textId="77777777" w:rsidR="00887451" w:rsidRDefault="00887451" w:rsidP="0088745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</w:pPr>
            <w:r>
              <w:rPr>
                <w:b/>
                <w:i/>
              </w:rPr>
              <w:t xml:space="preserve">ESE will create </w:t>
            </w:r>
            <w:r>
              <w:t>self-assessment tools for districts to review policies, practices, and procedures for referral and identification.  Create tools by Sept. 2015.  (Lead:  Special Ed</w:t>
            </w:r>
            <w:r w:rsidR="009306FF">
              <w:t>ucation</w:t>
            </w:r>
            <w:r>
              <w:t xml:space="preserve"> Planning and Policy)</w:t>
            </w:r>
          </w:p>
          <w:p w14:paraId="2796686A" w14:textId="77777777" w:rsidR="005714AF" w:rsidRDefault="00191861" w:rsidP="00DD16F4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</w:pPr>
            <w:r>
              <w:rPr>
                <w:b/>
                <w:i/>
              </w:rPr>
              <w:t xml:space="preserve">ESE will </w:t>
            </w:r>
            <w:r w:rsidR="00FA24CE">
              <w:rPr>
                <w:b/>
                <w:i/>
              </w:rPr>
              <w:t xml:space="preserve">identify </w:t>
            </w:r>
            <w:r w:rsidR="00FA24CE" w:rsidRPr="00871BD5">
              <w:t>districts</w:t>
            </w:r>
            <w:r w:rsidRPr="00871BD5">
              <w:t xml:space="preserve"> with identification risk ratios for </w:t>
            </w:r>
            <w:r>
              <w:t>low income</w:t>
            </w:r>
            <w:r w:rsidRPr="00871BD5">
              <w:t xml:space="preserve"> </w:t>
            </w:r>
            <w:r w:rsidR="0026413C">
              <w:t xml:space="preserve">students </w:t>
            </w:r>
            <w:r w:rsidRPr="00871BD5">
              <w:t>of over 2.6 and with high referral rates.</w:t>
            </w:r>
            <w:r>
              <w:t xml:space="preserve">  Initially districts will receive technical assistance.  If warranted, correcti</w:t>
            </w:r>
            <w:r w:rsidR="0026413C">
              <w:t>ve</w:t>
            </w:r>
            <w:r>
              <w:t xml:space="preserve"> action </w:t>
            </w:r>
            <w:r w:rsidR="0026413C">
              <w:t xml:space="preserve">will be initiated, which could </w:t>
            </w:r>
            <w:r>
              <w:t>includ</w:t>
            </w:r>
            <w:r w:rsidR="0026413C">
              <w:t>e</w:t>
            </w:r>
            <w:r>
              <w:t xml:space="preserve"> </w:t>
            </w:r>
            <w:r w:rsidR="0026413C">
              <w:t xml:space="preserve">using </w:t>
            </w:r>
            <w:r>
              <w:t xml:space="preserve">federal authority to </w:t>
            </w:r>
            <w:r w:rsidR="0026413C">
              <w:t xml:space="preserve">direct </w:t>
            </w:r>
            <w:r>
              <w:t xml:space="preserve">spending of up to 15% of the district’s special education entitlement </w:t>
            </w:r>
            <w:r w:rsidR="009306FF">
              <w:t xml:space="preserve">grant </w:t>
            </w:r>
            <w:r>
              <w:t>funds</w:t>
            </w:r>
            <w:r w:rsidR="0026413C">
              <w:t xml:space="preserve"> to address the problem</w:t>
            </w:r>
            <w:r>
              <w:t xml:space="preserve">.  </w:t>
            </w:r>
            <w:r w:rsidR="00FA24CE">
              <w:t xml:space="preserve">Technical </w:t>
            </w:r>
            <w:r w:rsidR="0026413C">
              <w:t>a</w:t>
            </w:r>
            <w:r w:rsidR="00FA24CE">
              <w:t>ssistance</w:t>
            </w:r>
            <w:r>
              <w:t xml:space="preserve"> begin</w:t>
            </w:r>
            <w:r w:rsidR="0026413C">
              <w:t>s Sept</w:t>
            </w:r>
            <w:r w:rsidR="009306FF">
              <w:t>ember</w:t>
            </w:r>
            <w:r w:rsidR="0026413C">
              <w:t xml:space="preserve"> 2015</w:t>
            </w:r>
            <w:r>
              <w:t>.  (Lead:   Special Ed</w:t>
            </w:r>
            <w:r w:rsidR="009306FF">
              <w:t>ucation</w:t>
            </w:r>
            <w:r>
              <w:t xml:space="preserve"> Planning and Policy)</w:t>
            </w:r>
          </w:p>
          <w:p w14:paraId="2796686B" w14:textId="77777777" w:rsidR="00887451" w:rsidRPr="00887451" w:rsidRDefault="00887451" w:rsidP="00887451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</w:pPr>
            <w:r>
              <w:rPr>
                <w:b/>
                <w:i/>
              </w:rPr>
              <w:t xml:space="preserve">ESE will develop </w:t>
            </w:r>
            <w:r w:rsidRPr="00C64FCE">
              <w:t>additional training opportunities and information</w:t>
            </w:r>
            <w:r>
              <w:t xml:space="preserve"> for low-income and non-English speaking families of students with disabilities.  Ongoing.  (Lead:  Special Educati</w:t>
            </w:r>
            <w:r w:rsidR="00951E69">
              <w:t>on Planning and Policy and the O</w:t>
            </w:r>
            <w:r>
              <w:t>ffice of English Language Acquisition and Academic Achievement)</w:t>
            </w:r>
            <w:r>
              <w:rPr>
                <w:b/>
                <w:i/>
              </w:rPr>
              <w:t xml:space="preserve"> </w:t>
            </w:r>
          </w:p>
          <w:p w14:paraId="2796686C" w14:textId="77777777" w:rsidR="00887451" w:rsidRPr="00887451" w:rsidRDefault="00887451" w:rsidP="00887451">
            <w:pPr>
              <w:pStyle w:val="ListParagraph"/>
              <w:spacing w:before="120" w:after="120" w:line="240" w:lineRule="auto"/>
              <w:ind w:left="360"/>
              <w:rPr>
                <w:b/>
                <w:u w:val="single"/>
              </w:rPr>
            </w:pPr>
          </w:p>
          <w:p w14:paraId="2796686D" w14:textId="77777777" w:rsidR="00FA24CE" w:rsidRDefault="00887451" w:rsidP="00887451">
            <w:pPr>
              <w:pStyle w:val="ListParagraph"/>
              <w:spacing w:before="240" w:after="12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Increase inclusion of students with disabilities in general education settings</w:t>
            </w:r>
          </w:p>
          <w:p w14:paraId="2796686E" w14:textId="77777777" w:rsidR="00887451" w:rsidRPr="00887451" w:rsidRDefault="00887451" w:rsidP="00887451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b/>
                <w:u w:val="single"/>
              </w:rPr>
            </w:pPr>
            <w:r>
              <w:rPr>
                <w:b/>
                <w:i/>
              </w:rPr>
              <w:t xml:space="preserve">ESE will provide </w:t>
            </w:r>
            <w:r w:rsidRPr="00C64FCE">
              <w:t>targeted support to Level 3, 4</w:t>
            </w:r>
            <w:r>
              <w:t>,</w:t>
            </w:r>
            <w:r w:rsidRPr="00C64FCE">
              <w:t xml:space="preserve"> and 5 districts by</w:t>
            </w:r>
            <w:r>
              <w:t xml:space="preserve"> promoting use of the Mass</w:t>
            </w:r>
            <w:r w:rsidR="009306FF">
              <w:t>achusetts</w:t>
            </w:r>
            <w:r w:rsidR="00951E69">
              <w:t xml:space="preserve"> Tiered System of Support</w:t>
            </w:r>
            <w:r>
              <w:t xml:space="preserve">.  Ongoing.  (Lead:  Office of Tiered Systems of Support partnering with </w:t>
            </w:r>
            <w:r w:rsidR="003610D8">
              <w:t>Office of District and School Turnaround)</w:t>
            </w:r>
          </w:p>
          <w:p w14:paraId="2796686F" w14:textId="77777777" w:rsidR="00887451" w:rsidRDefault="00887451" w:rsidP="00887451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</w:pPr>
            <w:r>
              <w:rPr>
                <w:b/>
                <w:i/>
              </w:rPr>
              <w:t xml:space="preserve">ESE will foster </w:t>
            </w:r>
            <w:r w:rsidRPr="00C64FCE">
              <w:t>stronger public school programs</w:t>
            </w:r>
            <w:r>
              <w:rPr>
                <w:b/>
                <w:i/>
              </w:rPr>
              <w:t xml:space="preserve"> </w:t>
            </w:r>
            <w:r>
              <w:t>through continued focus on developing districts’ use of the Mass Tiered System of Support and Positive Behavior Interventions and Supports.  Ongoing.  (Lead:  Office of Tiered Systems of Support in partnership with Special Education Planning and Policy)</w:t>
            </w:r>
          </w:p>
          <w:p w14:paraId="27966870" w14:textId="77777777" w:rsidR="00887451" w:rsidRPr="00B008C2" w:rsidRDefault="00887451" w:rsidP="00887451">
            <w:pPr>
              <w:pStyle w:val="ListParagraph"/>
              <w:numPr>
                <w:ilvl w:val="0"/>
                <w:numId w:val="7"/>
              </w:numPr>
              <w:spacing w:before="24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b/>
                <w:i/>
              </w:rPr>
              <w:t xml:space="preserve">ESE will model </w:t>
            </w:r>
            <w:r w:rsidRPr="00C64FCE">
              <w:rPr>
                <w:bCs/>
              </w:rPr>
              <w:t xml:space="preserve">effective partnerships </w:t>
            </w:r>
            <w:r w:rsidRPr="00C64FCE">
              <w:t xml:space="preserve">between general education and special education </w:t>
            </w:r>
            <w:r>
              <w:t xml:space="preserve">within the Department and with other agencies and school districts.  </w:t>
            </w:r>
            <w:r w:rsidRPr="00C64FCE">
              <w:rPr>
                <w:b/>
                <w:i/>
              </w:rPr>
              <w:t xml:space="preserve"> </w:t>
            </w:r>
            <w:r w:rsidRPr="00C64FCE">
              <w:t>Ongoing</w:t>
            </w:r>
            <w:r>
              <w:t xml:space="preserve">.  (Lead:  </w:t>
            </w:r>
            <w:r w:rsidR="009306FF">
              <w:t>Center for Accountability, Partnerships and Targeted Assistance and Center for School and District Improvement</w:t>
            </w:r>
            <w:r>
              <w:t>)</w:t>
            </w:r>
          </w:p>
          <w:p w14:paraId="27966871" w14:textId="77777777" w:rsidR="00B008C2" w:rsidRPr="00B008C2" w:rsidRDefault="00B008C2" w:rsidP="00B008C2">
            <w:pPr>
              <w:pStyle w:val="ListParagraph"/>
              <w:spacing w:before="240" w:after="12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7966872" w14:textId="77777777" w:rsidR="00B008C2" w:rsidRDefault="00B008C2" w:rsidP="00B008C2">
            <w:pPr>
              <w:pStyle w:val="ListParagraph"/>
              <w:spacing w:before="240" w:after="12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Reduce ina</w:t>
            </w:r>
            <w:r w:rsidR="005A45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ppropriate use of substantially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separate settings and out-of-district placements</w:t>
            </w:r>
          </w:p>
          <w:p w14:paraId="27966873" w14:textId="77777777" w:rsidR="00B008C2" w:rsidRDefault="00B008C2" w:rsidP="00B008C2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</w:pPr>
            <w:r>
              <w:rPr>
                <w:b/>
                <w:i/>
              </w:rPr>
              <w:t xml:space="preserve">ESE will identify </w:t>
            </w:r>
            <w:r w:rsidRPr="00871BD5">
              <w:t xml:space="preserve">districts with high </w:t>
            </w:r>
            <w:r>
              <w:t>placement</w:t>
            </w:r>
            <w:r w:rsidRPr="00871BD5">
              <w:t xml:space="preserve"> rates</w:t>
            </w:r>
            <w:r>
              <w:t xml:space="preserve"> in substantially separate classrooms or out-of-district </w:t>
            </w:r>
            <w:r w:rsidRPr="00871BD5">
              <w:t xml:space="preserve">for </w:t>
            </w:r>
            <w:r>
              <w:t>low-income</w:t>
            </w:r>
            <w:r w:rsidRPr="00871BD5">
              <w:t xml:space="preserve">, </w:t>
            </w:r>
            <w:r>
              <w:t>black, and Hispanic students with disabilities</w:t>
            </w:r>
            <w:r w:rsidRPr="00871BD5">
              <w:t xml:space="preserve">. </w:t>
            </w:r>
            <w:r w:rsidR="003610D8">
              <w:t>ESE</w:t>
            </w:r>
            <w:r>
              <w:t xml:space="preserve"> will work cooperatively with outlier districts to identify practices resulting in placement in less restrictive settings, will develop a self-assessment for districts to use, and will provide technical assistance.  If warranted, corrective action will be initiated, which could include using federal authority to direct spending of up to 15% of the district’s special education entitlement funds to address the problem.  Self-assessment to be developed by June 2016.  (Lead:   Special Ed</w:t>
            </w:r>
            <w:r w:rsidR="003610D8">
              <w:t>ucation</w:t>
            </w:r>
            <w:r>
              <w:t xml:space="preserve"> Planning and Policy)</w:t>
            </w:r>
          </w:p>
          <w:p w14:paraId="27966874" w14:textId="77777777" w:rsidR="00B008C2" w:rsidRPr="00B008C2" w:rsidRDefault="00B008C2" w:rsidP="00B008C2">
            <w:pPr>
              <w:pStyle w:val="ListParagraph"/>
              <w:spacing w:before="240" w:after="12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7966876" w14:textId="77777777" w:rsidR="00E73104" w:rsidRDefault="00E73104" w:rsidP="00E73104"/>
    <w:p w14:paraId="27966877" w14:textId="77777777" w:rsidR="00201172" w:rsidRDefault="00201172"/>
    <w:p w14:paraId="27966878" w14:textId="77777777" w:rsidR="00201172" w:rsidRDefault="00201172"/>
    <w:p w14:paraId="27966879" w14:textId="77777777" w:rsidR="00201172" w:rsidRDefault="00201172" w:rsidP="00DD63EF"/>
    <w:sectPr w:rsidR="00201172" w:rsidSect="007D2D1A">
      <w:footerReference w:type="default" r:id="rId12"/>
      <w:endnotePr>
        <w:numFmt w:val="decimal"/>
      </w:endnotePr>
      <w:type w:val="continuous"/>
      <w:pgSz w:w="12240" w:h="15840"/>
      <w:pgMar w:top="1440" w:right="1440" w:bottom="1440" w:left="1440" w:header="1440" w:footer="576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6687C" w14:textId="77777777" w:rsidR="006D225A" w:rsidRDefault="006D225A" w:rsidP="007D2D1A">
      <w:r>
        <w:separator/>
      </w:r>
    </w:p>
  </w:endnote>
  <w:endnote w:type="continuationSeparator" w:id="0">
    <w:p w14:paraId="2796687D" w14:textId="77777777" w:rsidR="006D225A" w:rsidRDefault="006D225A" w:rsidP="007D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277158"/>
      <w:docPartObj>
        <w:docPartGallery w:val="Page Numbers (Bottom of Page)"/>
        <w:docPartUnique/>
      </w:docPartObj>
    </w:sdtPr>
    <w:sdtEndPr/>
    <w:sdtContent>
      <w:p w14:paraId="2796687E" w14:textId="77777777" w:rsidR="007D2D1A" w:rsidRDefault="00D551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96687F" w14:textId="77777777" w:rsidR="007D2D1A" w:rsidRDefault="007D2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6687A" w14:textId="77777777" w:rsidR="006D225A" w:rsidRDefault="006D225A" w:rsidP="007D2D1A">
      <w:r>
        <w:separator/>
      </w:r>
    </w:p>
  </w:footnote>
  <w:footnote w:type="continuationSeparator" w:id="0">
    <w:p w14:paraId="2796687B" w14:textId="77777777" w:rsidR="006D225A" w:rsidRDefault="006D225A" w:rsidP="007D2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E58"/>
    <w:multiLevelType w:val="hybridMultilevel"/>
    <w:tmpl w:val="1E18F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6E28BB"/>
    <w:multiLevelType w:val="hybridMultilevel"/>
    <w:tmpl w:val="AD180CBE"/>
    <w:lvl w:ilvl="0" w:tplc="37DC7B6A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1647E0" w:tentative="1">
      <w:start w:val="1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9EABA8" w:tentative="1">
      <w:start w:val="1"/>
      <w:numFmt w:val="bullet"/>
      <w:lvlText w:val="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F4330A" w:tentative="1">
      <w:start w:val="1"/>
      <w:numFmt w:val="bullet"/>
      <w:lvlText w:val="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088EDA" w:tentative="1">
      <w:start w:val="1"/>
      <w:numFmt w:val="bullet"/>
      <w:lvlText w:val="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BE883A" w:tentative="1">
      <w:start w:val="1"/>
      <w:numFmt w:val="bullet"/>
      <w:lvlText w:val="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86F6FA" w:tentative="1">
      <w:start w:val="1"/>
      <w:numFmt w:val="bullet"/>
      <w:lvlText w:val="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4A3D9A" w:tentative="1">
      <w:start w:val="1"/>
      <w:numFmt w:val="bullet"/>
      <w:lvlText w:val="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9659A6" w:tentative="1">
      <w:start w:val="1"/>
      <w:numFmt w:val="bullet"/>
      <w:lvlText w:val="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B8102D1"/>
    <w:multiLevelType w:val="hybridMultilevel"/>
    <w:tmpl w:val="E9FAD3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15838"/>
    <w:multiLevelType w:val="hybridMultilevel"/>
    <w:tmpl w:val="B3EE2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0666C4"/>
    <w:multiLevelType w:val="hybridMultilevel"/>
    <w:tmpl w:val="71C4E3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67C74"/>
    <w:multiLevelType w:val="hybridMultilevel"/>
    <w:tmpl w:val="EDE87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D40478"/>
    <w:multiLevelType w:val="hybridMultilevel"/>
    <w:tmpl w:val="47B2FE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080E87"/>
    <w:multiLevelType w:val="hybridMultilevel"/>
    <w:tmpl w:val="E8B29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42CDA"/>
    <w:multiLevelType w:val="hybridMultilevel"/>
    <w:tmpl w:val="B456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72434"/>
    <w:multiLevelType w:val="hybridMultilevel"/>
    <w:tmpl w:val="E4ECC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D9"/>
    <w:rsid w:val="00094555"/>
    <w:rsid w:val="00096098"/>
    <w:rsid w:val="000B6664"/>
    <w:rsid w:val="00191861"/>
    <w:rsid w:val="00201172"/>
    <w:rsid w:val="002373D9"/>
    <w:rsid w:val="002406AE"/>
    <w:rsid w:val="00262A36"/>
    <w:rsid w:val="0026413C"/>
    <w:rsid w:val="00283132"/>
    <w:rsid w:val="00292D44"/>
    <w:rsid w:val="002936C6"/>
    <w:rsid w:val="002A3E22"/>
    <w:rsid w:val="002A67E4"/>
    <w:rsid w:val="002B0215"/>
    <w:rsid w:val="002B479F"/>
    <w:rsid w:val="002F5424"/>
    <w:rsid w:val="003129B5"/>
    <w:rsid w:val="003610D8"/>
    <w:rsid w:val="0036514A"/>
    <w:rsid w:val="00367014"/>
    <w:rsid w:val="003953C8"/>
    <w:rsid w:val="003B08D6"/>
    <w:rsid w:val="003B28A5"/>
    <w:rsid w:val="00410E15"/>
    <w:rsid w:val="0044346E"/>
    <w:rsid w:val="00466D73"/>
    <w:rsid w:val="004814E6"/>
    <w:rsid w:val="004967B5"/>
    <w:rsid w:val="004E4E82"/>
    <w:rsid w:val="004F05A2"/>
    <w:rsid w:val="0050164A"/>
    <w:rsid w:val="005430E2"/>
    <w:rsid w:val="005509F2"/>
    <w:rsid w:val="005714AF"/>
    <w:rsid w:val="00597A4A"/>
    <w:rsid w:val="005A14C0"/>
    <w:rsid w:val="005A459F"/>
    <w:rsid w:val="005B7D45"/>
    <w:rsid w:val="005C4F72"/>
    <w:rsid w:val="005D6086"/>
    <w:rsid w:val="005E3535"/>
    <w:rsid w:val="00635070"/>
    <w:rsid w:val="006C0816"/>
    <w:rsid w:val="006D225A"/>
    <w:rsid w:val="006F60FE"/>
    <w:rsid w:val="007216DF"/>
    <w:rsid w:val="00730953"/>
    <w:rsid w:val="00746204"/>
    <w:rsid w:val="00761FD8"/>
    <w:rsid w:val="007732FB"/>
    <w:rsid w:val="007935D2"/>
    <w:rsid w:val="007B2A8A"/>
    <w:rsid w:val="007C404A"/>
    <w:rsid w:val="007D2D1A"/>
    <w:rsid w:val="007E5CC5"/>
    <w:rsid w:val="007F36DD"/>
    <w:rsid w:val="00814E39"/>
    <w:rsid w:val="00826B19"/>
    <w:rsid w:val="00862A33"/>
    <w:rsid w:val="00887451"/>
    <w:rsid w:val="008C5DBA"/>
    <w:rsid w:val="00906081"/>
    <w:rsid w:val="009306FF"/>
    <w:rsid w:val="00951E69"/>
    <w:rsid w:val="00972596"/>
    <w:rsid w:val="00981299"/>
    <w:rsid w:val="009B58E3"/>
    <w:rsid w:val="009C084A"/>
    <w:rsid w:val="00A06ADD"/>
    <w:rsid w:val="00A20194"/>
    <w:rsid w:val="00A317C2"/>
    <w:rsid w:val="00A41ED4"/>
    <w:rsid w:val="00A54837"/>
    <w:rsid w:val="00A73B66"/>
    <w:rsid w:val="00A7681B"/>
    <w:rsid w:val="00A84C4A"/>
    <w:rsid w:val="00AA274B"/>
    <w:rsid w:val="00AC5BAD"/>
    <w:rsid w:val="00AD746C"/>
    <w:rsid w:val="00AE382F"/>
    <w:rsid w:val="00AF21C3"/>
    <w:rsid w:val="00B008C2"/>
    <w:rsid w:val="00B15E7C"/>
    <w:rsid w:val="00B34968"/>
    <w:rsid w:val="00B45CC2"/>
    <w:rsid w:val="00B50220"/>
    <w:rsid w:val="00B50772"/>
    <w:rsid w:val="00BA1254"/>
    <w:rsid w:val="00BA20F9"/>
    <w:rsid w:val="00BC4FBA"/>
    <w:rsid w:val="00C26685"/>
    <w:rsid w:val="00C619C8"/>
    <w:rsid w:val="00C64FCE"/>
    <w:rsid w:val="00C974A6"/>
    <w:rsid w:val="00CD138E"/>
    <w:rsid w:val="00CE5DB3"/>
    <w:rsid w:val="00CF769D"/>
    <w:rsid w:val="00D033D8"/>
    <w:rsid w:val="00D1782C"/>
    <w:rsid w:val="00D353DB"/>
    <w:rsid w:val="00D54FFC"/>
    <w:rsid w:val="00D5517D"/>
    <w:rsid w:val="00D73B50"/>
    <w:rsid w:val="00D76929"/>
    <w:rsid w:val="00DB3093"/>
    <w:rsid w:val="00DB320E"/>
    <w:rsid w:val="00DD16F4"/>
    <w:rsid w:val="00DD63EF"/>
    <w:rsid w:val="00DE429E"/>
    <w:rsid w:val="00E060D0"/>
    <w:rsid w:val="00E26C0C"/>
    <w:rsid w:val="00E37C12"/>
    <w:rsid w:val="00E43A13"/>
    <w:rsid w:val="00E73104"/>
    <w:rsid w:val="00E90934"/>
    <w:rsid w:val="00EB4102"/>
    <w:rsid w:val="00F03307"/>
    <w:rsid w:val="00F25840"/>
    <w:rsid w:val="00F34E01"/>
    <w:rsid w:val="00FA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66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6D7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466D73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66D73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466D73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66D73"/>
  </w:style>
  <w:style w:type="table" w:styleId="TableGrid">
    <w:name w:val="Table Grid"/>
    <w:basedOn w:val="TableNormal"/>
    <w:uiPriority w:val="59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0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972596"/>
    <w:rPr>
      <w:b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972596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72596"/>
    <w:rPr>
      <w:sz w:val="24"/>
      <w:szCs w:val="24"/>
    </w:rPr>
  </w:style>
  <w:style w:type="character" w:styleId="Hyperlink">
    <w:name w:val="Hyperlink"/>
    <w:basedOn w:val="DefaultParagraphFont"/>
    <w:rsid w:val="007462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34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4E01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rsid w:val="006F60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60F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F60FE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6F6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60FE"/>
    <w:rPr>
      <w:b/>
      <w:bCs/>
      <w:snapToGrid w:val="0"/>
    </w:rPr>
  </w:style>
  <w:style w:type="paragraph" w:styleId="Header">
    <w:name w:val="header"/>
    <w:basedOn w:val="Normal"/>
    <w:link w:val="HeaderChar"/>
    <w:rsid w:val="007D2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2D1A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6D7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466D73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66D73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466D73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66D73"/>
  </w:style>
  <w:style w:type="table" w:styleId="TableGrid">
    <w:name w:val="Table Grid"/>
    <w:basedOn w:val="TableNormal"/>
    <w:uiPriority w:val="59"/>
    <w:rsid w:val="00C974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0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972596"/>
    <w:rPr>
      <w:b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972596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72596"/>
    <w:rPr>
      <w:sz w:val="24"/>
      <w:szCs w:val="24"/>
    </w:rPr>
  </w:style>
  <w:style w:type="character" w:styleId="Hyperlink">
    <w:name w:val="Hyperlink"/>
    <w:basedOn w:val="DefaultParagraphFont"/>
    <w:rsid w:val="007462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34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4E01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rsid w:val="006F60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60F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F60FE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6F6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60FE"/>
    <w:rPr>
      <w:b/>
      <w:bCs/>
      <w:snapToGrid w:val="0"/>
    </w:rPr>
  </w:style>
  <w:style w:type="paragraph" w:styleId="Header">
    <w:name w:val="header"/>
    <w:basedOn w:val="Normal"/>
    <w:link w:val="HeaderChar"/>
    <w:rsid w:val="007D2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2D1A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DESE-231-6216</_dlc_DocId>
    <_dlc_DocIdUrl xmlns="733efe1c-5bbe-4968-87dc-d400e65c879f">
      <Url>https://sharepoint.doemass.org/ese/webteam/cps/_layouts/DocIdRedir.aspx?ID=DESE-231-6216</Url>
      <Description>DESE-231-6216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db14d5a15a6272794a98152cb28a7888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28148-430D-403A-997E-A8BF76E78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4532D-ADAB-475A-A34F-CC7B5B73E2D7}">
  <ds:schemaRefs>
    <ds:schemaRef ds:uri="0a4e05da-b9bc-4326-ad73-01ef31b95567"/>
    <ds:schemaRef ds:uri="http://purl.org/dc/dcmitype/"/>
    <ds:schemaRef ds:uri="http://purl.org/dc/terms/"/>
    <ds:schemaRef ds:uri="http://purl.org/dc/elements/1.1/"/>
    <ds:schemaRef ds:uri="733efe1c-5bbe-4968-87dc-d400e65c879f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EF022F-94E5-4ACB-A573-780727BEFAE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72D110A-CB4B-423C-9D64-B94D8F7FF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Elementary and Secondary Education Implementation Plan</vt:lpstr>
    </vt:vector>
  </TitlesOfParts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Meeting 11/24/14: ESE Implementation Plan</dc:title>
  <dc:creator/>
  <cp:lastModifiedBy/>
  <cp:revision>1</cp:revision>
  <cp:lastPrinted>2008-03-05T18:17:00Z</cp:lastPrinted>
  <dcterms:created xsi:type="dcterms:W3CDTF">2014-11-20T14:06:00Z</dcterms:created>
  <dcterms:modified xsi:type="dcterms:W3CDTF">2014-11-20T14:06:00Z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5c726b91-9ab8-4a7f-8c63-5ce2f57419dc</vt:lpwstr>
  </property>
  <property fmtid="{D5CDD505-2E9C-101B-9397-08002B2CF9AE}" pid="4" name="metadate">
    <vt:lpwstr>Nov 20 2014</vt:lpwstr>
  </property>
</Properties>
</file>