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5"/>
        <w:gridCol w:w="1838"/>
        <w:gridCol w:w="2204"/>
        <w:gridCol w:w="2029"/>
      </w:tblGrid>
      <w:tr w:rsidR="00B447A6" w:rsidRPr="00F10D9C" w:rsidTr="00631465">
        <w:trPr>
          <w:trHeight w:val="268"/>
        </w:trPr>
        <w:tc>
          <w:tcPr>
            <w:tcW w:w="5000" w:type="pct"/>
            <w:gridSpan w:val="4"/>
            <w:shd w:val="clear" w:color="auto" w:fill="D9D9D9"/>
            <w:tcMar>
              <w:top w:w="0" w:type="dxa"/>
              <w:left w:w="108" w:type="dxa"/>
              <w:bottom w:w="0" w:type="dxa"/>
              <w:right w:w="108" w:type="dxa"/>
            </w:tcMar>
          </w:tcPr>
          <w:p w:rsidR="00B447A6" w:rsidRPr="000454CF" w:rsidRDefault="00B447A6" w:rsidP="00AB0C0B">
            <w:pPr>
              <w:jc w:val="center"/>
              <w:rPr>
                <w:rFonts w:eastAsia="Batang"/>
                <w:b/>
                <w:bCs/>
                <w:i/>
                <w:sz w:val="28"/>
                <w:szCs w:val="28"/>
                <w:lang w:eastAsia="ko-KR"/>
              </w:rPr>
            </w:pPr>
            <w:bookmarkStart w:id="0" w:name="_GoBack"/>
            <w:bookmarkEnd w:id="0"/>
            <w:r w:rsidRPr="000454CF">
              <w:rPr>
                <w:b/>
                <w:sz w:val="28"/>
                <w:szCs w:val="28"/>
              </w:rPr>
              <w:t xml:space="preserve">Salem Academy Charter School [Tab </w:t>
            </w:r>
            <w:r w:rsidR="00AB0C0B">
              <w:rPr>
                <w:b/>
                <w:sz w:val="28"/>
                <w:szCs w:val="28"/>
              </w:rPr>
              <w:t>B</w:t>
            </w:r>
            <w:r w:rsidRPr="000454CF">
              <w:rPr>
                <w:b/>
                <w:sz w:val="28"/>
                <w:szCs w:val="28"/>
              </w:rPr>
              <w:t>]</w:t>
            </w:r>
          </w:p>
        </w:tc>
      </w:tr>
      <w:tr w:rsidR="00B447A6" w:rsidRPr="00F10D9C" w:rsidTr="00631465">
        <w:trPr>
          <w:trHeight w:val="323"/>
        </w:trPr>
        <w:tc>
          <w:tcPr>
            <w:tcW w:w="170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Type of Charter</w:t>
            </w:r>
          </w:p>
        </w:tc>
        <w:bookmarkStart w:id="1" w:name="Text29"/>
        <w:tc>
          <w:tcPr>
            <w:tcW w:w="997" w:type="pct"/>
            <w:tcMar>
              <w:top w:w="0" w:type="dxa"/>
              <w:left w:w="108" w:type="dxa"/>
              <w:bottom w:w="0" w:type="dxa"/>
              <w:right w:w="108" w:type="dxa"/>
            </w:tcMar>
            <w:vAlign w:val="center"/>
          </w:tcPr>
          <w:p w:rsidR="00B447A6" w:rsidRPr="00F10D9C" w:rsidRDefault="00927AE1" w:rsidP="00631465">
            <w:pPr>
              <w:tabs>
                <w:tab w:val="left" w:pos="1940"/>
              </w:tabs>
              <w:spacing w:before="40"/>
              <w:ind w:left="162" w:hanging="193"/>
              <w:rPr>
                <w:rFonts w:eastAsia="Batang"/>
                <w:sz w:val="23"/>
                <w:szCs w:val="23"/>
                <w:lang w:eastAsia="ko-KR"/>
              </w:rPr>
            </w:pPr>
            <w:r w:rsidRPr="00F10D9C">
              <w:rPr>
                <w:rFonts w:eastAsia="Batang"/>
                <w:sz w:val="23"/>
                <w:szCs w:val="23"/>
                <w:lang w:eastAsia="ko-KR"/>
              </w:rPr>
              <w:fldChar w:fldCharType="begin">
                <w:ffData>
                  <w:name w:val="Text29"/>
                  <w:enabled/>
                  <w:calcOnExit w:val="0"/>
                  <w:textInput/>
                </w:ffData>
              </w:fldChar>
            </w:r>
            <w:r w:rsidR="00B447A6" w:rsidRPr="00F10D9C">
              <w:rPr>
                <w:rFonts w:eastAsia="Batang"/>
                <w:sz w:val="23"/>
                <w:szCs w:val="23"/>
                <w:lang w:eastAsia="ko-KR"/>
              </w:rPr>
              <w:instrText xml:space="preserve"> FORMTEXT </w:instrText>
            </w:r>
            <w:r w:rsidRPr="00F10D9C">
              <w:rPr>
                <w:rFonts w:eastAsia="Batang"/>
                <w:sz w:val="23"/>
                <w:szCs w:val="23"/>
                <w:lang w:eastAsia="ko-KR"/>
              </w:rPr>
            </w:r>
            <w:r w:rsidRPr="00F10D9C">
              <w:rPr>
                <w:rFonts w:eastAsia="Batang"/>
                <w:sz w:val="23"/>
                <w:szCs w:val="23"/>
                <w:lang w:eastAsia="ko-KR"/>
              </w:rPr>
              <w:fldChar w:fldCharType="separate"/>
            </w:r>
            <w:r w:rsidR="00B447A6" w:rsidRPr="00F10D9C">
              <w:rPr>
                <w:rFonts w:eastAsia="Batang"/>
                <w:noProof/>
                <w:sz w:val="23"/>
                <w:szCs w:val="23"/>
                <w:lang w:eastAsia="ko-KR"/>
              </w:rPr>
              <w:t>Commonwealth</w:t>
            </w:r>
            <w:r w:rsidRPr="00F10D9C">
              <w:rPr>
                <w:rFonts w:eastAsia="Batang"/>
                <w:sz w:val="23"/>
                <w:szCs w:val="23"/>
                <w:lang w:eastAsia="ko-KR"/>
              </w:rPr>
              <w:fldChar w:fldCharType="end"/>
            </w:r>
            <w:bookmarkEnd w:id="1"/>
          </w:p>
        </w:tc>
        <w:tc>
          <w:tcPr>
            <w:tcW w:w="119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Location</w:t>
            </w:r>
          </w:p>
        </w:tc>
        <w:tc>
          <w:tcPr>
            <w:tcW w:w="1101" w:type="pct"/>
            <w:tcMar>
              <w:top w:w="0" w:type="dxa"/>
              <w:left w:w="108" w:type="dxa"/>
              <w:bottom w:w="0" w:type="dxa"/>
              <w:right w:w="108" w:type="dxa"/>
            </w:tcMar>
            <w:vAlign w:val="center"/>
          </w:tcPr>
          <w:p w:rsidR="00B447A6" w:rsidRPr="00F10D9C" w:rsidRDefault="00B447A6" w:rsidP="00631465">
            <w:pPr>
              <w:tabs>
                <w:tab w:val="left" w:pos="1940"/>
              </w:tabs>
              <w:spacing w:before="40" w:after="40"/>
              <w:ind w:left="162" w:hanging="193"/>
              <w:rPr>
                <w:rFonts w:eastAsia="Batang"/>
                <w:sz w:val="23"/>
                <w:szCs w:val="23"/>
                <w:lang w:eastAsia="ko-KR"/>
              </w:rPr>
            </w:pPr>
            <w:r w:rsidRPr="00F10D9C">
              <w:rPr>
                <w:rFonts w:eastAsia="Batang"/>
                <w:sz w:val="23"/>
                <w:szCs w:val="23"/>
                <w:lang w:eastAsia="ko-KR"/>
              </w:rPr>
              <w:t>Salem</w:t>
            </w:r>
          </w:p>
        </w:tc>
      </w:tr>
      <w:tr w:rsidR="00B447A6" w:rsidRPr="00F10D9C" w:rsidTr="00631465">
        <w:trPr>
          <w:trHeight w:val="503"/>
        </w:trPr>
        <w:tc>
          <w:tcPr>
            <w:tcW w:w="170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Regional or Non-Regional</w:t>
            </w:r>
          </w:p>
        </w:tc>
        <w:tc>
          <w:tcPr>
            <w:tcW w:w="997" w:type="pct"/>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sz w:val="23"/>
                <w:szCs w:val="23"/>
                <w:lang w:eastAsia="ko-KR"/>
              </w:rPr>
            </w:pPr>
            <w:r w:rsidRPr="00F10D9C">
              <w:rPr>
                <w:rFonts w:eastAsia="Batang"/>
                <w:sz w:val="23"/>
                <w:szCs w:val="23"/>
                <w:lang w:eastAsia="ko-KR"/>
              </w:rPr>
              <w:t>Non-Regional</w:t>
            </w:r>
          </w:p>
        </w:tc>
        <w:tc>
          <w:tcPr>
            <w:tcW w:w="119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 xml:space="preserve">Districts in Region </w:t>
            </w:r>
          </w:p>
          <w:p w:rsidR="00B447A6" w:rsidRPr="00F10D9C" w:rsidRDefault="00B447A6" w:rsidP="00631465">
            <w:pPr>
              <w:tabs>
                <w:tab w:val="left" w:pos="1940"/>
              </w:tabs>
              <w:spacing w:before="40"/>
              <w:ind w:left="162" w:hanging="193"/>
              <w:rPr>
                <w:rFonts w:eastAsia="Batang"/>
                <w:bCs/>
                <w:sz w:val="23"/>
                <w:szCs w:val="23"/>
                <w:lang w:eastAsia="ko-KR"/>
              </w:rPr>
            </w:pPr>
            <w:r w:rsidRPr="00F10D9C">
              <w:rPr>
                <w:rFonts w:eastAsia="Batang"/>
                <w:sz w:val="23"/>
                <w:szCs w:val="23"/>
                <w:lang w:eastAsia="ko-KR"/>
              </w:rPr>
              <w:t>(if applicable)</w:t>
            </w:r>
          </w:p>
        </w:tc>
        <w:tc>
          <w:tcPr>
            <w:tcW w:w="1101" w:type="pct"/>
            <w:tcMar>
              <w:top w:w="0" w:type="dxa"/>
              <w:left w:w="108" w:type="dxa"/>
              <w:bottom w:w="0" w:type="dxa"/>
              <w:right w:w="108" w:type="dxa"/>
            </w:tcMar>
            <w:vAlign w:val="center"/>
          </w:tcPr>
          <w:p w:rsidR="00B447A6" w:rsidRPr="00F10D9C" w:rsidRDefault="00B447A6" w:rsidP="00631465">
            <w:pPr>
              <w:tabs>
                <w:tab w:val="left" w:pos="1940"/>
              </w:tabs>
              <w:spacing w:before="40" w:after="40"/>
              <w:ind w:hanging="26"/>
              <w:rPr>
                <w:rFonts w:eastAsia="Batang"/>
                <w:sz w:val="23"/>
                <w:szCs w:val="23"/>
                <w:lang w:eastAsia="ko-KR"/>
              </w:rPr>
            </w:pPr>
            <w:r w:rsidRPr="00F10D9C">
              <w:rPr>
                <w:rFonts w:eastAsia="Batang"/>
                <w:sz w:val="23"/>
                <w:szCs w:val="23"/>
                <w:lang w:eastAsia="ko-KR"/>
              </w:rPr>
              <w:t>N/A</w:t>
            </w:r>
          </w:p>
        </w:tc>
      </w:tr>
      <w:tr w:rsidR="00B447A6" w:rsidRPr="00F10D9C" w:rsidTr="00631465">
        <w:trPr>
          <w:trHeight w:val="291"/>
        </w:trPr>
        <w:tc>
          <w:tcPr>
            <w:tcW w:w="170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Year Opened</w:t>
            </w:r>
          </w:p>
        </w:tc>
        <w:tc>
          <w:tcPr>
            <w:tcW w:w="997" w:type="pct"/>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sz w:val="23"/>
                <w:szCs w:val="23"/>
                <w:lang w:eastAsia="ko-KR"/>
              </w:rPr>
            </w:pPr>
            <w:r w:rsidRPr="00F10D9C">
              <w:rPr>
                <w:rFonts w:eastAsia="Batang"/>
                <w:sz w:val="23"/>
                <w:szCs w:val="23"/>
                <w:lang w:eastAsia="ko-KR"/>
              </w:rPr>
              <w:t>2004</w:t>
            </w:r>
          </w:p>
        </w:tc>
        <w:tc>
          <w:tcPr>
            <w:tcW w:w="119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Year(s) Renewed</w:t>
            </w:r>
          </w:p>
        </w:tc>
        <w:tc>
          <w:tcPr>
            <w:tcW w:w="1101" w:type="pct"/>
            <w:tcMar>
              <w:top w:w="0" w:type="dxa"/>
              <w:left w:w="108" w:type="dxa"/>
              <w:bottom w:w="0" w:type="dxa"/>
              <w:right w:w="108" w:type="dxa"/>
            </w:tcMar>
            <w:vAlign w:val="center"/>
          </w:tcPr>
          <w:p w:rsidR="00B447A6" w:rsidRPr="00F10D9C" w:rsidRDefault="00B447A6" w:rsidP="00631465">
            <w:pPr>
              <w:tabs>
                <w:tab w:val="left" w:pos="1940"/>
              </w:tabs>
              <w:spacing w:before="40" w:after="40"/>
              <w:ind w:left="162" w:hanging="193"/>
              <w:rPr>
                <w:rFonts w:eastAsia="Batang"/>
                <w:sz w:val="23"/>
                <w:szCs w:val="23"/>
                <w:lang w:eastAsia="ko-KR"/>
              </w:rPr>
            </w:pPr>
            <w:r w:rsidRPr="00F10D9C">
              <w:rPr>
                <w:rFonts w:eastAsia="Batang"/>
                <w:sz w:val="23"/>
                <w:szCs w:val="23"/>
                <w:lang w:eastAsia="ko-KR"/>
              </w:rPr>
              <w:t>2009, 2014</w:t>
            </w:r>
          </w:p>
        </w:tc>
      </w:tr>
      <w:tr w:rsidR="00B447A6" w:rsidRPr="00F10D9C" w:rsidTr="00631465">
        <w:trPr>
          <w:trHeight w:val="358"/>
        </w:trPr>
        <w:tc>
          <w:tcPr>
            <w:tcW w:w="170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Maximum Enrollment</w:t>
            </w:r>
          </w:p>
        </w:tc>
        <w:tc>
          <w:tcPr>
            <w:tcW w:w="997" w:type="pct"/>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sz w:val="23"/>
                <w:szCs w:val="23"/>
                <w:lang w:eastAsia="ko-KR"/>
              </w:rPr>
            </w:pPr>
            <w:r w:rsidRPr="00F10D9C">
              <w:rPr>
                <w:rFonts w:eastAsia="Batang"/>
                <w:sz w:val="23"/>
                <w:szCs w:val="23"/>
                <w:lang w:eastAsia="ko-KR"/>
              </w:rPr>
              <w:t>372</w:t>
            </w:r>
          </w:p>
        </w:tc>
        <w:tc>
          <w:tcPr>
            <w:tcW w:w="119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Current Enrollment</w:t>
            </w:r>
          </w:p>
        </w:tc>
        <w:tc>
          <w:tcPr>
            <w:tcW w:w="1101" w:type="pct"/>
            <w:tcMar>
              <w:top w:w="0" w:type="dxa"/>
              <w:left w:w="108" w:type="dxa"/>
              <w:bottom w:w="0" w:type="dxa"/>
              <w:right w:w="108" w:type="dxa"/>
            </w:tcMar>
            <w:vAlign w:val="center"/>
          </w:tcPr>
          <w:p w:rsidR="00B447A6" w:rsidRPr="00F10D9C" w:rsidRDefault="00B447A6" w:rsidP="00631465">
            <w:pPr>
              <w:tabs>
                <w:tab w:val="left" w:pos="1940"/>
              </w:tabs>
              <w:spacing w:before="40" w:after="40"/>
              <w:ind w:left="162" w:hanging="193"/>
              <w:rPr>
                <w:rFonts w:eastAsia="Batang"/>
                <w:sz w:val="23"/>
                <w:szCs w:val="23"/>
                <w:lang w:eastAsia="ko-KR"/>
              </w:rPr>
            </w:pPr>
            <w:r w:rsidRPr="00F10D9C">
              <w:rPr>
                <w:rFonts w:eastAsia="Batang"/>
                <w:sz w:val="23"/>
                <w:szCs w:val="23"/>
                <w:lang w:eastAsia="ko-KR"/>
              </w:rPr>
              <w:t>370</w:t>
            </w:r>
          </w:p>
        </w:tc>
      </w:tr>
      <w:tr w:rsidR="00B447A6" w:rsidRPr="00F10D9C" w:rsidTr="00631465">
        <w:trPr>
          <w:trHeight w:val="278"/>
        </w:trPr>
        <w:tc>
          <w:tcPr>
            <w:tcW w:w="1706" w:type="pct"/>
            <w:tcBorders>
              <w:bottom w:val="single" w:sz="4" w:space="0" w:color="auto"/>
            </w:tcBorders>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rPr>
                <w:rFonts w:eastAsia="Batang"/>
                <w:b/>
                <w:sz w:val="23"/>
                <w:szCs w:val="23"/>
                <w:lang w:eastAsia="ko-KR"/>
              </w:rPr>
            </w:pPr>
            <w:r w:rsidRPr="00F10D9C">
              <w:rPr>
                <w:rFonts w:eastAsia="Batang"/>
                <w:b/>
                <w:sz w:val="23"/>
                <w:szCs w:val="23"/>
                <w:lang w:eastAsia="ko-KR"/>
              </w:rPr>
              <w:t>Students on Waitlist</w:t>
            </w:r>
          </w:p>
        </w:tc>
        <w:tc>
          <w:tcPr>
            <w:tcW w:w="997" w:type="pct"/>
            <w:tcBorders>
              <w:bottom w:val="single" w:sz="4" w:space="0" w:color="auto"/>
            </w:tcBorders>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sz w:val="23"/>
                <w:szCs w:val="23"/>
                <w:lang w:eastAsia="ko-KR"/>
              </w:rPr>
            </w:pPr>
            <w:r w:rsidRPr="00F10D9C">
              <w:rPr>
                <w:rFonts w:eastAsia="Batang"/>
                <w:sz w:val="23"/>
                <w:szCs w:val="23"/>
                <w:lang w:eastAsia="ko-KR"/>
              </w:rPr>
              <w:t>254</w:t>
            </w:r>
          </w:p>
        </w:tc>
        <w:tc>
          <w:tcPr>
            <w:tcW w:w="119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bCs/>
                <w:sz w:val="23"/>
                <w:szCs w:val="23"/>
                <w:lang w:eastAsia="ko-KR"/>
              </w:rPr>
            </w:pPr>
            <w:r w:rsidRPr="00F10D9C">
              <w:rPr>
                <w:rFonts w:eastAsia="Batang"/>
                <w:b/>
                <w:sz w:val="23"/>
                <w:szCs w:val="23"/>
                <w:lang w:eastAsia="ko-KR"/>
              </w:rPr>
              <w:t>Grade Span</w:t>
            </w:r>
          </w:p>
        </w:tc>
        <w:tc>
          <w:tcPr>
            <w:tcW w:w="1101" w:type="pct"/>
            <w:tcMar>
              <w:top w:w="0" w:type="dxa"/>
              <w:left w:w="108" w:type="dxa"/>
              <w:bottom w:w="0" w:type="dxa"/>
              <w:right w:w="108" w:type="dxa"/>
            </w:tcMar>
            <w:vAlign w:val="center"/>
          </w:tcPr>
          <w:p w:rsidR="00B447A6" w:rsidRPr="00F10D9C" w:rsidRDefault="00B447A6" w:rsidP="00631465">
            <w:pPr>
              <w:tabs>
                <w:tab w:val="left" w:pos="1940"/>
              </w:tabs>
              <w:spacing w:before="40" w:after="40"/>
              <w:ind w:left="162" w:hanging="193"/>
              <w:rPr>
                <w:rFonts w:eastAsia="Batang"/>
                <w:sz w:val="23"/>
                <w:szCs w:val="23"/>
                <w:lang w:eastAsia="ko-KR"/>
              </w:rPr>
            </w:pPr>
            <w:r w:rsidRPr="00F10D9C">
              <w:rPr>
                <w:rFonts w:eastAsia="Batang"/>
                <w:sz w:val="23"/>
                <w:szCs w:val="23"/>
                <w:lang w:eastAsia="ko-KR"/>
              </w:rPr>
              <w:t>6-12</w:t>
            </w:r>
          </w:p>
        </w:tc>
      </w:tr>
      <w:tr w:rsidR="00B447A6" w:rsidRPr="00F10D9C" w:rsidTr="00631465">
        <w:trPr>
          <w:trHeight w:val="332"/>
        </w:trPr>
        <w:tc>
          <w:tcPr>
            <w:tcW w:w="2703" w:type="pct"/>
            <w:gridSpan w:val="2"/>
            <w:vMerge w:val="restart"/>
            <w:shd w:val="clear" w:color="auto" w:fill="FFFFFF" w:themeFill="background1"/>
            <w:vAlign w:val="center"/>
          </w:tcPr>
          <w:p w:rsidR="00B447A6" w:rsidRPr="00F10D9C" w:rsidRDefault="00B447A6" w:rsidP="00631465">
            <w:pPr>
              <w:tabs>
                <w:tab w:val="left" w:pos="1940"/>
              </w:tabs>
              <w:spacing w:before="40"/>
              <w:ind w:firstLine="108"/>
              <w:rPr>
                <w:rFonts w:eastAsia="Batang"/>
                <w:b/>
                <w:sz w:val="23"/>
                <w:szCs w:val="23"/>
                <w:lang w:eastAsia="ko-KR"/>
              </w:rPr>
            </w:pPr>
            <w:r w:rsidRPr="00F10D9C">
              <w:rPr>
                <w:rFonts w:eastAsia="Batang"/>
                <w:b/>
                <w:sz w:val="23"/>
                <w:szCs w:val="23"/>
                <w:lang w:eastAsia="ko-KR"/>
              </w:rPr>
              <w:t xml:space="preserve">Amendment Request: </w:t>
            </w:r>
          </w:p>
          <w:p w:rsidR="00B447A6" w:rsidRPr="00F10D9C" w:rsidRDefault="00B447A6" w:rsidP="00631465">
            <w:pPr>
              <w:snapToGrid w:val="0"/>
              <w:ind w:left="108"/>
              <w:rPr>
                <w:sz w:val="23"/>
                <w:szCs w:val="23"/>
              </w:rPr>
            </w:pPr>
            <w:r w:rsidRPr="00F10D9C">
              <w:rPr>
                <w:sz w:val="23"/>
                <w:szCs w:val="23"/>
              </w:rPr>
              <w:t>Increase enrollment from 372 to 480 (108)</w:t>
            </w:r>
          </w:p>
          <w:p w:rsidR="00B447A6" w:rsidRPr="00F10D9C" w:rsidRDefault="00B447A6" w:rsidP="00631465">
            <w:pPr>
              <w:tabs>
                <w:tab w:val="left" w:pos="1940"/>
              </w:tabs>
              <w:spacing w:before="120" w:after="40"/>
              <w:ind w:left="162" w:hanging="193"/>
              <w:rPr>
                <w:rFonts w:eastAsia="Batang"/>
                <w:b/>
                <w:sz w:val="23"/>
                <w:szCs w:val="23"/>
                <w:lang w:eastAsia="ko-KR"/>
              </w:rPr>
            </w:pPr>
          </w:p>
          <w:p w:rsidR="00B447A6" w:rsidRPr="00F10D9C" w:rsidRDefault="00B447A6" w:rsidP="00631465">
            <w:pPr>
              <w:tabs>
                <w:tab w:val="left" w:pos="1940"/>
              </w:tabs>
              <w:spacing w:before="120" w:after="40"/>
              <w:ind w:left="162" w:hanging="54"/>
              <w:rPr>
                <w:rFonts w:eastAsia="Batang"/>
                <w:sz w:val="23"/>
                <w:szCs w:val="23"/>
                <w:lang w:eastAsia="ko-KR"/>
              </w:rPr>
            </w:pPr>
            <w:r w:rsidRPr="00F10D9C">
              <w:rPr>
                <w:rFonts w:eastAsia="Batang"/>
                <w:b/>
                <w:sz w:val="23"/>
                <w:szCs w:val="23"/>
                <w:lang w:eastAsia="ko-KR"/>
              </w:rPr>
              <w:t xml:space="preserve">Implementation: </w:t>
            </w:r>
            <w:r w:rsidRPr="00F10D9C">
              <w:rPr>
                <w:rFonts w:eastAsia="Batang"/>
                <w:sz w:val="23"/>
                <w:szCs w:val="23"/>
                <w:lang w:eastAsia="ko-KR"/>
              </w:rPr>
              <w:t>2015-2016</w:t>
            </w:r>
          </w:p>
        </w:tc>
        <w:tc>
          <w:tcPr>
            <w:tcW w:w="1196" w:type="pct"/>
            <w:shd w:val="clear" w:color="auto" w:fill="F2F2F2"/>
            <w:tcMar>
              <w:top w:w="0" w:type="dxa"/>
              <w:left w:w="108" w:type="dxa"/>
              <w:bottom w:w="0" w:type="dxa"/>
              <w:right w:w="108" w:type="dxa"/>
            </w:tcMar>
            <w:vAlign w:val="center"/>
          </w:tcPr>
          <w:p w:rsidR="00B447A6" w:rsidRPr="00F10D9C" w:rsidRDefault="00B447A6" w:rsidP="00631465">
            <w:pPr>
              <w:tabs>
                <w:tab w:val="left" w:pos="1940"/>
              </w:tabs>
              <w:spacing w:before="40"/>
              <w:ind w:left="162" w:hanging="193"/>
              <w:rPr>
                <w:rFonts w:eastAsia="Batang"/>
                <w:b/>
                <w:sz w:val="23"/>
                <w:szCs w:val="23"/>
                <w:lang w:eastAsia="ko-KR"/>
              </w:rPr>
            </w:pPr>
            <w:r w:rsidRPr="00F10D9C">
              <w:rPr>
                <w:rFonts w:eastAsia="Batang"/>
                <w:b/>
                <w:sz w:val="23"/>
                <w:szCs w:val="23"/>
                <w:lang w:eastAsia="ko-KR"/>
              </w:rPr>
              <w:t>Current Age of School</w:t>
            </w:r>
          </w:p>
        </w:tc>
        <w:tc>
          <w:tcPr>
            <w:tcW w:w="1101" w:type="pct"/>
            <w:tcMar>
              <w:top w:w="0" w:type="dxa"/>
              <w:left w:w="108" w:type="dxa"/>
              <w:bottom w:w="0" w:type="dxa"/>
              <w:right w:w="108" w:type="dxa"/>
            </w:tcMar>
            <w:vAlign w:val="center"/>
          </w:tcPr>
          <w:p w:rsidR="00B447A6" w:rsidRPr="00F10D9C" w:rsidRDefault="00B447A6" w:rsidP="00631465">
            <w:pPr>
              <w:tabs>
                <w:tab w:val="left" w:pos="1940"/>
              </w:tabs>
              <w:spacing w:before="40" w:after="40"/>
              <w:ind w:left="162" w:hanging="193"/>
              <w:rPr>
                <w:rFonts w:eastAsia="Batang"/>
                <w:sz w:val="23"/>
                <w:szCs w:val="23"/>
                <w:lang w:eastAsia="ko-KR"/>
              </w:rPr>
            </w:pPr>
            <w:r w:rsidRPr="00F10D9C">
              <w:rPr>
                <w:rFonts w:eastAsia="Batang"/>
                <w:sz w:val="23"/>
                <w:szCs w:val="23"/>
                <w:lang w:eastAsia="ko-KR"/>
              </w:rPr>
              <w:t>10 years</w:t>
            </w:r>
          </w:p>
        </w:tc>
      </w:tr>
      <w:tr w:rsidR="00B447A6" w:rsidRPr="00F10D9C" w:rsidTr="00631465">
        <w:trPr>
          <w:trHeight w:val="859"/>
        </w:trPr>
        <w:tc>
          <w:tcPr>
            <w:tcW w:w="2703" w:type="pct"/>
            <w:gridSpan w:val="2"/>
            <w:vMerge/>
            <w:shd w:val="clear" w:color="auto" w:fill="FFFFFF" w:themeFill="background1"/>
            <w:tcMar>
              <w:top w:w="0" w:type="dxa"/>
              <w:left w:w="108" w:type="dxa"/>
              <w:bottom w:w="0" w:type="dxa"/>
              <w:right w:w="108" w:type="dxa"/>
            </w:tcMar>
            <w:vAlign w:val="center"/>
          </w:tcPr>
          <w:p w:rsidR="00B447A6" w:rsidRPr="00F10D9C" w:rsidRDefault="00B447A6" w:rsidP="00631465">
            <w:pPr>
              <w:tabs>
                <w:tab w:val="left" w:pos="1940"/>
              </w:tabs>
              <w:spacing w:before="120" w:after="40"/>
              <w:ind w:left="162" w:hanging="193"/>
              <w:rPr>
                <w:rFonts w:eastAsia="Batang"/>
                <w:b/>
                <w:sz w:val="23"/>
                <w:szCs w:val="23"/>
                <w:lang w:eastAsia="ko-KR"/>
              </w:rPr>
            </w:pPr>
          </w:p>
        </w:tc>
        <w:tc>
          <w:tcPr>
            <w:tcW w:w="2297" w:type="pct"/>
            <w:gridSpan w:val="2"/>
            <w:shd w:val="clear" w:color="auto" w:fill="FFFFFF"/>
            <w:vAlign w:val="center"/>
          </w:tcPr>
          <w:p w:rsidR="00B447A6" w:rsidRPr="00F10D9C" w:rsidRDefault="00B447A6" w:rsidP="00631465">
            <w:pPr>
              <w:snapToGrid w:val="0"/>
              <w:ind w:left="103"/>
              <w:rPr>
                <w:sz w:val="23"/>
                <w:szCs w:val="23"/>
              </w:rPr>
            </w:pPr>
            <w:r w:rsidRPr="00F10D9C">
              <w:rPr>
                <w:rFonts w:eastAsia="Batang"/>
                <w:b/>
                <w:sz w:val="23"/>
                <w:szCs w:val="23"/>
                <w:lang w:eastAsia="ko-KR"/>
              </w:rPr>
              <w:t>Proven Provider Status Required.</w:t>
            </w:r>
          </w:p>
        </w:tc>
      </w:tr>
      <w:tr w:rsidR="00B447A6" w:rsidRPr="00F10D9C" w:rsidTr="00631465">
        <w:trPr>
          <w:trHeight w:val="350"/>
        </w:trPr>
        <w:tc>
          <w:tcPr>
            <w:tcW w:w="5000" w:type="pct"/>
            <w:gridSpan w:val="4"/>
            <w:shd w:val="clear" w:color="auto" w:fill="FFFFFF"/>
            <w:tcMar>
              <w:top w:w="0" w:type="dxa"/>
              <w:left w:w="108" w:type="dxa"/>
              <w:bottom w:w="0" w:type="dxa"/>
              <w:right w:w="108" w:type="dxa"/>
            </w:tcMar>
          </w:tcPr>
          <w:p w:rsidR="00B447A6" w:rsidRPr="00F10D9C" w:rsidRDefault="00B447A6" w:rsidP="00631465">
            <w:pPr>
              <w:tabs>
                <w:tab w:val="left" w:pos="1940"/>
              </w:tabs>
              <w:spacing w:before="120" w:after="40"/>
              <w:ind w:left="162" w:hanging="193"/>
              <w:rPr>
                <w:rFonts w:eastAsia="Batang"/>
                <w:b/>
                <w:sz w:val="23"/>
                <w:szCs w:val="23"/>
                <w:lang w:eastAsia="ko-KR"/>
              </w:rPr>
            </w:pPr>
            <w:r w:rsidRPr="00F10D9C">
              <w:rPr>
                <w:rFonts w:eastAsia="Batang"/>
                <w:b/>
                <w:sz w:val="23"/>
                <w:szCs w:val="23"/>
                <w:lang w:eastAsia="ko-KR"/>
              </w:rPr>
              <w:t>Mission Statement</w:t>
            </w:r>
          </w:p>
          <w:p w:rsidR="00B447A6" w:rsidRPr="00F10D9C" w:rsidRDefault="00B447A6" w:rsidP="00631465">
            <w:pPr>
              <w:ind w:left="162"/>
              <w:rPr>
                <w:sz w:val="23"/>
                <w:szCs w:val="23"/>
              </w:rPr>
            </w:pPr>
            <w:r w:rsidRPr="00F10D9C">
              <w:rPr>
                <w:sz w:val="23"/>
                <w:szCs w:val="23"/>
              </w:rPr>
              <w:t>Salem Academy is a Commonwealth charter school serving the diverse population of Salem with a college preparatory program for students in grades six through twelve. Through a unique integration of college preparatory classes with service to the community, the school graduates informed, articulate and proactive individuals of strong character.</w:t>
            </w:r>
          </w:p>
        </w:tc>
      </w:tr>
    </w:tbl>
    <w:p w:rsidR="00B447A6" w:rsidRPr="00F10D9C" w:rsidRDefault="00B447A6" w:rsidP="00B447A6">
      <w:pPr>
        <w:widowControl/>
        <w:rPr>
          <w:sz w:val="23"/>
          <w:szCs w:val="23"/>
        </w:rPr>
      </w:pPr>
    </w:p>
    <w:p w:rsidR="00B447A6" w:rsidRPr="00F56BEE" w:rsidRDefault="00700692" w:rsidP="00B447A6">
      <w:pPr>
        <w:widowControl/>
        <w:rPr>
          <w:b/>
          <w:szCs w:val="24"/>
          <w:u w:val="single"/>
        </w:rPr>
      </w:pPr>
      <w:r w:rsidRPr="00700692">
        <w:rPr>
          <w:b/>
          <w:szCs w:val="24"/>
          <w:u w:val="single"/>
        </w:rPr>
        <w:t>Request:</w:t>
      </w:r>
    </w:p>
    <w:p w:rsidR="00BB1099" w:rsidRPr="00F56BEE" w:rsidRDefault="00BB1099" w:rsidP="00B447A6">
      <w:pPr>
        <w:widowControl/>
        <w:rPr>
          <w:szCs w:val="24"/>
        </w:rPr>
      </w:pPr>
    </w:p>
    <w:p w:rsidR="000E65DA" w:rsidRPr="00F56BEE" w:rsidRDefault="00700692" w:rsidP="000E65DA">
      <w:pPr>
        <w:widowControl/>
        <w:rPr>
          <w:szCs w:val="24"/>
        </w:rPr>
      </w:pPr>
      <w:r w:rsidRPr="00700692">
        <w:rPr>
          <w:szCs w:val="24"/>
        </w:rPr>
        <w:t>Salem Academy Charter School (SACS) seeks to increase its student enrollment by 108 seats over four years, initially increasing enrollment in grades 6-9 by 12 students and maintaining the 72 students in grades 6-9. SACS has previously received and successfully implemented an enrollment increase of 64 seats in 2011. A copy of the school’s request is attached.</w:t>
      </w:r>
    </w:p>
    <w:p w:rsidR="00631465" w:rsidRPr="00F56BEE" w:rsidRDefault="00631465" w:rsidP="00B447A6">
      <w:pPr>
        <w:widowControl/>
        <w:rPr>
          <w:szCs w:val="24"/>
        </w:rPr>
      </w:pPr>
    </w:p>
    <w:p w:rsidR="00631465" w:rsidRPr="00F56BEE" w:rsidRDefault="00700692" w:rsidP="00B447A6">
      <w:pPr>
        <w:widowControl/>
        <w:rPr>
          <w:szCs w:val="24"/>
        </w:rPr>
      </w:pPr>
      <w:proofErr w:type="gramStart"/>
      <w:r w:rsidRPr="00700692">
        <w:rPr>
          <w:szCs w:val="24"/>
        </w:rPr>
        <w:t>The school reports that the increase in student enrollment will increase curricular and extra-curricular options for students and increase access to the program for all residents of Salem.</w:t>
      </w:r>
      <w:proofErr w:type="gramEnd"/>
      <w:r w:rsidRPr="00700692">
        <w:rPr>
          <w:szCs w:val="24"/>
        </w:rPr>
        <w:t xml:space="preserve"> The school maintains the size of the request will continue to support their commitment to know each student personally and support individualized learning. </w:t>
      </w:r>
      <w:proofErr w:type="gramStart"/>
      <w:r w:rsidRPr="00700692">
        <w:rPr>
          <w:szCs w:val="24"/>
        </w:rPr>
        <w:t>The school reports that the increase in enrollment will result in minimal increases in class sizes while also limiting the need for additional school staff.</w:t>
      </w:r>
      <w:proofErr w:type="gramEnd"/>
      <w:r w:rsidRPr="00700692">
        <w:rPr>
          <w:szCs w:val="24"/>
        </w:rPr>
        <w:t xml:space="preserve"> Increased enrollment will generate sufficient additional income to support the proposed expansion, provide salary increases for faculty and staff, and support the financial stability of the current program.</w:t>
      </w:r>
    </w:p>
    <w:p w:rsidR="00631465" w:rsidRPr="00F56BEE" w:rsidRDefault="00631465" w:rsidP="00B447A6">
      <w:pPr>
        <w:widowControl/>
        <w:rPr>
          <w:szCs w:val="24"/>
        </w:rPr>
      </w:pPr>
    </w:p>
    <w:p w:rsidR="00BB1099" w:rsidRPr="00F56BEE" w:rsidRDefault="00700692" w:rsidP="00B447A6">
      <w:pPr>
        <w:widowControl/>
        <w:rPr>
          <w:szCs w:val="24"/>
        </w:rPr>
      </w:pPr>
      <w:r w:rsidRPr="00700692">
        <w:rPr>
          <w:szCs w:val="24"/>
        </w:rPr>
        <w:t xml:space="preserve">The school indicated, as part of its request and 2013-2014 annual report, its intent to lease additional space from their present landlord to accommodate the increased enrollment and to provide access to a new arts and athletics complex. </w:t>
      </w:r>
    </w:p>
    <w:p w:rsidR="00BB1099" w:rsidRPr="00F56BEE" w:rsidRDefault="00BB1099" w:rsidP="00B447A6">
      <w:pPr>
        <w:widowControl/>
        <w:rPr>
          <w:szCs w:val="24"/>
        </w:rPr>
      </w:pPr>
    </w:p>
    <w:p w:rsidR="00B447A6" w:rsidRPr="00F56BEE" w:rsidRDefault="00B447A6" w:rsidP="00B447A6">
      <w:pPr>
        <w:widowControl/>
        <w:rPr>
          <w:szCs w:val="24"/>
        </w:rPr>
      </w:pPr>
    </w:p>
    <w:p w:rsidR="004F2A7D" w:rsidRPr="00F56BEE" w:rsidRDefault="00700692">
      <w:pPr>
        <w:widowControl/>
        <w:rPr>
          <w:b/>
          <w:bCs/>
          <w:szCs w:val="24"/>
          <w:u w:val="single"/>
        </w:rPr>
      </w:pPr>
      <w:r w:rsidRPr="00700692">
        <w:rPr>
          <w:b/>
          <w:bCs/>
          <w:szCs w:val="24"/>
          <w:u w:val="single"/>
        </w:rPr>
        <w:br w:type="page"/>
      </w:r>
    </w:p>
    <w:p w:rsidR="004F2A7D" w:rsidRPr="00F56BEE" w:rsidRDefault="004F2A7D" w:rsidP="00B447A6">
      <w:pPr>
        <w:widowControl/>
        <w:rPr>
          <w:b/>
          <w:bCs/>
          <w:szCs w:val="24"/>
          <w:u w:val="single"/>
        </w:rPr>
      </w:pPr>
    </w:p>
    <w:p w:rsidR="00B447A6" w:rsidRPr="00F56BEE" w:rsidRDefault="00700692" w:rsidP="00B447A6">
      <w:pPr>
        <w:widowControl/>
        <w:rPr>
          <w:szCs w:val="24"/>
        </w:rPr>
      </w:pPr>
      <w:r w:rsidRPr="00700692">
        <w:rPr>
          <w:b/>
          <w:bCs/>
          <w:szCs w:val="24"/>
          <w:u w:val="single"/>
        </w:rPr>
        <w:t>Overview of School’s Performance:</w:t>
      </w:r>
    </w:p>
    <w:p w:rsidR="00BB1099" w:rsidRPr="00F56BEE" w:rsidRDefault="00BB1099" w:rsidP="00B447A6">
      <w:pPr>
        <w:autoSpaceDE w:val="0"/>
        <w:autoSpaceDN w:val="0"/>
        <w:adjustRightInd w:val="0"/>
        <w:rPr>
          <w:szCs w:val="24"/>
        </w:rPr>
      </w:pPr>
    </w:p>
    <w:p w:rsidR="00BB1099" w:rsidRPr="00F56BEE" w:rsidRDefault="00700692" w:rsidP="00B447A6">
      <w:pPr>
        <w:autoSpaceDE w:val="0"/>
        <w:autoSpaceDN w:val="0"/>
        <w:adjustRightInd w:val="0"/>
        <w:rPr>
          <w:szCs w:val="24"/>
        </w:rPr>
      </w:pPr>
      <w:r w:rsidRPr="00700692">
        <w:rPr>
          <w:szCs w:val="24"/>
        </w:rPr>
        <w:t xml:space="preserve">Overall, the submitted amendment request, the school’s 2014 renewal, and the Department’s records indicate that the school’s academic program is a </w:t>
      </w:r>
      <w:proofErr w:type="gramStart"/>
      <w:r w:rsidRPr="00700692">
        <w:rPr>
          <w:szCs w:val="24"/>
        </w:rPr>
        <w:t>success, that</w:t>
      </w:r>
      <w:proofErr w:type="gramEnd"/>
      <w:r w:rsidRPr="00700692">
        <w:rPr>
          <w:szCs w:val="24"/>
        </w:rPr>
        <w:t xml:space="preserve"> the school is </w:t>
      </w:r>
    </w:p>
    <w:p w:rsidR="00B447A6" w:rsidRPr="00F56BEE" w:rsidRDefault="00700692" w:rsidP="00B447A6">
      <w:pPr>
        <w:autoSpaceDE w:val="0"/>
        <w:autoSpaceDN w:val="0"/>
        <w:adjustRightInd w:val="0"/>
        <w:rPr>
          <w:bCs/>
          <w:szCs w:val="24"/>
        </w:rPr>
      </w:pPr>
      <w:proofErr w:type="gramStart"/>
      <w:r w:rsidRPr="00700692">
        <w:rPr>
          <w:szCs w:val="24"/>
        </w:rPr>
        <w:t>a</w:t>
      </w:r>
      <w:proofErr w:type="gramEnd"/>
      <w:r w:rsidRPr="00700692">
        <w:rPr>
          <w:szCs w:val="24"/>
        </w:rPr>
        <w:t xml:space="preserve"> viable organization, and that it has been faithful to the terms of its charter. </w:t>
      </w:r>
      <w:r w:rsidRPr="00700692">
        <w:rPr>
          <w:bCs/>
          <w:szCs w:val="24"/>
        </w:rPr>
        <w:t>SACS has high student performance, achieving Level 1 status for the past three years; a school percentile of 56 in 2012, 63 in 2013, and 72 in 2014; a PPI of 100, 92, and 90 in the aggregate over the same three</w:t>
      </w:r>
      <w:r w:rsidR="00F56BEE">
        <w:rPr>
          <w:bCs/>
          <w:szCs w:val="24"/>
        </w:rPr>
        <w:t>-</w:t>
      </w:r>
      <w:r w:rsidRPr="00700692">
        <w:rPr>
          <w:bCs/>
          <w:szCs w:val="24"/>
        </w:rPr>
        <w:t>year span. The PPI of the school’s high needs subgroup was 100 in 2012, 87 in 2013, and 92 in 2014. The school’s 4-year and 5-year graduation rates exceeded current state accountability targets for cohort graduation rates since its first graduating class in 2009.</w:t>
      </w:r>
    </w:p>
    <w:p w:rsidR="00B447A6" w:rsidRPr="00F56BEE" w:rsidRDefault="00B447A6" w:rsidP="00B447A6">
      <w:pPr>
        <w:autoSpaceDE w:val="0"/>
        <w:autoSpaceDN w:val="0"/>
        <w:adjustRightInd w:val="0"/>
        <w:rPr>
          <w:bCs/>
          <w:szCs w:val="24"/>
        </w:rPr>
      </w:pPr>
    </w:p>
    <w:p w:rsidR="00B447A6" w:rsidRPr="00F56BEE" w:rsidRDefault="00700692" w:rsidP="00B447A6">
      <w:pPr>
        <w:autoSpaceDE w:val="0"/>
        <w:autoSpaceDN w:val="0"/>
        <w:adjustRightInd w:val="0"/>
        <w:rPr>
          <w:bCs/>
          <w:szCs w:val="24"/>
        </w:rPr>
      </w:pPr>
      <w:r w:rsidRPr="00700692">
        <w:rPr>
          <w:bCs/>
          <w:szCs w:val="24"/>
        </w:rPr>
        <w:t>The school reports increased interest from families in Salem since the district was identified as Level 4 in 2012; 44 percent of Salem’s fifth graders applied in 2013 and 36 percent in 2014. The school implements a variety of recruitment strategies to encourage families to apply, including the use of mailings in English and Spanish to families of 5</w:t>
      </w:r>
      <w:r w:rsidRPr="00700692">
        <w:rPr>
          <w:bCs/>
          <w:szCs w:val="24"/>
          <w:vertAlign w:val="superscript"/>
        </w:rPr>
        <w:t>th</w:t>
      </w:r>
      <w:r w:rsidRPr="00700692">
        <w:rPr>
          <w:bCs/>
          <w:szCs w:val="24"/>
        </w:rPr>
        <w:t xml:space="preserve"> and 8</w:t>
      </w:r>
      <w:r w:rsidRPr="00700692">
        <w:rPr>
          <w:bCs/>
          <w:szCs w:val="24"/>
          <w:vertAlign w:val="superscript"/>
        </w:rPr>
        <w:t>th</w:t>
      </w:r>
      <w:r w:rsidRPr="00700692">
        <w:rPr>
          <w:bCs/>
          <w:szCs w:val="24"/>
        </w:rPr>
        <w:t xml:space="preserve"> grade students. The school has also created a fulltime food services position to increase eligible participation in school nutrition programs. </w:t>
      </w:r>
    </w:p>
    <w:p w:rsidR="00B447A6" w:rsidRPr="00F56BEE" w:rsidRDefault="00B447A6" w:rsidP="00B447A6">
      <w:pPr>
        <w:autoSpaceDE w:val="0"/>
        <w:autoSpaceDN w:val="0"/>
        <w:adjustRightInd w:val="0"/>
        <w:rPr>
          <w:bCs/>
          <w:szCs w:val="24"/>
        </w:rPr>
      </w:pPr>
    </w:p>
    <w:p w:rsidR="007A3DA9" w:rsidRPr="00F56BEE" w:rsidRDefault="00700692" w:rsidP="007A3DA9">
      <w:pPr>
        <w:rPr>
          <w:bCs/>
          <w:szCs w:val="24"/>
        </w:rPr>
      </w:pPr>
      <w:r w:rsidRPr="00700692">
        <w:rPr>
          <w:rStyle w:val="FindingChar"/>
          <w:sz w:val="24"/>
        </w:rPr>
        <w:t xml:space="preserve">At the time of its 2014 renewal, the Department noted that the school operates in a financially sound and publicly accountable manner overall, with a few concerns noted due to a budgetary shortfall in fiscal year 2011 (FY2011). </w:t>
      </w:r>
      <w:r w:rsidRPr="00700692">
        <w:rPr>
          <w:szCs w:val="24"/>
        </w:rPr>
        <w:t xml:space="preserve">As a result of the financial losses sustained in FY2011 </w:t>
      </w:r>
      <w:r w:rsidRPr="00700692">
        <w:rPr>
          <w:rStyle w:val="FindingChar"/>
          <w:sz w:val="24"/>
        </w:rPr>
        <w:t>related to a reduction in per pupil tuition</w:t>
      </w:r>
      <w:r w:rsidRPr="00700692">
        <w:rPr>
          <w:szCs w:val="24"/>
        </w:rPr>
        <w:t>, SACS was categorized as at moderate or potentially high risk on key financial indicators from FY2011-FY2014 in the Department’s fiscal dashboard. The shift from quarterly to monthly tuition payments in FY2015 will also likely decrease the school’s current use of a line of credit and short term loans to facilitate cash flow during the school year. SACS audits have been free of findings of deficiency and material weakness during FY2009 through FY2013. Two instances of noncompliance were noted in FY2010 and FY2013</w:t>
      </w:r>
      <w:r w:rsidRPr="00700692">
        <w:rPr>
          <w:rStyle w:val="FootnoteReference"/>
          <w:szCs w:val="24"/>
          <w:vertAlign w:val="superscript"/>
        </w:rPr>
        <w:footnoteReference w:id="1"/>
      </w:r>
      <w:r w:rsidRPr="00700692">
        <w:rPr>
          <w:szCs w:val="24"/>
          <w:vertAlign w:val="superscript"/>
        </w:rPr>
        <w:t xml:space="preserve"> </w:t>
      </w:r>
      <w:r w:rsidRPr="00700692">
        <w:rPr>
          <w:szCs w:val="24"/>
        </w:rPr>
        <w:t xml:space="preserve"> and were subsequently corrected by the school.</w:t>
      </w:r>
      <w:r w:rsidRPr="00700692">
        <w:rPr>
          <w:bCs/>
          <w:szCs w:val="24"/>
        </w:rPr>
        <w:t xml:space="preserve"> </w:t>
      </w:r>
    </w:p>
    <w:p w:rsidR="007A3DA9" w:rsidRPr="00F56BEE" w:rsidRDefault="007A3DA9" w:rsidP="007A3DA9">
      <w:pPr>
        <w:rPr>
          <w:bCs/>
          <w:szCs w:val="24"/>
        </w:rPr>
      </w:pPr>
    </w:p>
    <w:p w:rsidR="00B447A6" w:rsidRPr="00F56BEE" w:rsidRDefault="00700692" w:rsidP="007A3DA9">
      <w:pPr>
        <w:rPr>
          <w:bCs/>
          <w:szCs w:val="24"/>
        </w:rPr>
      </w:pPr>
      <w:r w:rsidRPr="00700692">
        <w:rPr>
          <w:bCs/>
          <w:szCs w:val="24"/>
        </w:rPr>
        <w:t xml:space="preserve">The school has excelled at dissemination efforts, receiving a Commendation grant </w:t>
      </w:r>
      <w:r w:rsidRPr="00700692">
        <w:rPr>
          <w:szCs w:val="24"/>
        </w:rPr>
        <w:t>(Title 1 Commendation Schools Regional Dissemination Grant) to work with Salem Public Schools on standards-based approaches to middle school math instruction</w:t>
      </w:r>
      <w:r w:rsidRPr="00700692">
        <w:rPr>
          <w:bCs/>
          <w:szCs w:val="24"/>
        </w:rPr>
        <w:t xml:space="preserve"> and a Dissemination grant </w:t>
      </w:r>
      <w:r w:rsidRPr="00700692">
        <w:rPr>
          <w:szCs w:val="24"/>
        </w:rPr>
        <w:t>(Charter School Program Grant) to continue collaboration on standards based curriculum and assessment with Salem Public Schools middle and high school leadership teams.</w:t>
      </w:r>
    </w:p>
    <w:p w:rsidR="00B447A6" w:rsidRPr="00F56BEE" w:rsidRDefault="00B447A6" w:rsidP="00B447A6">
      <w:pPr>
        <w:autoSpaceDE w:val="0"/>
        <w:autoSpaceDN w:val="0"/>
        <w:adjustRightInd w:val="0"/>
        <w:rPr>
          <w:bCs/>
          <w:szCs w:val="24"/>
        </w:rPr>
      </w:pPr>
    </w:p>
    <w:p w:rsidR="00B447A6" w:rsidRPr="00F56BEE" w:rsidRDefault="00700692" w:rsidP="00B447A6">
      <w:pPr>
        <w:widowControl/>
        <w:rPr>
          <w:bCs/>
          <w:szCs w:val="24"/>
        </w:rPr>
      </w:pPr>
      <w:r w:rsidRPr="00700692">
        <w:rPr>
          <w:bCs/>
          <w:szCs w:val="24"/>
        </w:rPr>
        <w:t xml:space="preserve">The Department solicited comment from the superintendent of Salem Public Schools. No comment was received. The Department received letters of support </w:t>
      </w:r>
      <w:r w:rsidR="00F56BEE">
        <w:rPr>
          <w:bCs/>
          <w:szCs w:val="24"/>
        </w:rPr>
        <w:t xml:space="preserve">for the school </w:t>
      </w:r>
      <w:r w:rsidRPr="00700692">
        <w:rPr>
          <w:bCs/>
          <w:szCs w:val="24"/>
        </w:rPr>
        <w:t>from the Salem community including community organizations; administrators of local higher education institutions; and a current school committee member, the former school leader. The Department received additional letters of support from the school community, including the SACS’ parent organization.</w:t>
      </w:r>
    </w:p>
    <w:sectPr w:rsidR="00B447A6" w:rsidRPr="00F56BEE" w:rsidSect="00A82966">
      <w:headerReference w:type="even" r:id="rId12"/>
      <w:headerReference w:type="default" r:id="rId13"/>
      <w:footerReference w:type="even" r:id="rId14"/>
      <w:footerReference w:type="default" r:id="rId15"/>
      <w:headerReference w:type="first" r:id="rId16"/>
      <w:footerReference w:type="first" r:id="rId17"/>
      <w:pgSz w:w="12240" w:h="15840"/>
      <w:pgMar w:top="1166"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B8" w:rsidRDefault="002657B8" w:rsidP="00B447A6">
      <w:r>
        <w:separator/>
      </w:r>
    </w:p>
  </w:endnote>
  <w:endnote w:type="continuationSeparator" w:id="0">
    <w:p w:rsidR="002657B8" w:rsidRDefault="002657B8" w:rsidP="00B4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17" w:rsidRDefault="00591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B8" w:rsidRPr="00575AED" w:rsidRDefault="002657B8" w:rsidP="007E5184">
    <w:pPr>
      <w:pStyle w:val="Footer"/>
      <w:jc w:val="center"/>
      <w:rPr>
        <w:sz w:val="16"/>
        <w:szCs w:val="16"/>
      </w:rPr>
    </w:pPr>
    <w:r w:rsidRPr="00074A76">
      <w:rPr>
        <w:sz w:val="16"/>
        <w:szCs w:val="16"/>
      </w:rPr>
      <w:t>Massachusetts Department of Elementary and Secondary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B8" w:rsidRPr="009620CB" w:rsidRDefault="002657B8" w:rsidP="00631465">
    <w:pPr>
      <w:pStyle w:val="Footer"/>
      <w:tabs>
        <w:tab w:val="clear" w:pos="8640"/>
        <w:tab w:val="right" w:pos="12960"/>
      </w:tabs>
      <w:ind w:right="360"/>
      <w:rPr>
        <w:rStyle w:val="PageNumber"/>
        <w:sz w:val="18"/>
      </w:rPr>
    </w:pPr>
    <w:r w:rsidRPr="009620CB">
      <w:rPr>
        <w:sz w:val="18"/>
      </w:rPr>
      <w:t xml:space="preserve">Summary of Review: Salem Academy Charter Public School                                                                 </w:t>
    </w:r>
    <w:r>
      <w:rPr>
        <w:sz w:val="18"/>
      </w:rPr>
      <w:t xml:space="preserve">                      </w:t>
    </w:r>
    <w:r w:rsidRPr="009620CB">
      <w:rPr>
        <w:sz w:val="18"/>
      </w:rPr>
      <w:t xml:space="preserve">   </w:t>
    </w:r>
    <w:r w:rsidRPr="009620CB">
      <w:rPr>
        <w:sz w:val="18"/>
        <w:szCs w:val="20"/>
      </w:rPr>
      <w:t xml:space="preserve">Page </w:t>
    </w:r>
    <w:r w:rsidR="00927AE1" w:rsidRPr="009620CB">
      <w:rPr>
        <w:rStyle w:val="PageNumber"/>
        <w:sz w:val="18"/>
        <w:szCs w:val="20"/>
      </w:rPr>
      <w:fldChar w:fldCharType="begin"/>
    </w:r>
    <w:r w:rsidRPr="009620CB">
      <w:rPr>
        <w:rStyle w:val="PageNumber"/>
        <w:sz w:val="18"/>
        <w:szCs w:val="20"/>
      </w:rPr>
      <w:instrText xml:space="preserve"> PAGE </w:instrText>
    </w:r>
    <w:r w:rsidR="00927AE1" w:rsidRPr="009620CB">
      <w:rPr>
        <w:rStyle w:val="PageNumber"/>
        <w:sz w:val="18"/>
        <w:szCs w:val="20"/>
      </w:rPr>
      <w:fldChar w:fldCharType="separate"/>
    </w:r>
    <w:r>
      <w:rPr>
        <w:rStyle w:val="PageNumber"/>
        <w:noProof/>
        <w:sz w:val="18"/>
        <w:szCs w:val="20"/>
      </w:rPr>
      <w:t>1</w:t>
    </w:r>
    <w:r w:rsidR="00927AE1" w:rsidRPr="009620CB">
      <w:rPr>
        <w:rStyle w:val="PageNumber"/>
        <w:sz w:val="18"/>
        <w:szCs w:val="20"/>
      </w:rPr>
      <w:fldChar w:fldCharType="end"/>
    </w:r>
    <w:r w:rsidRPr="009620CB">
      <w:rPr>
        <w:rStyle w:val="PageNumber"/>
        <w:sz w:val="18"/>
        <w:szCs w:val="20"/>
      </w:rPr>
      <w:t xml:space="preserve"> </w:t>
    </w:r>
  </w:p>
  <w:p w:rsidR="002657B8" w:rsidRPr="009620CB" w:rsidRDefault="002657B8" w:rsidP="00631465">
    <w:pPr>
      <w:pStyle w:val="Footer"/>
      <w:rPr>
        <w:sz w:val="22"/>
      </w:rPr>
    </w:pPr>
    <w:r>
      <w:rPr>
        <w:rStyle w:val="PageNumber"/>
        <w:sz w:val="18"/>
        <w:szCs w:val="20"/>
      </w:rPr>
      <w:t>January 2014</w:t>
    </w:r>
  </w:p>
  <w:p w:rsidR="002657B8" w:rsidRPr="001E7C77" w:rsidRDefault="002657B8" w:rsidP="00631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B8" w:rsidRDefault="002657B8" w:rsidP="00B447A6">
      <w:r>
        <w:separator/>
      </w:r>
    </w:p>
  </w:footnote>
  <w:footnote w:type="continuationSeparator" w:id="0">
    <w:p w:rsidR="002657B8" w:rsidRDefault="002657B8" w:rsidP="00B447A6">
      <w:r>
        <w:continuationSeparator/>
      </w:r>
    </w:p>
  </w:footnote>
  <w:footnote w:id="1">
    <w:p w:rsidR="00DD359F" w:rsidRPr="002657B8" w:rsidRDefault="00DD359F" w:rsidP="00DD359F">
      <w:pPr>
        <w:pStyle w:val="FootnoteText"/>
      </w:pPr>
      <w:r w:rsidRPr="002657B8">
        <w:rPr>
          <w:rStyle w:val="FootnoteReference"/>
          <w:vertAlign w:val="superscript"/>
        </w:rPr>
        <w:footnoteRef/>
      </w:r>
      <w:r w:rsidRPr="002657B8">
        <w:rPr>
          <w:vertAlign w:val="superscript"/>
        </w:rPr>
        <w:t xml:space="preserve"> </w:t>
      </w:r>
      <w:r>
        <w:rPr>
          <w:vertAlign w:val="superscript"/>
        </w:rPr>
        <w:t xml:space="preserve"> </w:t>
      </w:r>
      <w:r w:rsidRPr="002274A9">
        <w:t>In FY</w:t>
      </w:r>
      <w:r>
        <w:t>20</w:t>
      </w:r>
      <w:r w:rsidRPr="002274A9">
        <w:t xml:space="preserve">13, SACS </w:t>
      </w:r>
      <w:r>
        <w:t>did not</w:t>
      </w:r>
      <w:r w:rsidRPr="002274A9">
        <w:t xml:space="preserve"> submit the staff’s withheld deductions to Massachusetts Teachers Retirement Board (MTRB) in a timely fashion. </w:t>
      </w:r>
      <w:r>
        <w:t>In FY2010, SACS did not have an individual licensed as a Massachusetts Certified Public Purchasing Official (MCPPO).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17" w:rsidRDefault="00591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B8" w:rsidRPr="0022371A" w:rsidRDefault="002657B8" w:rsidP="001233BD">
    <w:pPr>
      <w:pStyle w:val="Header"/>
    </w:pPr>
    <w:bookmarkStart w:id="2" w:name="OLE_LINK3"/>
    <w:bookmarkStart w:id="3" w:name="OLE_LINK4"/>
    <w:bookmarkStart w:id="4" w:name="_Hlk408586409"/>
    <w:r w:rsidRPr="0022371A">
      <w:rPr>
        <w:b/>
        <w:szCs w:val="24"/>
      </w:rPr>
      <w:t>Request of Salem Academy Charter School</w:t>
    </w:r>
    <w:r>
      <w:rPr>
        <w:b/>
        <w:szCs w:val="24"/>
      </w:rPr>
      <w:t>,</w:t>
    </w:r>
    <w:r w:rsidRPr="0022371A">
      <w:rPr>
        <w:b/>
        <w:szCs w:val="24"/>
      </w:rPr>
      <w:t xml:space="preserve"> Evidence </w:t>
    </w:r>
    <w:r>
      <w:rPr>
        <w:b/>
        <w:szCs w:val="24"/>
      </w:rPr>
      <w:t>Regarding Performance</w:t>
    </w:r>
    <w:bookmarkEnd w:id="2"/>
    <w:bookmarkEnd w:id="3"/>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17" w:rsidRDefault="00591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47A6"/>
    <w:rsid w:val="00010378"/>
    <w:rsid w:val="00017B45"/>
    <w:rsid w:val="00021E1A"/>
    <w:rsid w:val="000454CF"/>
    <w:rsid w:val="000B4945"/>
    <w:rsid w:val="000E0DB1"/>
    <w:rsid w:val="000E65DA"/>
    <w:rsid w:val="0010691E"/>
    <w:rsid w:val="00107CF8"/>
    <w:rsid w:val="00115E86"/>
    <w:rsid w:val="001233BD"/>
    <w:rsid w:val="001677C8"/>
    <w:rsid w:val="00170177"/>
    <w:rsid w:val="001854DC"/>
    <w:rsid w:val="00197B93"/>
    <w:rsid w:val="001D4459"/>
    <w:rsid w:val="0022371A"/>
    <w:rsid w:val="00240D18"/>
    <w:rsid w:val="002657B8"/>
    <w:rsid w:val="00277DA2"/>
    <w:rsid w:val="00281FB3"/>
    <w:rsid w:val="002E7BBA"/>
    <w:rsid w:val="003C2A93"/>
    <w:rsid w:val="004D6712"/>
    <w:rsid w:val="004F2A7D"/>
    <w:rsid w:val="00542743"/>
    <w:rsid w:val="00582C73"/>
    <w:rsid w:val="00591317"/>
    <w:rsid w:val="00631465"/>
    <w:rsid w:val="006C7EC0"/>
    <w:rsid w:val="006F577D"/>
    <w:rsid w:val="00700692"/>
    <w:rsid w:val="007667A1"/>
    <w:rsid w:val="007A3DA9"/>
    <w:rsid w:val="007E5184"/>
    <w:rsid w:val="008577BD"/>
    <w:rsid w:val="008808C1"/>
    <w:rsid w:val="00886E7E"/>
    <w:rsid w:val="008A49BC"/>
    <w:rsid w:val="008B6439"/>
    <w:rsid w:val="008B7053"/>
    <w:rsid w:val="008D2E9D"/>
    <w:rsid w:val="008D34B3"/>
    <w:rsid w:val="00910567"/>
    <w:rsid w:val="00927AE1"/>
    <w:rsid w:val="00966300"/>
    <w:rsid w:val="009B3D10"/>
    <w:rsid w:val="009F4408"/>
    <w:rsid w:val="00A82966"/>
    <w:rsid w:val="00AB0C0B"/>
    <w:rsid w:val="00B07F9B"/>
    <w:rsid w:val="00B447A6"/>
    <w:rsid w:val="00BB1099"/>
    <w:rsid w:val="00BB536C"/>
    <w:rsid w:val="00C1030E"/>
    <w:rsid w:val="00C34107"/>
    <w:rsid w:val="00C46C9B"/>
    <w:rsid w:val="00C758BF"/>
    <w:rsid w:val="00C80028"/>
    <w:rsid w:val="00DC06EF"/>
    <w:rsid w:val="00DC140D"/>
    <w:rsid w:val="00DD359F"/>
    <w:rsid w:val="00E1628F"/>
    <w:rsid w:val="00E45D0C"/>
    <w:rsid w:val="00E5005F"/>
    <w:rsid w:val="00EB3BE9"/>
    <w:rsid w:val="00EF250F"/>
    <w:rsid w:val="00F10D9C"/>
    <w:rsid w:val="00F5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447A6"/>
  </w:style>
  <w:style w:type="paragraph" w:styleId="Footer">
    <w:name w:val="footer"/>
    <w:basedOn w:val="Normal"/>
    <w:link w:val="FooterChar"/>
    <w:uiPriority w:val="99"/>
    <w:rsid w:val="00B447A6"/>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B447A6"/>
    <w:rPr>
      <w:sz w:val="24"/>
      <w:szCs w:val="24"/>
    </w:rPr>
  </w:style>
  <w:style w:type="paragraph" w:styleId="BodyText">
    <w:name w:val="Body Text"/>
    <w:basedOn w:val="Normal"/>
    <w:link w:val="BodyTextChar"/>
    <w:rsid w:val="00B447A6"/>
    <w:pPr>
      <w:widowControl/>
    </w:pPr>
    <w:rPr>
      <w:rFonts w:ascii="Times" w:hAnsi="Times"/>
      <w:color w:val="000000"/>
    </w:rPr>
  </w:style>
  <w:style w:type="character" w:customStyle="1" w:styleId="BodyTextChar">
    <w:name w:val="Body Text Char"/>
    <w:basedOn w:val="DefaultParagraphFont"/>
    <w:link w:val="BodyText"/>
    <w:rsid w:val="00B447A6"/>
    <w:rPr>
      <w:rFonts w:ascii="Times" w:hAnsi="Times"/>
      <w:snapToGrid w:val="0"/>
      <w:color w:val="000000"/>
      <w:sz w:val="24"/>
    </w:rPr>
  </w:style>
  <w:style w:type="character" w:styleId="PageNumber">
    <w:name w:val="page number"/>
    <w:basedOn w:val="DefaultParagraphFont"/>
    <w:rsid w:val="00B447A6"/>
  </w:style>
  <w:style w:type="paragraph" w:styleId="FootnoteText">
    <w:name w:val="footnote text"/>
    <w:basedOn w:val="Normal"/>
    <w:link w:val="FootnoteTextChar"/>
    <w:uiPriority w:val="99"/>
    <w:rsid w:val="00B447A6"/>
    <w:pPr>
      <w:widowControl/>
    </w:pPr>
    <w:rPr>
      <w:snapToGrid/>
      <w:sz w:val="20"/>
    </w:rPr>
  </w:style>
  <w:style w:type="character" w:customStyle="1" w:styleId="FootnoteTextChar">
    <w:name w:val="Footnote Text Char"/>
    <w:basedOn w:val="DefaultParagraphFont"/>
    <w:link w:val="FootnoteText"/>
    <w:uiPriority w:val="99"/>
    <w:rsid w:val="00B447A6"/>
  </w:style>
  <w:style w:type="paragraph" w:styleId="Header">
    <w:name w:val="header"/>
    <w:basedOn w:val="Normal"/>
    <w:link w:val="HeaderChar"/>
    <w:uiPriority w:val="99"/>
    <w:rsid w:val="00B447A6"/>
    <w:pPr>
      <w:tabs>
        <w:tab w:val="center" w:pos="4680"/>
        <w:tab w:val="right" w:pos="9360"/>
      </w:tabs>
    </w:pPr>
  </w:style>
  <w:style w:type="character" w:customStyle="1" w:styleId="HeaderChar">
    <w:name w:val="Header Char"/>
    <w:basedOn w:val="DefaultParagraphFont"/>
    <w:link w:val="Header"/>
    <w:uiPriority w:val="99"/>
    <w:rsid w:val="00B447A6"/>
    <w:rPr>
      <w:snapToGrid w:val="0"/>
      <w:sz w:val="24"/>
    </w:rPr>
  </w:style>
  <w:style w:type="character" w:styleId="CommentReference">
    <w:name w:val="annotation reference"/>
    <w:basedOn w:val="DefaultParagraphFont"/>
    <w:unhideWhenUsed/>
    <w:rsid w:val="00B447A6"/>
    <w:rPr>
      <w:sz w:val="16"/>
      <w:szCs w:val="16"/>
    </w:rPr>
  </w:style>
  <w:style w:type="paragraph" w:styleId="CommentText">
    <w:name w:val="annotation text"/>
    <w:basedOn w:val="Normal"/>
    <w:link w:val="CommentTextChar"/>
    <w:unhideWhenUsed/>
    <w:rsid w:val="00B447A6"/>
    <w:rPr>
      <w:sz w:val="20"/>
    </w:rPr>
  </w:style>
  <w:style w:type="character" w:customStyle="1" w:styleId="CommentTextChar">
    <w:name w:val="Comment Text Char"/>
    <w:basedOn w:val="DefaultParagraphFont"/>
    <w:link w:val="CommentText"/>
    <w:rsid w:val="00B447A6"/>
    <w:rPr>
      <w:snapToGrid w:val="0"/>
    </w:rPr>
  </w:style>
  <w:style w:type="paragraph" w:customStyle="1" w:styleId="Finding">
    <w:name w:val="Finding"/>
    <w:basedOn w:val="Normal"/>
    <w:link w:val="FindingChar"/>
    <w:autoRedefine/>
    <w:rsid w:val="00B447A6"/>
    <w:pPr>
      <w:keepNext/>
      <w:widowControl/>
      <w:ind w:left="-25"/>
    </w:pPr>
    <w:rPr>
      <w:snapToGrid/>
      <w:sz w:val="22"/>
      <w:szCs w:val="24"/>
    </w:rPr>
  </w:style>
  <w:style w:type="character" w:customStyle="1" w:styleId="FindingChar">
    <w:name w:val="Finding Char"/>
    <w:basedOn w:val="DefaultParagraphFont"/>
    <w:link w:val="Finding"/>
    <w:locked/>
    <w:rsid w:val="00B447A6"/>
    <w:rPr>
      <w:sz w:val="22"/>
      <w:szCs w:val="24"/>
    </w:rPr>
  </w:style>
  <w:style w:type="paragraph" w:styleId="BalloonText">
    <w:name w:val="Balloon Text"/>
    <w:basedOn w:val="Normal"/>
    <w:link w:val="BalloonTextChar"/>
    <w:rsid w:val="00B447A6"/>
    <w:rPr>
      <w:rFonts w:ascii="Tahoma" w:hAnsi="Tahoma" w:cs="Tahoma"/>
      <w:sz w:val="16"/>
      <w:szCs w:val="16"/>
    </w:rPr>
  </w:style>
  <w:style w:type="character" w:customStyle="1" w:styleId="BalloonTextChar">
    <w:name w:val="Balloon Text Char"/>
    <w:basedOn w:val="DefaultParagraphFont"/>
    <w:link w:val="BalloonText"/>
    <w:rsid w:val="00B447A6"/>
    <w:rPr>
      <w:rFonts w:ascii="Tahoma" w:hAnsi="Tahoma" w:cs="Tahoma"/>
      <w:snapToGrid w:val="0"/>
      <w:sz w:val="16"/>
      <w:szCs w:val="16"/>
    </w:rPr>
  </w:style>
  <w:style w:type="paragraph" w:styleId="CommentSubject">
    <w:name w:val="annotation subject"/>
    <w:basedOn w:val="CommentText"/>
    <w:next w:val="CommentText"/>
    <w:link w:val="CommentSubjectChar"/>
    <w:rsid w:val="006C7EC0"/>
    <w:rPr>
      <w:b/>
      <w:bCs/>
    </w:rPr>
  </w:style>
  <w:style w:type="character" w:customStyle="1" w:styleId="CommentSubjectChar">
    <w:name w:val="Comment Subject Char"/>
    <w:basedOn w:val="CommentTextChar"/>
    <w:link w:val="CommentSubject"/>
    <w:rsid w:val="006C7EC0"/>
    <w:rPr>
      <w:b/>
      <w:bCs/>
      <w:snapToGrid w:val="0"/>
    </w:rPr>
  </w:style>
  <w:style w:type="paragraph" w:styleId="Revision">
    <w:name w:val="Revision"/>
    <w:hidden/>
    <w:uiPriority w:val="99"/>
    <w:semiHidden/>
    <w:rsid w:val="006C7EC0"/>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DESE-231-13139</_dlc_DocId>
    <_dlc_DocIdUrl xmlns="733efe1c-5bbe-4968-87dc-d400e65c879f">
      <Url>https://sharepoint.doemass.org/ese/webteam/cps/_layouts/DocIdRedir.aspx?ID=DESE-231-13139</Url>
      <Description>DESE-231-13139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45750-90AC-449D-80A0-CC9F2378C5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7A2D695-20CA-4304-A4E0-B4B43649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E3B4A-3815-4F7E-8720-69E25AC4D9E5}">
  <ds:schemaRefs>
    <ds:schemaRef ds:uri="http://schemas.microsoft.com/sharepoint/events"/>
  </ds:schemaRefs>
</ds:datastoreItem>
</file>

<file path=customXml/itemProps4.xml><?xml version="1.0" encoding="utf-8"?>
<ds:datastoreItem xmlns:ds="http://schemas.openxmlformats.org/officeDocument/2006/customXml" ds:itemID="{84625C65-DEEC-4AF7-A032-68E08EC884E9}">
  <ds:schemaRefs>
    <ds:schemaRef ds:uri="http://schemas.microsoft.com/sharepoint/v3/contenttype/forms"/>
  </ds:schemaRefs>
</ds:datastoreItem>
</file>

<file path=customXml/itemProps5.xml><?xml version="1.0" encoding="utf-8"?>
<ds:datastoreItem xmlns:ds="http://schemas.openxmlformats.org/officeDocument/2006/customXml" ds:itemID="{FD433E6B-49E4-4E30-9975-1F6FAE79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792</Words>
  <Characters>4440</Characters>
  <Application>Microsoft Office Word</Application>
  <DocSecurity>0</DocSecurity>
  <Lines>134</Lines>
  <Paragraphs>87</Paragraphs>
  <ScaleCrop>false</ScaleCrop>
  <HeadingPairs>
    <vt:vector size="2" baseType="variant">
      <vt:variant>
        <vt:lpstr>Title</vt:lpstr>
      </vt:variant>
      <vt:variant>
        <vt:i4>1</vt:i4>
      </vt:variant>
    </vt:vector>
  </HeadingPairs>
  <TitlesOfParts>
    <vt:vector size="1" baseType="lpstr">
      <vt:lpstr>Request of Salem Academy Charter School, Evidence Regarding Performance</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of Salem Academy Charter School, Evidence Regarding Performance</dc:title>
  <dc:subject>Request of Salem Academy Charter School, Evidence Regarding Performance</dc:subject>
  <dc:creator>Massachusetts Department of Elementary and Secondary Education</dc:creator>
  <cp:lastModifiedBy>ESE</cp:lastModifiedBy>
  <cp:revision>5</cp:revision>
  <cp:lastPrinted>2014-12-29T16:16:00Z</cp:lastPrinted>
  <dcterms:created xsi:type="dcterms:W3CDTF">2015-01-08T23:50:00Z</dcterms:created>
  <dcterms:modified xsi:type="dcterms:W3CDTF">2015-01-22T13:16:00Z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88543c16-70b9-47b9-acef-f080da7a2ce4</vt:lpwstr>
  </property>
  <property fmtid="{D5CDD505-2E9C-101B-9397-08002B2CF9AE}" pid="4" name="metadate">
    <vt:lpwstr>Jan 22 2015</vt:lpwstr>
  </property>
</Properties>
</file>