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97770" w14:textId="77777777" w:rsidR="00E11144" w:rsidRDefault="00E11144">
      <w:pPr>
        <w:spacing w:line="192" w:lineRule="auto"/>
        <w:outlineLvl w:val="0"/>
        <w:rPr>
          <w:rFonts w:ascii="Arial" w:hAnsi="Arial"/>
          <w:b/>
          <w:i/>
          <w:sz w:val="40"/>
        </w:rPr>
      </w:pPr>
    </w:p>
    <w:p w14:paraId="34897771" w14:textId="77777777" w:rsidR="00A20194" w:rsidRDefault="0060554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48978B0" wp14:editId="348978B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34897772" w14:textId="77777777" w:rsidR="00A20194" w:rsidRDefault="00C974A6">
      <w:pPr>
        <w:outlineLvl w:val="0"/>
        <w:rPr>
          <w:rFonts w:ascii="Arial" w:hAnsi="Arial"/>
          <w:b/>
          <w:i/>
          <w:sz w:val="50"/>
        </w:rPr>
      </w:pPr>
      <w:r>
        <w:rPr>
          <w:rFonts w:ascii="Arial" w:hAnsi="Arial"/>
          <w:b/>
          <w:i/>
          <w:sz w:val="40"/>
        </w:rPr>
        <w:t>Elementary and Secondary Education</w:t>
      </w:r>
    </w:p>
    <w:p w14:paraId="34897773" w14:textId="2A6DE576" w:rsidR="00A20194" w:rsidRDefault="00152D94">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14:anchorId="348978B2" wp14:editId="6B8362B0">
                <wp:simplePos x="0" y="0"/>
                <wp:positionH relativeFrom="column">
                  <wp:posOffset>24765</wp:posOffset>
                </wp:positionH>
                <wp:positionV relativeFrom="paragraph">
                  <wp:posOffset>64770</wp:posOffset>
                </wp:positionV>
                <wp:extent cx="5066030" cy="0"/>
                <wp:effectExtent l="15240" t="7620" r="1460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14:paraId="34897774" w14:textId="77777777"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34897775"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34897776" w14:textId="77777777" w:rsidR="00A20194" w:rsidRPr="00C974A6" w:rsidRDefault="00A20194">
      <w:pPr>
        <w:ind w:left="720"/>
        <w:rPr>
          <w:rFonts w:ascii="Arial" w:hAnsi="Arial"/>
          <w:i/>
          <w:sz w:val="16"/>
          <w:szCs w:val="16"/>
        </w:rPr>
      </w:pPr>
    </w:p>
    <w:p w14:paraId="34897777" w14:textId="77777777" w:rsidR="00A20194" w:rsidRDefault="00A20194">
      <w:pPr>
        <w:ind w:left="720"/>
        <w:rPr>
          <w:rFonts w:ascii="Arial" w:hAnsi="Arial"/>
          <w:i/>
          <w:sz w:val="18"/>
        </w:rPr>
        <w:sectPr w:rsidR="00A20194" w:rsidSect="00E22EDD">
          <w:footerReference w:type="even" r:id="rId14"/>
          <w:footerReference w:type="default" r:id="rId15"/>
          <w:footerReference w:type="first" r:id="rId16"/>
          <w:endnotePr>
            <w:numFmt w:val="decimal"/>
          </w:endnotePr>
          <w:pgSz w:w="12240" w:h="15840"/>
          <w:pgMar w:top="864" w:right="1080" w:bottom="1440" w:left="1800" w:header="1440" w:footer="1440" w:gutter="0"/>
          <w:cols w:space="720"/>
          <w:noEndnote/>
          <w:titlePg/>
        </w:sectPr>
      </w:pPr>
    </w:p>
    <w:p w14:paraId="34897778"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CE1FCB" w14:paraId="3489777C" w14:textId="77777777" w:rsidTr="00CE1FCB">
        <w:tc>
          <w:tcPr>
            <w:tcW w:w="2988" w:type="dxa"/>
          </w:tcPr>
          <w:p w14:paraId="34897779" w14:textId="77777777" w:rsidR="00571666" w:rsidRPr="00CE1FCB" w:rsidRDefault="00571666" w:rsidP="00CE1FCB">
            <w:pPr>
              <w:jc w:val="center"/>
              <w:rPr>
                <w:rFonts w:ascii="Arial" w:hAnsi="Arial" w:cs="Arial"/>
                <w:sz w:val="16"/>
                <w:szCs w:val="16"/>
              </w:rPr>
            </w:pPr>
            <w:r w:rsidRPr="00CE1FCB">
              <w:rPr>
                <w:rFonts w:ascii="Arial" w:hAnsi="Arial" w:cs="Arial"/>
                <w:sz w:val="16"/>
                <w:szCs w:val="16"/>
              </w:rPr>
              <w:t>Mitchell D. Chester, Ed.D</w:t>
            </w:r>
            <w:r w:rsidR="00E77FAD" w:rsidRPr="00CE1FCB">
              <w:rPr>
                <w:rFonts w:ascii="Arial" w:hAnsi="Arial" w:cs="Arial"/>
                <w:sz w:val="16"/>
                <w:szCs w:val="16"/>
              </w:rPr>
              <w:t>.</w:t>
            </w:r>
          </w:p>
          <w:p w14:paraId="3489777A" w14:textId="77777777" w:rsidR="00C974A6" w:rsidRPr="00CE1FCB" w:rsidRDefault="00C974A6" w:rsidP="00CE1FCB">
            <w:pPr>
              <w:jc w:val="center"/>
              <w:rPr>
                <w:rFonts w:ascii="Arial" w:hAnsi="Arial"/>
                <w:i/>
                <w:sz w:val="16"/>
                <w:szCs w:val="16"/>
              </w:rPr>
            </w:pPr>
            <w:r w:rsidRPr="00CE1FCB">
              <w:rPr>
                <w:rFonts w:ascii="Arial" w:hAnsi="Arial"/>
                <w:i/>
                <w:sz w:val="16"/>
                <w:szCs w:val="16"/>
              </w:rPr>
              <w:t>Commissioner</w:t>
            </w:r>
          </w:p>
        </w:tc>
        <w:tc>
          <w:tcPr>
            <w:tcW w:w="8604" w:type="dxa"/>
          </w:tcPr>
          <w:p w14:paraId="3489777B" w14:textId="77777777" w:rsidR="00C974A6" w:rsidRPr="00CE1FCB" w:rsidRDefault="00C974A6" w:rsidP="00CE1FCB">
            <w:pPr>
              <w:jc w:val="center"/>
              <w:rPr>
                <w:rFonts w:ascii="Arial" w:hAnsi="Arial"/>
                <w:i/>
                <w:sz w:val="16"/>
                <w:szCs w:val="16"/>
              </w:rPr>
            </w:pPr>
          </w:p>
        </w:tc>
      </w:tr>
    </w:tbl>
    <w:p w14:paraId="3489777D" w14:textId="77777777" w:rsidR="00A20194" w:rsidRDefault="00A20194">
      <w:pPr>
        <w:rPr>
          <w:rFonts w:ascii="Arial" w:hAnsi="Arial"/>
          <w:i/>
          <w:sz w:val="18"/>
        </w:rPr>
      </w:pPr>
    </w:p>
    <w:p w14:paraId="3489777E" w14:textId="77777777" w:rsidR="00A20194" w:rsidRDefault="00A20194">
      <w:pPr>
        <w:sectPr w:rsidR="00A20194" w:rsidSect="00E22EDD">
          <w:endnotePr>
            <w:numFmt w:val="decimal"/>
          </w:endnotePr>
          <w:type w:val="continuous"/>
          <w:pgSz w:w="12240" w:h="15840"/>
          <w:pgMar w:top="864" w:right="432" w:bottom="1440" w:left="432" w:header="1440" w:footer="1440" w:gutter="0"/>
          <w:cols w:space="720"/>
          <w:noEndnote/>
          <w:titlePg/>
        </w:sectPr>
      </w:pPr>
    </w:p>
    <w:p w14:paraId="3489777F" w14:textId="77777777" w:rsidR="00A20194" w:rsidRDefault="00A20194">
      <w:pPr>
        <w:pStyle w:val="Heading1"/>
        <w:tabs>
          <w:tab w:val="clear" w:pos="4680"/>
        </w:tabs>
      </w:pPr>
      <w:r>
        <w:lastRenderedPageBreak/>
        <w:t>MEMORANDUM</w:t>
      </w:r>
    </w:p>
    <w:p w14:paraId="34897780" w14:textId="77777777" w:rsidR="00A20194" w:rsidRDefault="00A20194" w:rsidP="00AC0FF0">
      <w:pPr>
        <w:widowControl/>
      </w:pPr>
    </w:p>
    <w:p w14:paraId="34897781" w14:textId="77777777" w:rsidR="003953C8" w:rsidRDefault="003953C8" w:rsidP="00AC0FF0">
      <w:pPr>
        <w:widowControl/>
        <w:rPr>
          <w:b/>
        </w:rPr>
      </w:pPr>
    </w:p>
    <w:tbl>
      <w:tblPr>
        <w:tblW w:w="0" w:type="auto"/>
        <w:tblLook w:val="01E0" w:firstRow="1" w:lastRow="1" w:firstColumn="1" w:lastColumn="1" w:noHBand="0" w:noVBand="0"/>
      </w:tblPr>
      <w:tblGrid>
        <w:gridCol w:w="1188"/>
        <w:gridCol w:w="8388"/>
      </w:tblGrid>
      <w:tr w:rsidR="003953C8" w:rsidRPr="00CE1FCB" w14:paraId="34897784" w14:textId="77777777" w:rsidTr="00CE1FCB">
        <w:tc>
          <w:tcPr>
            <w:tcW w:w="1188" w:type="dxa"/>
          </w:tcPr>
          <w:p w14:paraId="34897782" w14:textId="77777777" w:rsidR="003953C8" w:rsidRPr="00CE1FCB" w:rsidRDefault="003953C8" w:rsidP="00AC0FF0">
            <w:pPr>
              <w:widowControl/>
              <w:rPr>
                <w:b/>
              </w:rPr>
            </w:pPr>
            <w:r w:rsidRPr="00CE1FCB">
              <w:rPr>
                <w:b/>
              </w:rPr>
              <w:t>To:</w:t>
            </w:r>
          </w:p>
        </w:tc>
        <w:tc>
          <w:tcPr>
            <w:tcW w:w="8388" w:type="dxa"/>
          </w:tcPr>
          <w:p w14:paraId="34897783" w14:textId="77777777" w:rsidR="003953C8" w:rsidRPr="00CE1FCB" w:rsidRDefault="00A03710" w:rsidP="00AC0FF0">
            <w:pPr>
              <w:widowControl/>
              <w:rPr>
                <w:b/>
              </w:rPr>
            </w:pPr>
            <w:r>
              <w:t>Members of the Board of Elementary and Secondary Education</w:t>
            </w:r>
          </w:p>
        </w:tc>
      </w:tr>
      <w:tr w:rsidR="003953C8" w:rsidRPr="00CE1FCB" w14:paraId="34897787" w14:textId="77777777" w:rsidTr="00CE1FCB">
        <w:tc>
          <w:tcPr>
            <w:tcW w:w="1188" w:type="dxa"/>
          </w:tcPr>
          <w:p w14:paraId="34897785" w14:textId="77777777" w:rsidR="003953C8" w:rsidRPr="00CE1FCB" w:rsidRDefault="003953C8" w:rsidP="00AC0FF0">
            <w:pPr>
              <w:widowControl/>
              <w:rPr>
                <w:b/>
              </w:rPr>
            </w:pPr>
            <w:r w:rsidRPr="00CE1FCB">
              <w:rPr>
                <w:b/>
              </w:rPr>
              <w:t>From:</w:t>
            </w:r>
            <w:r>
              <w:tab/>
            </w:r>
          </w:p>
        </w:tc>
        <w:tc>
          <w:tcPr>
            <w:tcW w:w="8388" w:type="dxa"/>
          </w:tcPr>
          <w:p w14:paraId="34897786" w14:textId="77777777" w:rsidR="003953C8" w:rsidRPr="00CE1FCB" w:rsidRDefault="00A03710" w:rsidP="00AC0FF0">
            <w:pPr>
              <w:widowControl/>
              <w:rPr>
                <w:b/>
              </w:rPr>
            </w:pPr>
            <w:r>
              <w:t>Mitchell D. Chester, Ed.D., Commissioner</w:t>
            </w:r>
          </w:p>
        </w:tc>
      </w:tr>
      <w:tr w:rsidR="003953C8" w:rsidRPr="00CE1FCB" w14:paraId="3489778A" w14:textId="77777777" w:rsidTr="00CE1FCB">
        <w:tc>
          <w:tcPr>
            <w:tcW w:w="1188" w:type="dxa"/>
          </w:tcPr>
          <w:p w14:paraId="34897788" w14:textId="77777777" w:rsidR="003953C8" w:rsidRPr="00CE1FCB" w:rsidRDefault="003953C8" w:rsidP="00AC0FF0">
            <w:pPr>
              <w:widowControl/>
              <w:rPr>
                <w:b/>
              </w:rPr>
            </w:pPr>
            <w:r w:rsidRPr="00CE1FCB">
              <w:rPr>
                <w:b/>
              </w:rPr>
              <w:t>Date:</w:t>
            </w:r>
            <w:r>
              <w:tab/>
            </w:r>
          </w:p>
        </w:tc>
        <w:tc>
          <w:tcPr>
            <w:tcW w:w="8388" w:type="dxa"/>
          </w:tcPr>
          <w:p w14:paraId="34897789" w14:textId="77777777" w:rsidR="003953C8" w:rsidRPr="003B6870" w:rsidRDefault="005A0392" w:rsidP="00AC0FF0">
            <w:pPr>
              <w:widowControl/>
            </w:pPr>
            <w:r>
              <w:t>February 12, 2016</w:t>
            </w:r>
          </w:p>
        </w:tc>
      </w:tr>
      <w:tr w:rsidR="003953C8" w:rsidRPr="00CE1FCB" w14:paraId="3489778D" w14:textId="77777777" w:rsidTr="00CE1FCB">
        <w:tc>
          <w:tcPr>
            <w:tcW w:w="1188" w:type="dxa"/>
          </w:tcPr>
          <w:p w14:paraId="3489778B" w14:textId="77777777" w:rsidR="003953C8" w:rsidRPr="00CE1FCB" w:rsidRDefault="003953C8" w:rsidP="00AC0FF0">
            <w:pPr>
              <w:widowControl/>
              <w:rPr>
                <w:b/>
              </w:rPr>
            </w:pPr>
            <w:r w:rsidRPr="00CE1FCB">
              <w:rPr>
                <w:b/>
              </w:rPr>
              <w:t>Subject:</w:t>
            </w:r>
          </w:p>
        </w:tc>
        <w:tc>
          <w:tcPr>
            <w:tcW w:w="8388" w:type="dxa"/>
          </w:tcPr>
          <w:p w14:paraId="3489778C" w14:textId="77777777" w:rsidR="003953C8" w:rsidRPr="00CE1FCB" w:rsidRDefault="00F76385" w:rsidP="00AC0FF0">
            <w:pPr>
              <w:widowControl/>
              <w:rPr>
                <w:b/>
              </w:rPr>
            </w:pPr>
            <w:r>
              <w:t xml:space="preserve">Charter Schools – </w:t>
            </w:r>
            <w:r w:rsidR="00252B33">
              <w:t xml:space="preserve">Renewal Recommendation and </w:t>
            </w:r>
            <w:r>
              <w:t xml:space="preserve">Report on </w:t>
            </w:r>
            <w:r w:rsidR="00FC16EC">
              <w:t>Probation</w:t>
            </w:r>
            <w:r w:rsidR="00252B33">
              <w:t xml:space="preserve"> </w:t>
            </w:r>
            <w:r w:rsidR="00FC16EC">
              <w:t xml:space="preserve">for </w:t>
            </w:r>
            <w:r w:rsidR="00D91B5E">
              <w:t>Boston Green Academy Horace Mann Charter School</w:t>
            </w:r>
          </w:p>
        </w:tc>
      </w:tr>
    </w:tbl>
    <w:p w14:paraId="3489778E" w14:textId="77777777" w:rsidR="00A20194" w:rsidRDefault="00A20194" w:rsidP="00AC0FF0">
      <w:pPr>
        <w:widowControl/>
        <w:pBdr>
          <w:bottom w:val="single" w:sz="4" w:space="1" w:color="auto"/>
        </w:pBdr>
      </w:pPr>
      <w:bookmarkStart w:id="0" w:name="TO"/>
      <w:bookmarkStart w:id="1" w:name="FROM"/>
      <w:bookmarkStart w:id="2" w:name="DATE"/>
      <w:bookmarkStart w:id="3" w:name="RE"/>
      <w:bookmarkEnd w:id="0"/>
      <w:bookmarkEnd w:id="1"/>
      <w:bookmarkEnd w:id="2"/>
      <w:bookmarkEnd w:id="3"/>
    </w:p>
    <w:p w14:paraId="3489778F" w14:textId="77777777" w:rsidR="00A20194" w:rsidRDefault="00A20194" w:rsidP="00AC0FF0">
      <w:pPr>
        <w:widowControl/>
        <w:sectPr w:rsidR="00A20194" w:rsidSect="00E22EDD">
          <w:endnotePr>
            <w:numFmt w:val="decimal"/>
          </w:endnotePr>
          <w:type w:val="continuous"/>
          <w:pgSz w:w="12240" w:h="15840"/>
          <w:pgMar w:top="1440" w:right="1440" w:bottom="1440" w:left="1440" w:header="1440" w:footer="1440" w:gutter="0"/>
          <w:cols w:space="720"/>
          <w:noEndnote/>
          <w:titlePg/>
        </w:sectPr>
      </w:pPr>
    </w:p>
    <w:p w14:paraId="34897790" w14:textId="77777777" w:rsidR="00FD514D" w:rsidRDefault="00FD514D" w:rsidP="00AC0FF0">
      <w:pPr>
        <w:widowControl/>
      </w:pPr>
    </w:p>
    <w:p w14:paraId="34897791" w14:textId="77777777" w:rsidR="002E0AA4" w:rsidRDefault="00741F0F" w:rsidP="00B34FCA">
      <w:pPr>
        <w:widowControl/>
      </w:pPr>
      <w:r>
        <w:t xml:space="preserve">The Board </w:t>
      </w:r>
      <w:r w:rsidRPr="00463AEF">
        <w:t xml:space="preserve">of Elementary and Secondary Education (Board) </w:t>
      </w:r>
      <w:r>
        <w:t xml:space="preserve">placed </w:t>
      </w:r>
      <w:r w:rsidR="005407C3">
        <w:t>Boston Green Academy Horace Mann Charter School (</w:t>
      </w:r>
      <w:r w:rsidR="00D91B5E">
        <w:t>BGA</w:t>
      </w:r>
      <w:r w:rsidR="005407C3">
        <w:t>)</w:t>
      </w:r>
      <w:r>
        <w:t xml:space="preserve"> on probation in </w:t>
      </w:r>
      <w:r w:rsidR="00EF35BC">
        <w:t>October 2014</w:t>
      </w:r>
      <w:r>
        <w:t xml:space="preserve"> and imposed </w:t>
      </w:r>
      <w:r w:rsidR="00EF35BC">
        <w:t xml:space="preserve">eight </w:t>
      </w:r>
      <w:r>
        <w:t xml:space="preserve">conditions </w:t>
      </w:r>
      <w:r w:rsidR="00A941C3">
        <w:t xml:space="preserve">related to </w:t>
      </w:r>
      <w:r w:rsidR="00A941C3" w:rsidRPr="00060237">
        <w:t>fin</w:t>
      </w:r>
      <w:r w:rsidR="00A941C3">
        <w:t>ance, governance, and academics</w:t>
      </w:r>
      <w:r>
        <w:t xml:space="preserve">. </w:t>
      </w:r>
      <w:r w:rsidR="002E2930">
        <w:t>In its fifth year of operation, BGA is also at the end of its first charter term and is coming to the Board for renewal of its charter.</w:t>
      </w:r>
      <w:r w:rsidR="00B57D2B">
        <w:t xml:space="preserve"> </w:t>
      </w:r>
      <w:r w:rsidR="003B42F4">
        <w:t xml:space="preserve">Based </w:t>
      </w:r>
      <w:r w:rsidR="004A2128">
        <w:t>up</w:t>
      </w:r>
      <w:r w:rsidR="003B42F4">
        <w:t xml:space="preserve">on the progress described below, </w:t>
      </w:r>
      <w:r w:rsidR="00230DB2" w:rsidRPr="001D2BBA">
        <w:rPr>
          <w:szCs w:val="24"/>
        </w:rPr>
        <w:t>I recommend that</w:t>
      </w:r>
      <w:r w:rsidR="00230DB2" w:rsidRPr="00642F22">
        <w:rPr>
          <w:szCs w:val="24"/>
        </w:rPr>
        <w:t xml:space="preserve"> the Board renew the charter of </w:t>
      </w:r>
      <w:r w:rsidR="00230DB2">
        <w:rPr>
          <w:szCs w:val="24"/>
        </w:rPr>
        <w:t>BGA</w:t>
      </w:r>
      <w:r w:rsidR="00230DB2" w:rsidRPr="00642F22">
        <w:rPr>
          <w:szCs w:val="24"/>
        </w:rPr>
        <w:t xml:space="preserve"> but extend probation </w:t>
      </w:r>
      <w:r w:rsidR="005A0EF6">
        <w:rPr>
          <w:szCs w:val="24"/>
        </w:rPr>
        <w:t>and</w:t>
      </w:r>
      <w:r w:rsidR="005A0EF6" w:rsidRPr="00642F22">
        <w:rPr>
          <w:szCs w:val="24"/>
        </w:rPr>
        <w:t xml:space="preserve"> </w:t>
      </w:r>
      <w:r w:rsidR="00230DB2" w:rsidRPr="00642F22">
        <w:rPr>
          <w:szCs w:val="24"/>
        </w:rPr>
        <w:t>require</w:t>
      </w:r>
      <w:r w:rsidR="00230DB2">
        <w:rPr>
          <w:szCs w:val="24"/>
        </w:rPr>
        <w:t xml:space="preserve"> that the school demonstrate significant and sustained academic improvement.</w:t>
      </w:r>
    </w:p>
    <w:p w14:paraId="34897792" w14:textId="77777777" w:rsidR="00252B33" w:rsidRDefault="00252B33" w:rsidP="00B34FCA">
      <w:pPr>
        <w:widowControl/>
      </w:pPr>
    </w:p>
    <w:tbl>
      <w:tblPr>
        <w:tblW w:w="98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3"/>
        <w:gridCol w:w="2230"/>
        <w:gridCol w:w="2230"/>
        <w:gridCol w:w="2408"/>
      </w:tblGrid>
      <w:tr w:rsidR="009B5F71" w:rsidRPr="002100BC" w14:paraId="34897794" w14:textId="77777777" w:rsidTr="009B5F71">
        <w:trPr>
          <w:trHeight w:val="240"/>
        </w:trPr>
        <w:tc>
          <w:tcPr>
            <w:tcW w:w="9810" w:type="dxa"/>
            <w:gridSpan w:val="4"/>
            <w:tcBorders>
              <w:bottom w:val="single" w:sz="4" w:space="0" w:color="auto"/>
            </w:tcBorders>
            <w:shd w:val="clear" w:color="auto" w:fill="A6A6A6"/>
            <w:tcMar>
              <w:top w:w="0" w:type="dxa"/>
              <w:left w:w="108" w:type="dxa"/>
              <w:bottom w:w="0" w:type="dxa"/>
              <w:right w:w="108" w:type="dxa"/>
            </w:tcMar>
          </w:tcPr>
          <w:p w14:paraId="34897793" w14:textId="77777777" w:rsidR="009B5F71" w:rsidRPr="002100BC" w:rsidRDefault="00D91B5E" w:rsidP="00B34FCA">
            <w:pPr>
              <w:widowControl/>
              <w:rPr>
                <w:rFonts w:eastAsia="Batang"/>
                <w:b/>
                <w:bCs/>
                <w:sz w:val="28"/>
                <w:lang w:eastAsia="ko-KR"/>
              </w:rPr>
            </w:pPr>
            <w:r>
              <w:rPr>
                <w:b/>
                <w:sz w:val="28"/>
              </w:rPr>
              <w:t>Boston Green Academy Horace Mann Charter School</w:t>
            </w:r>
            <w:r w:rsidR="009B5F71" w:rsidRPr="002100BC">
              <w:rPr>
                <w:b/>
                <w:sz w:val="28"/>
              </w:rPr>
              <w:t xml:space="preserve"> </w:t>
            </w:r>
          </w:p>
        </w:tc>
      </w:tr>
      <w:tr w:rsidR="009B5F71" w:rsidRPr="003C101A" w14:paraId="3489779A" w14:textId="77777777" w:rsidTr="009B5F71">
        <w:trPr>
          <w:trHeight w:val="626"/>
        </w:trPr>
        <w:tc>
          <w:tcPr>
            <w:tcW w:w="2943" w:type="dxa"/>
            <w:shd w:val="clear" w:color="auto" w:fill="F2F2F2"/>
            <w:tcMar>
              <w:top w:w="0" w:type="dxa"/>
              <w:left w:w="108" w:type="dxa"/>
              <w:bottom w:w="0" w:type="dxa"/>
              <w:right w:w="108" w:type="dxa"/>
            </w:tcMar>
            <w:vAlign w:val="center"/>
          </w:tcPr>
          <w:p w14:paraId="34897795"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Type of Charter</w:t>
            </w:r>
          </w:p>
          <w:p w14:paraId="34897796" w14:textId="77777777" w:rsidR="009B5F71" w:rsidRPr="003C101A" w:rsidRDefault="009B5F71" w:rsidP="00B34FCA">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30" w:type="dxa"/>
            <w:tcMar>
              <w:top w:w="0" w:type="dxa"/>
              <w:left w:w="108" w:type="dxa"/>
              <w:bottom w:w="0" w:type="dxa"/>
              <w:right w:w="108" w:type="dxa"/>
            </w:tcMar>
            <w:vAlign w:val="center"/>
          </w:tcPr>
          <w:p w14:paraId="34897797" w14:textId="77777777" w:rsidR="009B5F71" w:rsidRPr="002100BC" w:rsidRDefault="00D91B5E" w:rsidP="00B34FCA">
            <w:pPr>
              <w:widowControl/>
              <w:tabs>
                <w:tab w:val="left" w:pos="1940"/>
              </w:tabs>
              <w:spacing w:before="40"/>
              <w:ind w:left="162" w:hanging="193"/>
              <w:rPr>
                <w:rFonts w:eastAsia="Batang"/>
                <w:sz w:val="20"/>
                <w:szCs w:val="22"/>
                <w:lang w:eastAsia="ko-KR"/>
              </w:rPr>
            </w:pPr>
            <w:r>
              <w:rPr>
                <w:rFonts w:eastAsia="Batang"/>
                <w:sz w:val="20"/>
                <w:szCs w:val="22"/>
                <w:lang w:eastAsia="ko-KR"/>
              </w:rPr>
              <w:t>Horace Mann</w:t>
            </w:r>
          </w:p>
        </w:tc>
        <w:tc>
          <w:tcPr>
            <w:tcW w:w="2230" w:type="dxa"/>
            <w:shd w:val="clear" w:color="auto" w:fill="F2F2F2"/>
            <w:tcMar>
              <w:top w:w="0" w:type="dxa"/>
              <w:left w:w="108" w:type="dxa"/>
              <w:bottom w:w="0" w:type="dxa"/>
              <w:right w:w="108" w:type="dxa"/>
            </w:tcMar>
            <w:vAlign w:val="center"/>
          </w:tcPr>
          <w:p w14:paraId="34897798"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Location</w:t>
            </w:r>
          </w:p>
        </w:tc>
        <w:tc>
          <w:tcPr>
            <w:tcW w:w="2408" w:type="dxa"/>
            <w:tcMar>
              <w:top w:w="0" w:type="dxa"/>
              <w:left w:w="108" w:type="dxa"/>
              <w:bottom w:w="0" w:type="dxa"/>
              <w:right w:w="108" w:type="dxa"/>
            </w:tcMar>
            <w:vAlign w:val="center"/>
          </w:tcPr>
          <w:p w14:paraId="34897799" w14:textId="77777777" w:rsidR="009B5F71" w:rsidRPr="002100BC" w:rsidRDefault="009B5F71" w:rsidP="00B34FCA">
            <w:pPr>
              <w:widowControl/>
              <w:tabs>
                <w:tab w:val="left" w:pos="1940"/>
              </w:tabs>
              <w:spacing w:before="40" w:after="40"/>
              <w:ind w:left="162" w:hanging="193"/>
              <w:rPr>
                <w:rFonts w:eastAsia="Batang"/>
                <w:sz w:val="20"/>
                <w:szCs w:val="22"/>
                <w:lang w:eastAsia="ko-KR"/>
              </w:rPr>
            </w:pPr>
            <w:r w:rsidRPr="002100BC">
              <w:rPr>
                <w:rFonts w:eastAsia="Batang"/>
                <w:sz w:val="20"/>
                <w:szCs w:val="22"/>
                <w:lang w:eastAsia="ko-KR"/>
              </w:rPr>
              <w:t>Boston</w:t>
            </w:r>
          </w:p>
        </w:tc>
      </w:tr>
      <w:tr w:rsidR="009B5F71" w:rsidRPr="003C101A" w14:paraId="348977A0" w14:textId="77777777" w:rsidTr="009B5F71">
        <w:trPr>
          <w:trHeight w:val="450"/>
        </w:trPr>
        <w:tc>
          <w:tcPr>
            <w:tcW w:w="2943" w:type="dxa"/>
            <w:shd w:val="clear" w:color="auto" w:fill="F2F2F2"/>
            <w:tcMar>
              <w:top w:w="0" w:type="dxa"/>
              <w:left w:w="108" w:type="dxa"/>
              <w:bottom w:w="0" w:type="dxa"/>
              <w:right w:w="108" w:type="dxa"/>
            </w:tcMar>
            <w:vAlign w:val="center"/>
          </w:tcPr>
          <w:p w14:paraId="3489779B"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Regional or Non-Regional?</w:t>
            </w:r>
          </w:p>
        </w:tc>
        <w:tc>
          <w:tcPr>
            <w:tcW w:w="2230" w:type="dxa"/>
            <w:tcMar>
              <w:top w:w="0" w:type="dxa"/>
              <w:left w:w="108" w:type="dxa"/>
              <w:bottom w:w="0" w:type="dxa"/>
              <w:right w:w="108" w:type="dxa"/>
            </w:tcMar>
            <w:vAlign w:val="center"/>
          </w:tcPr>
          <w:p w14:paraId="3489779C" w14:textId="77777777" w:rsidR="009B5F71" w:rsidRPr="002100BC" w:rsidRDefault="009B5F71" w:rsidP="00B34FCA">
            <w:pPr>
              <w:widowControl/>
              <w:tabs>
                <w:tab w:val="left" w:pos="1940"/>
              </w:tabs>
              <w:spacing w:before="40"/>
              <w:ind w:left="162" w:hanging="193"/>
              <w:rPr>
                <w:rFonts w:eastAsia="Batang"/>
                <w:sz w:val="20"/>
                <w:szCs w:val="22"/>
                <w:lang w:eastAsia="ko-KR"/>
              </w:rPr>
            </w:pPr>
            <w:r w:rsidRPr="002100BC">
              <w:rPr>
                <w:rFonts w:eastAsia="Batang"/>
                <w:sz w:val="20"/>
                <w:szCs w:val="22"/>
                <w:lang w:eastAsia="ko-KR"/>
              </w:rPr>
              <w:t>Non-Regional</w:t>
            </w:r>
          </w:p>
        </w:tc>
        <w:tc>
          <w:tcPr>
            <w:tcW w:w="2230" w:type="dxa"/>
            <w:shd w:val="clear" w:color="auto" w:fill="F2F2F2"/>
            <w:tcMar>
              <w:top w:w="0" w:type="dxa"/>
              <w:left w:w="108" w:type="dxa"/>
              <w:bottom w:w="0" w:type="dxa"/>
              <w:right w:w="108" w:type="dxa"/>
            </w:tcMar>
            <w:vAlign w:val="center"/>
          </w:tcPr>
          <w:p w14:paraId="3489779D"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 xml:space="preserve">Districts in Region </w:t>
            </w:r>
          </w:p>
          <w:p w14:paraId="3489779E" w14:textId="77777777" w:rsidR="009B5F71" w:rsidRPr="003C101A" w:rsidRDefault="009B5F71" w:rsidP="00B34FCA">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08" w:type="dxa"/>
            <w:tcMar>
              <w:top w:w="0" w:type="dxa"/>
              <w:left w:w="108" w:type="dxa"/>
              <w:bottom w:w="0" w:type="dxa"/>
              <w:right w:w="108" w:type="dxa"/>
            </w:tcMar>
            <w:vAlign w:val="center"/>
          </w:tcPr>
          <w:p w14:paraId="3489779F" w14:textId="77777777" w:rsidR="009B5F71" w:rsidRPr="002100BC" w:rsidRDefault="009B5F71" w:rsidP="00B34FCA">
            <w:pPr>
              <w:widowControl/>
              <w:tabs>
                <w:tab w:val="left" w:pos="1940"/>
              </w:tabs>
              <w:spacing w:before="40" w:after="40"/>
              <w:ind w:left="162" w:hanging="193"/>
              <w:rPr>
                <w:rFonts w:eastAsia="Batang"/>
                <w:sz w:val="20"/>
                <w:szCs w:val="22"/>
                <w:lang w:eastAsia="ko-KR"/>
              </w:rPr>
            </w:pPr>
            <w:r w:rsidRPr="002100BC">
              <w:rPr>
                <w:rFonts w:eastAsia="Batang"/>
                <w:sz w:val="20"/>
                <w:szCs w:val="22"/>
                <w:lang w:eastAsia="ko-KR"/>
              </w:rPr>
              <w:t>NA</w:t>
            </w:r>
          </w:p>
        </w:tc>
      </w:tr>
      <w:tr w:rsidR="009B5F71" w:rsidRPr="003C101A" w14:paraId="348977A6" w14:textId="77777777" w:rsidTr="009B5F71">
        <w:trPr>
          <w:trHeight w:val="260"/>
        </w:trPr>
        <w:tc>
          <w:tcPr>
            <w:tcW w:w="2943" w:type="dxa"/>
            <w:shd w:val="clear" w:color="auto" w:fill="F2F2F2"/>
            <w:tcMar>
              <w:top w:w="0" w:type="dxa"/>
              <w:left w:w="108" w:type="dxa"/>
              <w:bottom w:w="0" w:type="dxa"/>
              <w:right w:w="108" w:type="dxa"/>
            </w:tcMar>
            <w:vAlign w:val="center"/>
          </w:tcPr>
          <w:p w14:paraId="348977A1"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Year Opened</w:t>
            </w:r>
          </w:p>
        </w:tc>
        <w:tc>
          <w:tcPr>
            <w:tcW w:w="2230" w:type="dxa"/>
            <w:tcMar>
              <w:top w:w="0" w:type="dxa"/>
              <w:left w:w="108" w:type="dxa"/>
              <w:bottom w:w="0" w:type="dxa"/>
              <w:right w:w="108" w:type="dxa"/>
            </w:tcMar>
            <w:vAlign w:val="center"/>
          </w:tcPr>
          <w:p w14:paraId="348977A2" w14:textId="77777777" w:rsidR="009B5F71" w:rsidRPr="002100BC" w:rsidRDefault="00D91B5E" w:rsidP="00B34FCA">
            <w:pPr>
              <w:widowControl/>
              <w:tabs>
                <w:tab w:val="left" w:pos="1940"/>
              </w:tabs>
              <w:spacing w:before="40"/>
              <w:ind w:left="162" w:hanging="193"/>
              <w:rPr>
                <w:rFonts w:eastAsia="Batang"/>
                <w:sz w:val="20"/>
                <w:szCs w:val="22"/>
                <w:lang w:eastAsia="ko-KR"/>
              </w:rPr>
            </w:pPr>
            <w:r>
              <w:rPr>
                <w:rFonts w:eastAsia="Batang"/>
                <w:sz w:val="20"/>
                <w:szCs w:val="22"/>
                <w:lang w:eastAsia="ko-KR"/>
              </w:rPr>
              <w:t>2011</w:t>
            </w:r>
          </w:p>
        </w:tc>
        <w:tc>
          <w:tcPr>
            <w:tcW w:w="2230" w:type="dxa"/>
            <w:shd w:val="clear" w:color="auto" w:fill="F2F2F2"/>
            <w:tcMar>
              <w:top w:w="0" w:type="dxa"/>
              <w:left w:w="108" w:type="dxa"/>
              <w:bottom w:w="0" w:type="dxa"/>
              <w:right w:w="108" w:type="dxa"/>
            </w:tcMar>
            <w:vAlign w:val="center"/>
          </w:tcPr>
          <w:p w14:paraId="348977A3"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Year(s) Renewed</w:t>
            </w:r>
          </w:p>
          <w:p w14:paraId="348977A4" w14:textId="77777777" w:rsidR="009B5F71" w:rsidRPr="003C101A" w:rsidRDefault="009B5F71" w:rsidP="00B34FCA">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08" w:type="dxa"/>
            <w:tcMar>
              <w:top w:w="0" w:type="dxa"/>
              <w:left w:w="108" w:type="dxa"/>
              <w:bottom w:w="0" w:type="dxa"/>
              <w:right w:w="108" w:type="dxa"/>
            </w:tcMar>
            <w:vAlign w:val="center"/>
          </w:tcPr>
          <w:p w14:paraId="348977A5" w14:textId="77777777" w:rsidR="009B5F71" w:rsidRPr="002100BC" w:rsidRDefault="00D91B5E" w:rsidP="00B34FCA">
            <w:pPr>
              <w:widowControl/>
              <w:tabs>
                <w:tab w:val="left" w:pos="1940"/>
              </w:tabs>
              <w:spacing w:before="40" w:after="40"/>
              <w:ind w:left="162" w:hanging="193"/>
              <w:rPr>
                <w:rFonts w:eastAsia="Batang"/>
                <w:sz w:val="20"/>
                <w:szCs w:val="22"/>
                <w:lang w:eastAsia="ko-KR"/>
              </w:rPr>
            </w:pPr>
            <w:r>
              <w:rPr>
                <w:rFonts w:eastAsia="Batang"/>
                <w:sz w:val="20"/>
                <w:szCs w:val="22"/>
                <w:lang w:eastAsia="ko-KR"/>
              </w:rPr>
              <w:t>NA</w:t>
            </w:r>
          </w:p>
        </w:tc>
      </w:tr>
      <w:tr w:rsidR="009B5F71" w:rsidRPr="003C101A" w14:paraId="348977AB" w14:textId="77777777" w:rsidTr="009B5F71">
        <w:trPr>
          <w:trHeight w:val="320"/>
        </w:trPr>
        <w:tc>
          <w:tcPr>
            <w:tcW w:w="2943" w:type="dxa"/>
            <w:shd w:val="clear" w:color="auto" w:fill="F2F2F2"/>
            <w:tcMar>
              <w:top w:w="0" w:type="dxa"/>
              <w:left w:w="108" w:type="dxa"/>
              <w:bottom w:w="0" w:type="dxa"/>
              <w:right w:w="108" w:type="dxa"/>
            </w:tcMar>
            <w:vAlign w:val="center"/>
          </w:tcPr>
          <w:p w14:paraId="348977A7"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Maximum Enrollment</w:t>
            </w:r>
          </w:p>
        </w:tc>
        <w:tc>
          <w:tcPr>
            <w:tcW w:w="2230" w:type="dxa"/>
            <w:tcMar>
              <w:top w:w="0" w:type="dxa"/>
              <w:left w:w="108" w:type="dxa"/>
              <w:bottom w:w="0" w:type="dxa"/>
              <w:right w:w="108" w:type="dxa"/>
            </w:tcMar>
            <w:vAlign w:val="center"/>
          </w:tcPr>
          <w:p w14:paraId="348977A8" w14:textId="77777777" w:rsidR="009B5F71" w:rsidRPr="002100BC" w:rsidRDefault="00D91B5E" w:rsidP="00B34FCA">
            <w:pPr>
              <w:widowControl/>
              <w:tabs>
                <w:tab w:val="left" w:pos="1940"/>
              </w:tabs>
              <w:spacing w:before="40"/>
              <w:ind w:left="162" w:hanging="193"/>
              <w:rPr>
                <w:rFonts w:eastAsia="Batang"/>
                <w:sz w:val="20"/>
                <w:szCs w:val="22"/>
                <w:lang w:eastAsia="ko-KR"/>
              </w:rPr>
            </w:pPr>
            <w:r>
              <w:rPr>
                <w:rFonts w:eastAsia="Batang"/>
                <w:sz w:val="20"/>
                <w:szCs w:val="22"/>
                <w:lang w:eastAsia="ko-KR"/>
              </w:rPr>
              <w:t>595</w:t>
            </w:r>
          </w:p>
        </w:tc>
        <w:tc>
          <w:tcPr>
            <w:tcW w:w="2230" w:type="dxa"/>
            <w:shd w:val="clear" w:color="auto" w:fill="F2F2F2"/>
            <w:tcMar>
              <w:top w:w="0" w:type="dxa"/>
              <w:left w:w="108" w:type="dxa"/>
              <w:bottom w:w="0" w:type="dxa"/>
              <w:right w:w="108" w:type="dxa"/>
            </w:tcMar>
            <w:vAlign w:val="center"/>
          </w:tcPr>
          <w:p w14:paraId="348977A9"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Current Enrollment</w:t>
            </w:r>
          </w:p>
        </w:tc>
        <w:tc>
          <w:tcPr>
            <w:tcW w:w="2408" w:type="dxa"/>
            <w:tcMar>
              <w:top w:w="0" w:type="dxa"/>
              <w:left w:w="108" w:type="dxa"/>
              <w:bottom w:w="0" w:type="dxa"/>
              <w:right w:w="108" w:type="dxa"/>
            </w:tcMar>
            <w:vAlign w:val="center"/>
          </w:tcPr>
          <w:p w14:paraId="348977AA" w14:textId="77777777" w:rsidR="009B5F71" w:rsidRPr="002100BC" w:rsidRDefault="00183D14" w:rsidP="00B34FCA">
            <w:pPr>
              <w:widowControl/>
              <w:tabs>
                <w:tab w:val="left" w:pos="1940"/>
              </w:tabs>
              <w:spacing w:before="40" w:after="40"/>
              <w:ind w:left="162" w:hanging="193"/>
              <w:rPr>
                <w:rFonts w:eastAsia="Batang"/>
                <w:sz w:val="20"/>
                <w:szCs w:val="22"/>
                <w:lang w:eastAsia="ko-KR"/>
              </w:rPr>
            </w:pPr>
            <w:r>
              <w:rPr>
                <w:rFonts w:eastAsia="Batang"/>
                <w:sz w:val="20"/>
                <w:szCs w:val="22"/>
                <w:lang w:eastAsia="ko-KR"/>
              </w:rPr>
              <w:t>439</w:t>
            </w:r>
          </w:p>
        </w:tc>
      </w:tr>
      <w:tr w:rsidR="009B5F71" w:rsidRPr="003C101A" w14:paraId="348977B0" w14:textId="77777777" w:rsidTr="009B5F71">
        <w:trPr>
          <w:trHeight w:val="465"/>
        </w:trPr>
        <w:tc>
          <w:tcPr>
            <w:tcW w:w="2943" w:type="dxa"/>
            <w:shd w:val="clear" w:color="auto" w:fill="F2F2F2"/>
            <w:tcMar>
              <w:top w:w="0" w:type="dxa"/>
              <w:left w:w="108" w:type="dxa"/>
              <w:bottom w:w="0" w:type="dxa"/>
              <w:right w:w="108" w:type="dxa"/>
            </w:tcMar>
            <w:vAlign w:val="center"/>
          </w:tcPr>
          <w:p w14:paraId="348977AC" w14:textId="77777777" w:rsidR="009B5F71" w:rsidRPr="00B04A82" w:rsidRDefault="009B5F71" w:rsidP="00B34FCA">
            <w:pPr>
              <w:widowControl/>
              <w:tabs>
                <w:tab w:val="left" w:pos="1940"/>
              </w:tabs>
              <w:spacing w:before="40"/>
              <w:rPr>
                <w:rFonts w:eastAsia="Batang"/>
                <w:b/>
                <w:bCs/>
                <w:sz w:val="22"/>
                <w:szCs w:val="22"/>
                <w:lang w:eastAsia="ko-KR"/>
              </w:rPr>
            </w:pPr>
            <w:r w:rsidRPr="00B04A82">
              <w:rPr>
                <w:rFonts w:eastAsia="Batang"/>
                <w:b/>
                <w:sz w:val="22"/>
                <w:szCs w:val="22"/>
                <w:lang w:eastAsia="ko-KR"/>
              </w:rPr>
              <w:t>Chartered Grade Span</w:t>
            </w:r>
          </w:p>
        </w:tc>
        <w:tc>
          <w:tcPr>
            <w:tcW w:w="2230" w:type="dxa"/>
            <w:tcMar>
              <w:top w:w="0" w:type="dxa"/>
              <w:left w:w="108" w:type="dxa"/>
              <w:bottom w:w="0" w:type="dxa"/>
              <w:right w:w="108" w:type="dxa"/>
            </w:tcMar>
            <w:vAlign w:val="center"/>
          </w:tcPr>
          <w:p w14:paraId="348977AD" w14:textId="77777777" w:rsidR="009B5F71" w:rsidRPr="002100BC" w:rsidRDefault="00D91B5E" w:rsidP="00B34FCA">
            <w:pPr>
              <w:widowControl/>
              <w:tabs>
                <w:tab w:val="left" w:pos="1940"/>
              </w:tabs>
              <w:spacing w:before="40"/>
              <w:ind w:left="162" w:hanging="193"/>
              <w:rPr>
                <w:rFonts w:eastAsia="Batang"/>
                <w:sz w:val="20"/>
                <w:szCs w:val="22"/>
                <w:lang w:eastAsia="ko-KR"/>
              </w:rPr>
            </w:pPr>
            <w:r>
              <w:rPr>
                <w:rFonts w:eastAsia="Batang"/>
                <w:sz w:val="20"/>
                <w:szCs w:val="22"/>
                <w:lang w:eastAsia="ko-KR"/>
              </w:rPr>
              <w:t>6-12</w:t>
            </w:r>
          </w:p>
        </w:tc>
        <w:tc>
          <w:tcPr>
            <w:tcW w:w="2230" w:type="dxa"/>
            <w:shd w:val="clear" w:color="auto" w:fill="F2F2F2"/>
            <w:tcMar>
              <w:top w:w="0" w:type="dxa"/>
              <w:left w:w="108" w:type="dxa"/>
              <w:bottom w:w="0" w:type="dxa"/>
              <w:right w:w="108" w:type="dxa"/>
            </w:tcMar>
            <w:vAlign w:val="center"/>
          </w:tcPr>
          <w:p w14:paraId="348977AE" w14:textId="77777777" w:rsidR="009B5F71" w:rsidRPr="00B04A82" w:rsidRDefault="009B5F71" w:rsidP="00B34FCA">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Current Grade Span</w:t>
            </w:r>
          </w:p>
        </w:tc>
        <w:tc>
          <w:tcPr>
            <w:tcW w:w="2408" w:type="dxa"/>
            <w:tcMar>
              <w:top w:w="0" w:type="dxa"/>
              <w:left w:w="108" w:type="dxa"/>
              <w:bottom w:w="0" w:type="dxa"/>
              <w:right w:w="108" w:type="dxa"/>
            </w:tcMar>
            <w:vAlign w:val="center"/>
          </w:tcPr>
          <w:p w14:paraId="348977AF" w14:textId="77777777" w:rsidR="009B5F71" w:rsidRPr="002100BC" w:rsidRDefault="00D91B5E" w:rsidP="00B34FCA">
            <w:pPr>
              <w:widowControl/>
              <w:tabs>
                <w:tab w:val="left" w:pos="1940"/>
              </w:tabs>
              <w:spacing w:before="40" w:after="40"/>
              <w:ind w:left="162" w:hanging="193"/>
              <w:rPr>
                <w:rFonts w:eastAsia="Batang"/>
                <w:sz w:val="20"/>
                <w:szCs w:val="22"/>
                <w:lang w:eastAsia="ko-KR"/>
              </w:rPr>
            </w:pPr>
            <w:r>
              <w:rPr>
                <w:rFonts w:eastAsia="Batang"/>
                <w:sz w:val="20"/>
                <w:szCs w:val="22"/>
                <w:lang w:eastAsia="ko-KR"/>
              </w:rPr>
              <w:t>6,7, 9-12</w:t>
            </w:r>
          </w:p>
        </w:tc>
      </w:tr>
      <w:tr w:rsidR="009B5F71" w:rsidRPr="003C101A" w14:paraId="348977B5" w14:textId="77777777" w:rsidTr="009B5F71">
        <w:trPr>
          <w:trHeight w:val="465"/>
        </w:trPr>
        <w:tc>
          <w:tcPr>
            <w:tcW w:w="2943" w:type="dxa"/>
            <w:shd w:val="clear" w:color="auto" w:fill="F2F2F2"/>
            <w:tcMar>
              <w:top w:w="0" w:type="dxa"/>
              <w:left w:w="108" w:type="dxa"/>
              <w:bottom w:w="0" w:type="dxa"/>
              <w:right w:w="108" w:type="dxa"/>
            </w:tcMar>
            <w:vAlign w:val="center"/>
          </w:tcPr>
          <w:p w14:paraId="348977B1" w14:textId="77777777" w:rsidR="009B5F71" w:rsidRPr="00B04A82" w:rsidRDefault="009B5F71" w:rsidP="00B34FCA">
            <w:pPr>
              <w:widowControl/>
              <w:tabs>
                <w:tab w:val="left" w:pos="1940"/>
              </w:tabs>
              <w:spacing w:before="40"/>
              <w:rPr>
                <w:rFonts w:eastAsia="Batang"/>
                <w:b/>
                <w:sz w:val="22"/>
                <w:szCs w:val="22"/>
                <w:lang w:eastAsia="ko-KR"/>
              </w:rPr>
            </w:pPr>
            <w:r w:rsidRPr="00B04A82">
              <w:rPr>
                <w:rFonts w:eastAsia="Batang"/>
                <w:b/>
                <w:sz w:val="22"/>
                <w:szCs w:val="22"/>
                <w:lang w:eastAsia="ko-KR"/>
              </w:rPr>
              <w:t>Students on Waitlist</w:t>
            </w:r>
          </w:p>
        </w:tc>
        <w:tc>
          <w:tcPr>
            <w:tcW w:w="2230" w:type="dxa"/>
            <w:tcMar>
              <w:top w:w="0" w:type="dxa"/>
              <w:left w:w="108" w:type="dxa"/>
              <w:bottom w:w="0" w:type="dxa"/>
              <w:right w:w="108" w:type="dxa"/>
            </w:tcMar>
            <w:vAlign w:val="center"/>
          </w:tcPr>
          <w:p w14:paraId="348977B2" w14:textId="77777777" w:rsidR="009B5F71" w:rsidRPr="002100BC" w:rsidRDefault="00AE5F45" w:rsidP="00B34FCA">
            <w:pPr>
              <w:widowControl/>
              <w:tabs>
                <w:tab w:val="left" w:pos="1940"/>
              </w:tabs>
              <w:spacing w:before="40"/>
              <w:ind w:left="162" w:hanging="193"/>
              <w:rPr>
                <w:rFonts w:eastAsia="Batang"/>
                <w:sz w:val="20"/>
                <w:szCs w:val="22"/>
                <w:lang w:eastAsia="ko-KR"/>
              </w:rPr>
            </w:pPr>
            <w:r>
              <w:rPr>
                <w:rFonts w:eastAsia="Batang"/>
                <w:sz w:val="20"/>
                <w:szCs w:val="22"/>
                <w:lang w:eastAsia="ko-KR"/>
              </w:rPr>
              <w:t>496</w:t>
            </w:r>
          </w:p>
        </w:tc>
        <w:tc>
          <w:tcPr>
            <w:tcW w:w="2230" w:type="dxa"/>
            <w:shd w:val="clear" w:color="auto" w:fill="F2F2F2"/>
            <w:tcMar>
              <w:top w:w="0" w:type="dxa"/>
              <w:left w:w="108" w:type="dxa"/>
              <w:bottom w:w="0" w:type="dxa"/>
              <w:right w:w="108" w:type="dxa"/>
            </w:tcMar>
            <w:vAlign w:val="center"/>
          </w:tcPr>
          <w:p w14:paraId="348977B3" w14:textId="77777777" w:rsidR="009B5F71" w:rsidRPr="00B04A82" w:rsidRDefault="009B5F71" w:rsidP="00B34FCA">
            <w:pPr>
              <w:widowControl/>
              <w:tabs>
                <w:tab w:val="left" w:pos="1940"/>
              </w:tabs>
              <w:spacing w:before="40"/>
              <w:ind w:hanging="31"/>
              <w:rPr>
                <w:rFonts w:eastAsia="Batang"/>
                <w:b/>
                <w:sz w:val="22"/>
                <w:szCs w:val="22"/>
                <w:lang w:eastAsia="ko-KR"/>
              </w:rPr>
            </w:pPr>
            <w:r w:rsidRPr="00B04A82">
              <w:rPr>
                <w:rFonts w:eastAsia="Batang"/>
                <w:b/>
                <w:sz w:val="22"/>
                <w:szCs w:val="22"/>
                <w:lang w:eastAsia="ko-KR"/>
              </w:rPr>
              <w:t>Current Age of School</w:t>
            </w:r>
          </w:p>
        </w:tc>
        <w:tc>
          <w:tcPr>
            <w:tcW w:w="2408" w:type="dxa"/>
            <w:tcMar>
              <w:top w:w="0" w:type="dxa"/>
              <w:left w:w="108" w:type="dxa"/>
              <w:bottom w:w="0" w:type="dxa"/>
              <w:right w:w="108" w:type="dxa"/>
            </w:tcMar>
            <w:vAlign w:val="center"/>
          </w:tcPr>
          <w:p w14:paraId="348977B4" w14:textId="77777777" w:rsidR="009B5F71" w:rsidRPr="002100BC" w:rsidRDefault="00D91B5E" w:rsidP="00B34FCA">
            <w:pPr>
              <w:widowControl/>
              <w:tabs>
                <w:tab w:val="left" w:pos="1940"/>
              </w:tabs>
              <w:spacing w:before="40" w:after="40"/>
              <w:ind w:left="162" w:hanging="193"/>
              <w:rPr>
                <w:rFonts w:eastAsia="Batang"/>
                <w:sz w:val="20"/>
                <w:szCs w:val="22"/>
                <w:lang w:eastAsia="ko-KR"/>
              </w:rPr>
            </w:pPr>
            <w:r>
              <w:rPr>
                <w:rFonts w:eastAsia="Batang"/>
                <w:sz w:val="20"/>
                <w:szCs w:val="22"/>
                <w:lang w:eastAsia="ko-KR"/>
              </w:rPr>
              <w:t>5</w:t>
            </w:r>
            <w:r w:rsidRPr="002100BC">
              <w:rPr>
                <w:rFonts w:eastAsia="Batang"/>
                <w:sz w:val="20"/>
                <w:szCs w:val="22"/>
                <w:lang w:eastAsia="ko-KR"/>
              </w:rPr>
              <w:t xml:space="preserve"> </w:t>
            </w:r>
            <w:r w:rsidR="009B5F71" w:rsidRPr="002100BC">
              <w:rPr>
                <w:rFonts w:eastAsia="Batang"/>
                <w:sz w:val="20"/>
                <w:szCs w:val="22"/>
                <w:lang w:eastAsia="ko-KR"/>
              </w:rPr>
              <w:t>years</w:t>
            </w:r>
          </w:p>
        </w:tc>
      </w:tr>
      <w:tr w:rsidR="009B5F71" w:rsidRPr="003C101A" w14:paraId="348977B8" w14:textId="77777777" w:rsidTr="009B5F71">
        <w:trPr>
          <w:trHeight w:val="1037"/>
        </w:trPr>
        <w:tc>
          <w:tcPr>
            <w:tcW w:w="9810" w:type="dxa"/>
            <w:gridSpan w:val="4"/>
            <w:shd w:val="clear" w:color="auto" w:fill="F2F2F2"/>
            <w:tcMar>
              <w:top w:w="0" w:type="dxa"/>
              <w:left w:w="108" w:type="dxa"/>
              <w:bottom w:w="0" w:type="dxa"/>
              <w:right w:w="108" w:type="dxa"/>
            </w:tcMar>
          </w:tcPr>
          <w:p w14:paraId="348977B6" w14:textId="77777777" w:rsidR="009B5F71" w:rsidRPr="00B04A82" w:rsidRDefault="009B5F71" w:rsidP="00B34FCA">
            <w:pPr>
              <w:widowControl/>
              <w:tabs>
                <w:tab w:val="left" w:pos="1940"/>
              </w:tabs>
              <w:spacing w:before="120" w:after="40"/>
              <w:ind w:left="162" w:hanging="193"/>
              <w:rPr>
                <w:rFonts w:eastAsia="Batang"/>
                <w:b/>
                <w:sz w:val="22"/>
                <w:szCs w:val="22"/>
                <w:lang w:eastAsia="ko-KR"/>
              </w:rPr>
            </w:pPr>
            <w:r w:rsidRPr="00B04A82">
              <w:rPr>
                <w:rFonts w:eastAsia="Batang"/>
                <w:b/>
                <w:sz w:val="22"/>
                <w:szCs w:val="22"/>
                <w:lang w:eastAsia="ko-KR"/>
              </w:rPr>
              <w:t>Mission Statement</w:t>
            </w:r>
          </w:p>
          <w:p w14:paraId="348977B7" w14:textId="77777777" w:rsidR="009B5F71" w:rsidRPr="00430F8F" w:rsidRDefault="00D91B5E" w:rsidP="00B34FCA">
            <w:pPr>
              <w:widowControl/>
              <w:tabs>
                <w:tab w:val="left" w:pos="1940"/>
              </w:tabs>
              <w:spacing w:before="120" w:after="40"/>
              <w:rPr>
                <w:rFonts w:eastAsia="Batang"/>
                <w:sz w:val="20"/>
                <w:lang w:eastAsia="ko-KR"/>
              </w:rPr>
            </w:pPr>
            <w:r w:rsidRPr="007703E6">
              <w:rPr>
                <w:rFonts w:eastAsia="Batang"/>
                <w:sz w:val="20"/>
                <w:lang w:eastAsia="ko-KR"/>
              </w:rPr>
              <w:t>Boston Green Academy welcomes diverse students of all abilities, educates and empowers them to succeed in college and career, and prepares them to lead in the sustainability of our community and world.</w:t>
            </w:r>
          </w:p>
        </w:tc>
      </w:tr>
    </w:tbl>
    <w:p w14:paraId="348977B9" w14:textId="77777777" w:rsidR="009B5F71" w:rsidRDefault="009B5F71" w:rsidP="00B34FCA">
      <w:pPr>
        <w:widowControl/>
      </w:pPr>
    </w:p>
    <w:p w14:paraId="348977BA" w14:textId="77777777" w:rsidR="00A5089D" w:rsidRDefault="00A5089D" w:rsidP="00B34FCA">
      <w:pPr>
        <w:widowControl/>
        <w:rPr>
          <w:szCs w:val="24"/>
        </w:rPr>
      </w:pPr>
      <w:r w:rsidRPr="00A5089D">
        <w:rPr>
          <w:szCs w:val="24"/>
        </w:rPr>
        <w:lastRenderedPageBreak/>
        <w:t xml:space="preserve">BGA is a Horace Mann III charter school in the Boston Public School (BPS) district. In its application to become a Horace Mann III charter school, BGA promised to serve students from a Boston high school that was recommended for closure. In its subsequent memorandum of understanding (MOU) with BPS, BGA agreed to open in 2011 with students in grades 9-12, to absorb the student population from Odyssey High School (Odyssey), and to occupy Odyssey’s facility in South Boston. </w:t>
      </w:r>
      <w:r w:rsidR="00212F18">
        <w:rPr>
          <w:szCs w:val="24"/>
        </w:rPr>
        <w:t>The fact that</w:t>
      </w:r>
      <w:r w:rsidR="003B344F">
        <w:rPr>
          <w:szCs w:val="24"/>
        </w:rPr>
        <w:t xml:space="preserve"> </w:t>
      </w:r>
      <w:r w:rsidR="00212F18">
        <w:rPr>
          <w:szCs w:val="24"/>
        </w:rPr>
        <w:t xml:space="preserve">BGA has functioned as a turnaround effort presented the school with </w:t>
      </w:r>
      <w:r w:rsidR="003B344F">
        <w:rPr>
          <w:szCs w:val="24"/>
        </w:rPr>
        <w:t>the greater</w:t>
      </w:r>
      <w:r w:rsidR="00212F18">
        <w:rPr>
          <w:szCs w:val="24"/>
        </w:rPr>
        <w:t xml:space="preserve"> challenge </w:t>
      </w:r>
      <w:r w:rsidR="003B344F">
        <w:rPr>
          <w:szCs w:val="24"/>
        </w:rPr>
        <w:t xml:space="preserve">of transforming an existing </w:t>
      </w:r>
      <w:r w:rsidR="00ED3583">
        <w:rPr>
          <w:szCs w:val="24"/>
        </w:rPr>
        <w:t xml:space="preserve">culture of </w:t>
      </w:r>
      <w:r w:rsidR="003B344F">
        <w:rPr>
          <w:szCs w:val="24"/>
        </w:rPr>
        <w:t xml:space="preserve">low academic and behavioral </w:t>
      </w:r>
      <w:r w:rsidR="00ED3583">
        <w:rPr>
          <w:szCs w:val="24"/>
        </w:rPr>
        <w:t xml:space="preserve">expectations </w:t>
      </w:r>
      <w:r w:rsidR="003B344F">
        <w:rPr>
          <w:szCs w:val="24"/>
        </w:rPr>
        <w:t>as opposed to establishing a culture in a new school</w:t>
      </w:r>
      <w:r w:rsidR="00212F18">
        <w:rPr>
          <w:szCs w:val="24"/>
        </w:rPr>
        <w:t xml:space="preserve">. </w:t>
      </w:r>
      <w:r w:rsidR="00DC33B2">
        <w:rPr>
          <w:szCs w:val="24"/>
        </w:rPr>
        <w:t>While BGA was o</w:t>
      </w:r>
      <w:r w:rsidRPr="00A5089D">
        <w:rPr>
          <w:szCs w:val="24"/>
        </w:rPr>
        <w:t xml:space="preserve">riginally proposed as a 6-12 school, the MOU altered the founding group’s original growth plan and delayed the offering of middle school grades. </w:t>
      </w:r>
    </w:p>
    <w:p w14:paraId="348977BB" w14:textId="77777777" w:rsidR="00A5089D" w:rsidRDefault="00A5089D" w:rsidP="00B34FCA">
      <w:pPr>
        <w:widowControl/>
        <w:rPr>
          <w:szCs w:val="24"/>
        </w:rPr>
      </w:pPr>
    </w:p>
    <w:p w14:paraId="348977BC" w14:textId="77777777" w:rsidR="00A5089D" w:rsidRPr="00A5089D" w:rsidRDefault="00A5089D" w:rsidP="00B34FCA">
      <w:pPr>
        <w:widowControl/>
        <w:rPr>
          <w:szCs w:val="24"/>
        </w:rPr>
      </w:pPr>
      <w:r w:rsidRPr="00A5089D">
        <w:rPr>
          <w:szCs w:val="24"/>
        </w:rPr>
        <w:t>From 2011 until the end of the 2013-14 school year, BGA served grades 9-12 in the South Boston facility. In the fall of 2014, the school moved to a new location in Brighton and began to serve the 6</w:t>
      </w:r>
      <w:r w:rsidRPr="00A5089D">
        <w:rPr>
          <w:szCs w:val="24"/>
          <w:vertAlign w:val="superscript"/>
        </w:rPr>
        <w:t>th</w:t>
      </w:r>
      <w:r w:rsidRPr="00A5089D">
        <w:rPr>
          <w:szCs w:val="24"/>
        </w:rPr>
        <w:t xml:space="preserve"> grade. The Brighton facility is co-located with Another Course to College, a BPS school. In the fall of 2015, </w:t>
      </w:r>
      <w:r w:rsidR="00DC33B2">
        <w:rPr>
          <w:szCs w:val="24"/>
        </w:rPr>
        <w:t xml:space="preserve">BGA </w:t>
      </w:r>
      <w:r w:rsidRPr="00A5089D">
        <w:rPr>
          <w:szCs w:val="24"/>
        </w:rPr>
        <w:t>began to serve the 7</w:t>
      </w:r>
      <w:r w:rsidRPr="00A5089D">
        <w:rPr>
          <w:szCs w:val="24"/>
          <w:vertAlign w:val="superscript"/>
        </w:rPr>
        <w:t>th</w:t>
      </w:r>
      <w:r w:rsidRPr="00A5089D">
        <w:rPr>
          <w:szCs w:val="24"/>
        </w:rPr>
        <w:t xml:space="preserve"> grade.</w:t>
      </w:r>
    </w:p>
    <w:p w14:paraId="348977BD" w14:textId="77777777" w:rsidR="00E7001B" w:rsidRPr="00A5089D" w:rsidRDefault="00E7001B" w:rsidP="00B34FCA">
      <w:pPr>
        <w:widowControl/>
        <w:rPr>
          <w:szCs w:val="24"/>
        </w:rPr>
      </w:pPr>
    </w:p>
    <w:p w14:paraId="348977BE" w14:textId="77777777" w:rsidR="00A5089D" w:rsidRPr="00A5089D" w:rsidRDefault="00A5089D" w:rsidP="00B34FCA">
      <w:pPr>
        <w:widowControl/>
        <w:rPr>
          <w:szCs w:val="24"/>
        </w:rPr>
      </w:pPr>
      <w:r w:rsidRPr="00A5089D">
        <w:rPr>
          <w:szCs w:val="24"/>
        </w:rPr>
        <w:t xml:space="preserve">In the summer of 2015, the school requested an amendment to its mission statement because the school’s stakeholders felt that the original mission was not clear. </w:t>
      </w:r>
      <w:r w:rsidR="004C4DF3">
        <w:rPr>
          <w:szCs w:val="24"/>
        </w:rPr>
        <w:t xml:space="preserve">The Commissioner approved the </w:t>
      </w:r>
      <w:r w:rsidRPr="00A5089D">
        <w:rPr>
          <w:szCs w:val="24"/>
        </w:rPr>
        <w:t xml:space="preserve">amendment in September 2015. The school is planning to </w:t>
      </w:r>
      <w:r w:rsidR="00DC33B2">
        <w:rPr>
          <w:szCs w:val="24"/>
        </w:rPr>
        <w:t xml:space="preserve">request approval for </w:t>
      </w:r>
      <w:r w:rsidRPr="00A5089D">
        <w:rPr>
          <w:szCs w:val="24"/>
        </w:rPr>
        <w:t>further amend</w:t>
      </w:r>
      <w:r w:rsidR="00DC33B2">
        <w:rPr>
          <w:szCs w:val="24"/>
        </w:rPr>
        <w:t>ments to</w:t>
      </w:r>
      <w:r w:rsidRPr="00A5089D">
        <w:rPr>
          <w:szCs w:val="24"/>
        </w:rPr>
        <w:t xml:space="preserve"> its charter to reflect changes made to its program during the past four years.</w:t>
      </w:r>
    </w:p>
    <w:p w14:paraId="348977BF" w14:textId="77777777" w:rsidR="00A5089D" w:rsidRPr="00A5089D" w:rsidRDefault="00A5089D" w:rsidP="00B34FCA">
      <w:pPr>
        <w:widowControl/>
        <w:rPr>
          <w:szCs w:val="24"/>
        </w:rPr>
      </w:pPr>
    </w:p>
    <w:p w14:paraId="348977C0" w14:textId="77777777" w:rsidR="00A5089D" w:rsidRPr="00A5089D" w:rsidRDefault="00A5089D" w:rsidP="00B34FCA">
      <w:pPr>
        <w:widowControl/>
        <w:rPr>
          <w:szCs w:val="24"/>
        </w:rPr>
      </w:pPr>
      <w:r w:rsidRPr="00A5089D">
        <w:rPr>
          <w:szCs w:val="24"/>
        </w:rPr>
        <w:t>Due to persistent concerns, the school received five visits from the Department</w:t>
      </w:r>
      <w:r w:rsidR="0016402A">
        <w:rPr>
          <w:szCs w:val="24"/>
        </w:rPr>
        <w:t xml:space="preserve"> </w:t>
      </w:r>
      <w:r w:rsidR="0016402A" w:rsidRPr="00435F62">
        <w:t>of Elementary and Secondary Education (Department)</w:t>
      </w:r>
      <w:r w:rsidRPr="00A5089D">
        <w:rPr>
          <w:szCs w:val="24"/>
        </w:rPr>
        <w:t xml:space="preserve"> in </w:t>
      </w:r>
      <w:r w:rsidR="00DE0462">
        <w:rPr>
          <w:szCs w:val="24"/>
        </w:rPr>
        <w:t>the school’s</w:t>
      </w:r>
      <w:r w:rsidR="00DE0462" w:rsidRPr="00A5089D">
        <w:rPr>
          <w:szCs w:val="24"/>
        </w:rPr>
        <w:t xml:space="preserve"> </w:t>
      </w:r>
      <w:r w:rsidRPr="00A5089D">
        <w:rPr>
          <w:szCs w:val="24"/>
        </w:rPr>
        <w:t xml:space="preserve">first four years of operation. These visits documented concerns about the school’s faithfulness to its charter, the quality of the academic program, </w:t>
      </w:r>
      <w:r w:rsidR="0016402A">
        <w:rPr>
          <w:szCs w:val="24"/>
        </w:rPr>
        <w:t>the school’s poor</w:t>
      </w:r>
      <w:r w:rsidRPr="00A5089D">
        <w:rPr>
          <w:szCs w:val="24"/>
        </w:rPr>
        <w:t xml:space="preserve"> academic results, the quality and amount of support for diverse learners, and</w:t>
      </w:r>
      <w:r w:rsidR="0016402A">
        <w:rPr>
          <w:szCs w:val="24"/>
        </w:rPr>
        <w:t xml:space="preserve"> </w:t>
      </w:r>
      <w:r w:rsidRPr="00A5089D">
        <w:rPr>
          <w:szCs w:val="24"/>
        </w:rPr>
        <w:t>the school’s lack of compliance with regulatory requirements</w:t>
      </w:r>
      <w:r w:rsidR="00E848D9" w:rsidRPr="00E848D9">
        <w:rPr>
          <w:rStyle w:val="FootnoteReference"/>
          <w:szCs w:val="24"/>
          <w:vertAlign w:val="superscript"/>
        </w:rPr>
        <w:footnoteReference w:id="1"/>
      </w:r>
      <w:r w:rsidRPr="00A5089D">
        <w:rPr>
          <w:szCs w:val="24"/>
        </w:rPr>
        <w:t>. In addition, the</w:t>
      </w:r>
      <w:r w:rsidR="0016402A">
        <w:rPr>
          <w:szCs w:val="24"/>
        </w:rPr>
        <w:t xml:space="preserve"> school’s audit for fiscal year 2013 </w:t>
      </w:r>
      <w:r w:rsidR="0086148E">
        <w:rPr>
          <w:szCs w:val="24"/>
        </w:rPr>
        <w:t>identified material weaknesses</w:t>
      </w:r>
      <w:r w:rsidRPr="00A5089D">
        <w:rPr>
          <w:szCs w:val="24"/>
        </w:rPr>
        <w:t xml:space="preserve">. As a result, in October 2014, the Board voted to put BGA on probation with eight conditions related to finance, governance, and academics. The school’s progress in </w:t>
      </w:r>
      <w:r w:rsidR="0016402A">
        <w:rPr>
          <w:szCs w:val="24"/>
        </w:rPr>
        <w:t>meeting</w:t>
      </w:r>
      <w:r w:rsidR="0016402A" w:rsidRPr="00A5089D">
        <w:rPr>
          <w:szCs w:val="24"/>
        </w:rPr>
        <w:t xml:space="preserve"> </w:t>
      </w:r>
      <w:r w:rsidRPr="00A5089D">
        <w:rPr>
          <w:szCs w:val="24"/>
        </w:rPr>
        <w:t>the</w:t>
      </w:r>
      <w:r w:rsidR="0016402A">
        <w:rPr>
          <w:szCs w:val="24"/>
        </w:rPr>
        <w:t>se</w:t>
      </w:r>
      <w:r w:rsidRPr="00A5089D">
        <w:rPr>
          <w:szCs w:val="24"/>
        </w:rPr>
        <w:t xml:space="preserve"> conditions </w:t>
      </w:r>
      <w:r>
        <w:rPr>
          <w:szCs w:val="24"/>
        </w:rPr>
        <w:t>is addressed below.</w:t>
      </w:r>
    </w:p>
    <w:p w14:paraId="348977C1" w14:textId="77777777" w:rsidR="009B5F71" w:rsidRDefault="009B5F71" w:rsidP="00B34FCA">
      <w:pPr>
        <w:pStyle w:val="FootnoteText"/>
        <w:widowControl/>
        <w:rPr>
          <w:sz w:val="23"/>
          <w:szCs w:val="23"/>
        </w:rPr>
      </w:pPr>
    </w:p>
    <w:p w14:paraId="348977C2" w14:textId="77777777" w:rsidR="00561EA0" w:rsidRDefault="00561EA0" w:rsidP="00B34FCA">
      <w:pPr>
        <w:pStyle w:val="Default"/>
        <w:rPr>
          <w:b/>
          <w:u w:val="single"/>
        </w:rPr>
      </w:pPr>
      <w:r w:rsidRPr="00731B8A">
        <w:rPr>
          <w:b/>
          <w:u w:val="single"/>
        </w:rPr>
        <w:t xml:space="preserve">Progress Towards Meeting Conditions </w:t>
      </w:r>
    </w:p>
    <w:p w14:paraId="348977C3" w14:textId="77777777" w:rsidR="00007EC8" w:rsidRPr="00435F62" w:rsidRDefault="00007EC8" w:rsidP="00B34FCA">
      <w:pPr>
        <w:pStyle w:val="Default"/>
        <w:rPr>
          <w:b/>
          <w:u w:val="single"/>
        </w:rPr>
      </w:pPr>
    </w:p>
    <w:p w14:paraId="348977C4" w14:textId="77777777" w:rsidR="00847DB1" w:rsidRDefault="00AC0FF0" w:rsidP="00B34FCA">
      <w:pPr>
        <w:widowControl/>
      </w:pPr>
      <w:r w:rsidRPr="00435F62">
        <w:rPr>
          <w:szCs w:val="24"/>
        </w:rPr>
        <w:t xml:space="preserve">This section lists the conditions imposed in </w:t>
      </w:r>
      <w:r w:rsidR="00EF35BC" w:rsidRPr="00435F62">
        <w:rPr>
          <w:szCs w:val="24"/>
        </w:rPr>
        <w:t xml:space="preserve">2014 </w:t>
      </w:r>
      <w:r w:rsidRPr="00435F62">
        <w:rPr>
          <w:szCs w:val="24"/>
        </w:rPr>
        <w:t xml:space="preserve">and outlines </w:t>
      </w:r>
      <w:r w:rsidR="00D91B5E" w:rsidRPr="00435F62">
        <w:rPr>
          <w:szCs w:val="24"/>
        </w:rPr>
        <w:t>BGA</w:t>
      </w:r>
      <w:r w:rsidRPr="00435F62">
        <w:rPr>
          <w:szCs w:val="24"/>
        </w:rPr>
        <w:t xml:space="preserve">’s progress towards meeting the conditions. </w:t>
      </w:r>
      <w:r w:rsidR="00847DB1" w:rsidRPr="00435F62">
        <w:t xml:space="preserve">As </w:t>
      </w:r>
      <w:r w:rsidRPr="00435F62">
        <w:t>summarized</w:t>
      </w:r>
      <w:r w:rsidR="00847DB1" w:rsidRPr="00435F62">
        <w:t xml:space="preserve"> below, </w:t>
      </w:r>
      <w:r w:rsidR="00D91B5E" w:rsidRPr="00435F62">
        <w:t>BGA</w:t>
      </w:r>
      <w:r w:rsidR="00AB1DA1">
        <w:t xml:space="preserve"> has met </w:t>
      </w:r>
      <w:r w:rsidR="00506997" w:rsidRPr="00435F62">
        <w:t xml:space="preserve">the </w:t>
      </w:r>
      <w:r w:rsidR="00847DB1" w:rsidRPr="00435F62">
        <w:t>conditions imposed</w:t>
      </w:r>
      <w:r w:rsidRPr="00435F62">
        <w:t xml:space="preserve"> by the Board in connection with placing the school on probation in </w:t>
      </w:r>
      <w:r w:rsidR="00EF35BC" w:rsidRPr="00435F62">
        <w:t>October 2014</w:t>
      </w:r>
      <w:r w:rsidR="00AB1DA1">
        <w:t>; one condition related to academic improvement was partially met</w:t>
      </w:r>
      <w:r w:rsidR="00847DB1" w:rsidRPr="00435F62">
        <w:t xml:space="preserve">. </w:t>
      </w:r>
      <w:r w:rsidR="00667A24" w:rsidRPr="00435F62">
        <w:t>The school</w:t>
      </w:r>
      <w:r w:rsidR="00AB28E7" w:rsidRPr="00435F62">
        <w:t>’s board</w:t>
      </w:r>
      <w:r w:rsidR="00667A24" w:rsidRPr="00435F62">
        <w:t xml:space="preserve"> conducted a self-evaluation, conducted a training with a Department-approved external consultant, established an escrow account, </w:t>
      </w:r>
      <w:r w:rsidR="00C400B7">
        <w:t>remedied all issue</w:t>
      </w:r>
      <w:r w:rsidR="0086148E">
        <w:t>s</w:t>
      </w:r>
      <w:r w:rsidR="00C400B7">
        <w:t xml:space="preserve"> identified in the FY13 audit</w:t>
      </w:r>
      <w:r w:rsidR="00847DB1" w:rsidRPr="00435F62">
        <w:t xml:space="preserve">, and </w:t>
      </w:r>
      <w:r w:rsidR="00AB28E7" w:rsidRPr="00435F62">
        <w:t xml:space="preserve">the school </w:t>
      </w:r>
      <w:r w:rsidR="00847DB1" w:rsidRPr="00435F62">
        <w:t xml:space="preserve">met academic measures established by the Department. </w:t>
      </w:r>
      <w:r w:rsidR="00D91B5E" w:rsidRPr="00435F62">
        <w:t>BGA</w:t>
      </w:r>
      <w:r w:rsidR="00DE0462">
        <w:t>, however,</w:t>
      </w:r>
      <w:r w:rsidR="00847DB1" w:rsidRPr="00435F62">
        <w:t xml:space="preserve"> </w:t>
      </w:r>
      <w:r w:rsidR="00DE0462">
        <w:t>did not meet</w:t>
      </w:r>
      <w:r w:rsidR="00DE0462" w:rsidRPr="00435F62">
        <w:t xml:space="preserve"> </w:t>
      </w:r>
      <w:r w:rsidR="0086148E">
        <w:t xml:space="preserve">the condition requiring the school to </w:t>
      </w:r>
      <w:r w:rsidR="00847DB1" w:rsidRPr="00435F62">
        <w:t>demonstrate significant academic progress by December 201</w:t>
      </w:r>
      <w:r w:rsidR="00034054" w:rsidRPr="00435F62">
        <w:t>5</w:t>
      </w:r>
      <w:r w:rsidR="00847DB1" w:rsidRPr="00435F62">
        <w:t xml:space="preserve">. As shown in the data charts </w:t>
      </w:r>
      <w:r w:rsidR="00847DB1" w:rsidRPr="00435F62">
        <w:lastRenderedPageBreak/>
        <w:t xml:space="preserve">below, </w:t>
      </w:r>
      <w:r w:rsidR="00D91B5E" w:rsidRPr="00435F62">
        <w:t>BGA</w:t>
      </w:r>
      <w:r w:rsidR="00847DB1" w:rsidRPr="00435F62">
        <w:t>’s achievement and growth scores have improved since 2012</w:t>
      </w:r>
      <w:r w:rsidR="00AB1DA1">
        <w:t xml:space="preserve"> but do not yet demonstrate significant improvement</w:t>
      </w:r>
      <w:r w:rsidR="00847DB1" w:rsidRPr="00435F62">
        <w:t xml:space="preserve">. </w:t>
      </w:r>
    </w:p>
    <w:p w14:paraId="348977C5" w14:textId="77777777" w:rsidR="00007EC8" w:rsidRPr="00943DFF" w:rsidRDefault="00007EC8" w:rsidP="00B34FCA">
      <w:pPr>
        <w:widowControl/>
        <w:rPr>
          <w:sz w:val="23"/>
          <w:szCs w:val="23"/>
        </w:rPr>
      </w:pPr>
    </w:p>
    <w:p w14:paraId="348977C6" w14:textId="77777777" w:rsidR="00AD5FE3" w:rsidRPr="00A403C8" w:rsidRDefault="00007EC8" w:rsidP="00B34FCA">
      <w:pPr>
        <w:pStyle w:val="ColorfulList-Accent11"/>
        <w:snapToGrid w:val="0"/>
        <w:ind w:left="0"/>
      </w:pPr>
      <w:r w:rsidRPr="00D212F0">
        <w:rPr>
          <w:b/>
        </w:rPr>
        <w:t>Condition 1</w:t>
      </w:r>
      <w:r>
        <w:rPr>
          <w:b/>
        </w:rPr>
        <w:t>:</w:t>
      </w:r>
      <w:r>
        <w:t xml:space="preserve"> </w:t>
      </w:r>
      <w:r w:rsidR="00460A53" w:rsidRPr="00AB14DA">
        <w:t>Beginning in October of 2014</w:t>
      </w:r>
      <w:r w:rsidR="00460A53" w:rsidRPr="00AB14DA">
        <w:rPr>
          <w:b/>
        </w:rPr>
        <w:t xml:space="preserve"> </w:t>
      </w:r>
      <w:r w:rsidR="00460A53" w:rsidRPr="00AB14DA">
        <w:t xml:space="preserve">and until further notice, BGA must submit to the Department, at </w:t>
      </w:r>
      <w:hyperlink r:id="rId17" w:history="1">
        <w:r w:rsidR="00460A53" w:rsidRPr="00AB14DA">
          <w:rPr>
            <w:rStyle w:val="Hyperlink"/>
          </w:rPr>
          <w:t>charterschools@doe.mass.edu</w:t>
        </w:r>
      </w:hyperlink>
      <w:r w:rsidR="00460A53" w:rsidRPr="00AB14DA">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348977C7" w14:textId="77777777" w:rsidR="00007EC8" w:rsidRDefault="00007EC8" w:rsidP="00B34FCA">
      <w:pPr>
        <w:widowControl/>
        <w:rPr>
          <w:b/>
        </w:rPr>
      </w:pPr>
    </w:p>
    <w:p w14:paraId="348977C8" w14:textId="77777777" w:rsidR="00AD5FE3" w:rsidRDefault="00007EC8" w:rsidP="00B34FCA">
      <w:pPr>
        <w:widowControl/>
        <w:ind w:left="540"/>
        <w:rPr>
          <w:b/>
        </w:rPr>
      </w:pPr>
      <w:r w:rsidRPr="00860566">
        <w:rPr>
          <w:b/>
        </w:rPr>
        <w:t xml:space="preserve">Status: </w:t>
      </w:r>
      <w:r w:rsidR="001345B2">
        <w:rPr>
          <w:b/>
        </w:rPr>
        <w:t>Ongoing</w:t>
      </w:r>
      <w:r w:rsidR="00C400B7">
        <w:rPr>
          <w:b/>
        </w:rPr>
        <w:t>/Met</w:t>
      </w:r>
    </w:p>
    <w:p w14:paraId="348977C9" w14:textId="77777777" w:rsidR="00007EC8" w:rsidRDefault="001345B2" w:rsidP="00B34FCA">
      <w:pPr>
        <w:widowControl/>
        <w:ind w:left="540"/>
      </w:pPr>
      <w:r>
        <w:t xml:space="preserve">The school has submitted its meeting minutes, agendas, and other materials to the Department in a timely manner since October 2014. The school has also submitted </w:t>
      </w:r>
      <w:r w:rsidR="00034054">
        <w:t xml:space="preserve">timely </w:t>
      </w:r>
      <w:r>
        <w:t>monthly financial statements with the exception of September and October 2015</w:t>
      </w:r>
      <w:r w:rsidR="00DE0462">
        <w:t>,</w:t>
      </w:r>
      <w:r w:rsidR="00426E55">
        <w:t xml:space="preserve"> which were submitted in November 2015</w:t>
      </w:r>
      <w:r>
        <w:t xml:space="preserve">. </w:t>
      </w:r>
    </w:p>
    <w:p w14:paraId="348977CA" w14:textId="77777777" w:rsidR="00506997" w:rsidRDefault="00506997" w:rsidP="00B34FCA">
      <w:pPr>
        <w:widowControl/>
        <w:ind w:left="540"/>
        <w:rPr>
          <w:b/>
        </w:rPr>
      </w:pPr>
    </w:p>
    <w:p w14:paraId="348977CB" w14:textId="77777777" w:rsidR="00AD5FE3" w:rsidRPr="00A403C8" w:rsidRDefault="00007EC8" w:rsidP="00B34FCA">
      <w:pPr>
        <w:pStyle w:val="ColorfulList-Accent11"/>
        <w:snapToGrid w:val="0"/>
        <w:ind w:left="0"/>
      </w:pPr>
      <w:r w:rsidRPr="00D212F0">
        <w:rPr>
          <w:b/>
        </w:rPr>
        <w:t>Condition 2</w:t>
      </w:r>
      <w:r>
        <w:rPr>
          <w:b/>
        </w:rPr>
        <w:t>:</w:t>
      </w:r>
      <w:r>
        <w:t xml:space="preserve"> </w:t>
      </w:r>
      <w:r w:rsidR="00460A53" w:rsidRPr="00AB14DA">
        <w:t>By December 31, 2014, the school's board of trustees must have completed a comprehensive self-evaluation of its own capacity and must have recruited additional board members with needed expertise, as identified by the board of trustees and the Department.</w:t>
      </w:r>
    </w:p>
    <w:p w14:paraId="348977CC" w14:textId="77777777" w:rsidR="00007EC8" w:rsidRDefault="00007EC8" w:rsidP="00B34FCA">
      <w:pPr>
        <w:widowControl/>
      </w:pPr>
    </w:p>
    <w:p w14:paraId="348977CD" w14:textId="77777777" w:rsidR="00AD5FE3" w:rsidRDefault="00007EC8" w:rsidP="00B34FCA">
      <w:pPr>
        <w:widowControl/>
        <w:ind w:left="720"/>
        <w:rPr>
          <w:b/>
        </w:rPr>
      </w:pPr>
      <w:r w:rsidRPr="00951F0E">
        <w:rPr>
          <w:b/>
        </w:rPr>
        <w:t xml:space="preserve">Status: </w:t>
      </w:r>
      <w:r w:rsidR="001345B2">
        <w:rPr>
          <w:b/>
        </w:rPr>
        <w:t>Met</w:t>
      </w:r>
    </w:p>
    <w:p w14:paraId="348977CE" w14:textId="77777777" w:rsidR="001345B2" w:rsidRDefault="001345B2" w:rsidP="00B34FCA">
      <w:pPr>
        <w:widowControl/>
        <w:snapToGrid w:val="0"/>
        <w:ind w:left="720"/>
      </w:pPr>
      <w:r>
        <w:t xml:space="preserve">The board conducted a self-assessment in December 2014 and subsequently analyzed the results during its training </w:t>
      </w:r>
      <w:r w:rsidR="00DE0462">
        <w:t xml:space="preserve">in January 2015 </w:t>
      </w:r>
      <w:r>
        <w:t xml:space="preserve">with </w:t>
      </w:r>
      <w:r w:rsidR="00DE0462">
        <w:t xml:space="preserve">an </w:t>
      </w:r>
      <w:r>
        <w:t xml:space="preserve">external consultant. As a result of the self-assessment, the board worked to improve its process for orienting new members. </w:t>
      </w:r>
      <w:r w:rsidR="009E2A12">
        <w:t xml:space="preserve">Prior to the due date of the condition, the board recruited one additional external member, the former education advisor to the mayor of Boston, and one staff member by December 31, 2014. </w:t>
      </w:r>
      <w:r>
        <w:t xml:space="preserve">The board </w:t>
      </w:r>
      <w:r w:rsidR="009E2A12">
        <w:t>has since recruited new members and currently has 1</w:t>
      </w:r>
      <w:r w:rsidR="000E3991">
        <w:t xml:space="preserve">4 </w:t>
      </w:r>
      <w:r w:rsidR="009E2A12">
        <w:t>members</w:t>
      </w:r>
      <w:r>
        <w:t xml:space="preserve">. </w:t>
      </w:r>
    </w:p>
    <w:p w14:paraId="348977CF" w14:textId="77777777" w:rsidR="00007EC8" w:rsidRDefault="00007EC8" w:rsidP="00B34FCA">
      <w:pPr>
        <w:widowControl/>
      </w:pPr>
    </w:p>
    <w:p w14:paraId="348977D0" w14:textId="77777777" w:rsidR="00AD5FE3" w:rsidRPr="00A403C8" w:rsidRDefault="00007EC8" w:rsidP="00B34FCA">
      <w:pPr>
        <w:pStyle w:val="ColorfulList-Accent11"/>
        <w:snapToGrid w:val="0"/>
        <w:ind w:left="0"/>
      </w:pPr>
      <w:r w:rsidRPr="00235B3F">
        <w:rPr>
          <w:b/>
        </w:rPr>
        <w:t>Condition 3:</w:t>
      </w:r>
      <w:r>
        <w:t xml:space="preserve"> </w:t>
      </w:r>
      <w:r w:rsidR="00460A53" w:rsidRPr="00AB14DA">
        <w:t>By December 31, 2014, the school must establish an escrow account in an amount determined by the Department in consultation with the school to pay for any potential closing, legal, and audit expenses associated with closure, should that occur.</w:t>
      </w:r>
    </w:p>
    <w:p w14:paraId="348977D1" w14:textId="77777777" w:rsidR="00007EC8" w:rsidRDefault="00007EC8" w:rsidP="00B34FCA">
      <w:pPr>
        <w:widowControl/>
      </w:pPr>
    </w:p>
    <w:p w14:paraId="348977D2" w14:textId="77777777" w:rsidR="00007EC8" w:rsidRDefault="00007EC8" w:rsidP="00B34FCA">
      <w:pPr>
        <w:widowControl/>
        <w:ind w:firstLine="720"/>
        <w:rPr>
          <w:b/>
        </w:rPr>
      </w:pPr>
      <w:r w:rsidRPr="00B4555E">
        <w:rPr>
          <w:b/>
        </w:rPr>
        <w:t xml:space="preserve">Status: </w:t>
      </w:r>
      <w:r w:rsidR="00F830D0">
        <w:rPr>
          <w:b/>
        </w:rPr>
        <w:t>Met</w:t>
      </w:r>
      <w:r w:rsidR="00E0230F">
        <w:rPr>
          <w:b/>
        </w:rPr>
        <w:t xml:space="preserve"> </w:t>
      </w:r>
    </w:p>
    <w:p w14:paraId="348977D3" w14:textId="77777777" w:rsidR="00F830D0" w:rsidRPr="00F830D0" w:rsidRDefault="00B57D2B" w:rsidP="00B34FCA">
      <w:pPr>
        <w:widowControl/>
        <w:ind w:left="720"/>
      </w:pPr>
      <w:r>
        <w:t>After ongoing communication, consultation</w:t>
      </w:r>
      <w:r w:rsidR="00DE0462">
        <w:t>,</w:t>
      </w:r>
      <w:r>
        <w:t xml:space="preserve"> and guidance from the Department</w:t>
      </w:r>
      <w:r w:rsidR="00264E34">
        <w:t>, t</w:t>
      </w:r>
      <w:r w:rsidR="00F830D0">
        <w:t>he school met this condition after the deadline</w:t>
      </w:r>
      <w:r w:rsidR="009E2A12">
        <w:t xml:space="preserve"> on August 12, 2015</w:t>
      </w:r>
      <w:r w:rsidR="00264E34">
        <w:t>. The school worked with the Department and Boston Public Schools to establish the amount held in escrow</w:t>
      </w:r>
      <w:r w:rsidR="00785B0B">
        <w:t xml:space="preserve">. </w:t>
      </w:r>
      <w:r w:rsidR="009E2A12">
        <w:t>The board of the school established an escrow account of $15,000</w:t>
      </w:r>
      <w:r w:rsidR="00DE0462">
        <w:t>,</w:t>
      </w:r>
      <w:r w:rsidR="009E2A12">
        <w:t xml:space="preserve"> an amount approved by the Department</w:t>
      </w:r>
      <w:r w:rsidR="00A03567">
        <w:t>. The school also</w:t>
      </w:r>
      <w:r w:rsidR="009E2A12">
        <w:t xml:space="preserve"> obtained a letter of support from the Boston Public Schools concerning any potential additional costs. </w:t>
      </w:r>
    </w:p>
    <w:p w14:paraId="348977D4" w14:textId="77777777" w:rsidR="0096003F" w:rsidRDefault="0096003F" w:rsidP="00B34FCA">
      <w:pPr>
        <w:pStyle w:val="ColorfulList-Accent11"/>
        <w:ind w:left="0"/>
        <w:contextualSpacing/>
        <w:rPr>
          <w:b/>
        </w:rPr>
      </w:pPr>
    </w:p>
    <w:p w14:paraId="348977D5" w14:textId="77777777" w:rsidR="00460A53" w:rsidRPr="00AB14DA" w:rsidRDefault="0096003F" w:rsidP="00B34FCA">
      <w:pPr>
        <w:pStyle w:val="ColorfulList-Accent11"/>
        <w:snapToGrid w:val="0"/>
        <w:ind w:left="0"/>
      </w:pPr>
      <w:r w:rsidRPr="00235B3F">
        <w:rPr>
          <w:b/>
        </w:rPr>
        <w:t xml:space="preserve">Condition </w:t>
      </w:r>
      <w:r>
        <w:rPr>
          <w:b/>
        </w:rPr>
        <w:t>4</w:t>
      </w:r>
      <w:r w:rsidRPr="00235B3F">
        <w:rPr>
          <w:b/>
        </w:rPr>
        <w:t>:</w:t>
      </w:r>
      <w:r>
        <w:t xml:space="preserve"> </w:t>
      </w:r>
      <w:r w:rsidR="00460A53" w:rsidRPr="00AB14DA">
        <w:t>By February 28, 2015, the school's board of trustees must engage in training conducted by an external consultant, acceptable to and approved in advance by the Department, on the roles and responsibilities of a board of trustees for a charter school.</w:t>
      </w:r>
    </w:p>
    <w:p w14:paraId="348977D6" w14:textId="77777777" w:rsidR="00460A53" w:rsidRDefault="00460A53" w:rsidP="00B34FCA">
      <w:pPr>
        <w:widowControl/>
        <w:ind w:firstLine="720"/>
        <w:rPr>
          <w:b/>
        </w:rPr>
      </w:pPr>
    </w:p>
    <w:p w14:paraId="348977D7" w14:textId="77777777" w:rsidR="00785B0B" w:rsidRDefault="0096003F" w:rsidP="00B34FCA">
      <w:pPr>
        <w:widowControl/>
        <w:snapToGrid w:val="0"/>
        <w:ind w:left="720"/>
        <w:rPr>
          <w:b/>
        </w:rPr>
      </w:pPr>
      <w:r w:rsidRPr="00B4555E">
        <w:rPr>
          <w:b/>
        </w:rPr>
        <w:t xml:space="preserve">Status: </w:t>
      </w:r>
      <w:r w:rsidR="00785B0B">
        <w:rPr>
          <w:b/>
        </w:rPr>
        <w:t>Met</w:t>
      </w:r>
    </w:p>
    <w:p w14:paraId="348977D8" w14:textId="77777777" w:rsidR="00785B0B" w:rsidRPr="00AB14DA" w:rsidRDefault="00785B0B" w:rsidP="00B34FCA">
      <w:pPr>
        <w:widowControl/>
        <w:snapToGrid w:val="0"/>
        <w:ind w:left="720"/>
      </w:pPr>
      <w:r>
        <w:lastRenderedPageBreak/>
        <w:t>On January 7, 2015, board members engaged in a training provided by a</w:t>
      </w:r>
      <w:r w:rsidR="00DE0462">
        <w:t>n</w:t>
      </w:r>
      <w:r>
        <w:t xml:space="preserve"> external consultant</w:t>
      </w:r>
      <w:r w:rsidR="00DE0462">
        <w:t xml:space="preserve"> approved by the Department</w:t>
      </w:r>
      <w:r>
        <w:t xml:space="preserve">. </w:t>
      </w:r>
      <w:r w:rsidR="007C0514">
        <w:t>During the Year 4 site visit, b</w:t>
      </w:r>
      <w:r>
        <w:t xml:space="preserve">oard members reported that they found the training helpful and have a better understanding of their role and responsibilities as a result. </w:t>
      </w:r>
    </w:p>
    <w:p w14:paraId="348977D9" w14:textId="77777777" w:rsidR="0096003F" w:rsidRDefault="0096003F" w:rsidP="00B34FCA">
      <w:pPr>
        <w:pStyle w:val="ColorfulList-Accent11"/>
        <w:ind w:left="0"/>
        <w:contextualSpacing/>
        <w:rPr>
          <w:b/>
        </w:rPr>
      </w:pPr>
    </w:p>
    <w:p w14:paraId="348977DA" w14:textId="77777777" w:rsidR="0096003F" w:rsidRPr="00A403C8" w:rsidRDefault="0096003F" w:rsidP="00B34FCA">
      <w:pPr>
        <w:pStyle w:val="ColorfulList-Accent11"/>
        <w:snapToGrid w:val="0"/>
        <w:ind w:left="0"/>
      </w:pPr>
      <w:r w:rsidRPr="00235B3F">
        <w:rPr>
          <w:b/>
        </w:rPr>
        <w:t xml:space="preserve">Condition </w:t>
      </w:r>
      <w:r>
        <w:rPr>
          <w:b/>
        </w:rPr>
        <w:t>5</w:t>
      </w:r>
      <w:r w:rsidRPr="00235B3F">
        <w:rPr>
          <w:b/>
        </w:rPr>
        <w:t>:</w:t>
      </w:r>
      <w:r>
        <w:t xml:space="preserve"> </w:t>
      </w:r>
      <w:r w:rsidR="00460A53" w:rsidRPr="00AB14DA">
        <w:t xml:space="preserve">By February 28, 2015, all members of the board of trustees of BGA will complete the series of six trainings offered online by the Office of the Attorney General regarding the Open Meeting Law. All board members will sign the required certificate stating that they have received, read, and viewed the following materials: the Open Meeting Law, G.L. c. 30A, §§ 18-25; regulations promulgated by the Attorney General under G.L. c. 30A, § 25; and educational materials available from the Attorney General explaining the Open Meeting Law and its application. </w:t>
      </w:r>
    </w:p>
    <w:p w14:paraId="348977DB" w14:textId="77777777" w:rsidR="0096003F" w:rsidRDefault="0096003F" w:rsidP="00B34FCA">
      <w:pPr>
        <w:widowControl/>
      </w:pPr>
    </w:p>
    <w:p w14:paraId="348977DC" w14:textId="77777777" w:rsidR="0096003F" w:rsidRDefault="0096003F" w:rsidP="00B34FCA">
      <w:pPr>
        <w:widowControl/>
        <w:ind w:firstLine="720"/>
        <w:rPr>
          <w:b/>
        </w:rPr>
      </w:pPr>
      <w:r w:rsidRPr="00B4555E">
        <w:rPr>
          <w:b/>
        </w:rPr>
        <w:t xml:space="preserve">Status: </w:t>
      </w:r>
      <w:r w:rsidR="000D4233">
        <w:rPr>
          <w:b/>
        </w:rPr>
        <w:t>Met</w:t>
      </w:r>
    </w:p>
    <w:p w14:paraId="348977DD" w14:textId="77777777" w:rsidR="000D4233" w:rsidRDefault="000D4233" w:rsidP="00B34FCA">
      <w:pPr>
        <w:widowControl/>
        <w:snapToGrid w:val="0"/>
        <w:ind w:left="720"/>
      </w:pPr>
      <w:r>
        <w:t xml:space="preserve">This condition was met by the deadline. </w:t>
      </w:r>
      <w:r w:rsidR="00DE0462">
        <w:t xml:space="preserve">Required </w:t>
      </w:r>
      <w:r>
        <w:t>certificates were submitted to the Department on February 27, 2015.</w:t>
      </w:r>
    </w:p>
    <w:p w14:paraId="348977DE" w14:textId="77777777" w:rsidR="0096003F" w:rsidRDefault="0096003F" w:rsidP="00B34FCA">
      <w:pPr>
        <w:pStyle w:val="ColorfulList-Accent11"/>
        <w:ind w:left="0"/>
        <w:contextualSpacing/>
        <w:rPr>
          <w:b/>
        </w:rPr>
      </w:pPr>
    </w:p>
    <w:p w14:paraId="348977DF" w14:textId="77777777" w:rsidR="0096003F" w:rsidRPr="00A403C8" w:rsidRDefault="0096003F" w:rsidP="00B34FCA">
      <w:pPr>
        <w:pStyle w:val="ColorfulList-Accent11"/>
        <w:snapToGrid w:val="0"/>
        <w:ind w:left="0"/>
      </w:pPr>
      <w:r w:rsidRPr="00235B3F">
        <w:rPr>
          <w:b/>
        </w:rPr>
        <w:t xml:space="preserve">Condition </w:t>
      </w:r>
      <w:r>
        <w:rPr>
          <w:b/>
        </w:rPr>
        <w:t>6</w:t>
      </w:r>
      <w:r w:rsidRPr="00235B3F">
        <w:rPr>
          <w:b/>
        </w:rPr>
        <w:t>:</w:t>
      </w:r>
      <w:r>
        <w:t xml:space="preserve"> </w:t>
      </w:r>
      <w:r w:rsidR="00460A53" w:rsidRPr="00AB14DA">
        <w:t xml:space="preserve">By November 1, 2015, as documented by the school’s FY15 independent financial audit, the school must remedy all material weaknesses and deficiencies identified in the FY13 financial audit and any subsequent findings in the school’s audit for FY14. The school must have an unqualified opinion on its FY15 audit without any identified material weaknesses. </w:t>
      </w:r>
    </w:p>
    <w:p w14:paraId="348977E0" w14:textId="77777777" w:rsidR="0096003F" w:rsidRDefault="0096003F" w:rsidP="00B34FCA">
      <w:pPr>
        <w:widowControl/>
      </w:pPr>
    </w:p>
    <w:p w14:paraId="348977E1" w14:textId="77777777" w:rsidR="0088606D" w:rsidRDefault="0096003F" w:rsidP="00B34FCA">
      <w:pPr>
        <w:widowControl/>
        <w:ind w:left="720"/>
        <w:rPr>
          <w:b/>
        </w:rPr>
      </w:pPr>
      <w:r w:rsidRPr="00B4555E">
        <w:rPr>
          <w:b/>
        </w:rPr>
        <w:t xml:space="preserve">Status: </w:t>
      </w:r>
      <w:r w:rsidR="0088606D">
        <w:rPr>
          <w:b/>
        </w:rPr>
        <w:t>Met</w:t>
      </w:r>
    </w:p>
    <w:p w14:paraId="348977E2" w14:textId="77777777" w:rsidR="0096003F" w:rsidRPr="00C9563E" w:rsidRDefault="00D304DF" w:rsidP="00B34FCA">
      <w:pPr>
        <w:widowControl/>
        <w:ind w:left="720"/>
      </w:pPr>
      <w:r>
        <w:t>When</w:t>
      </w:r>
      <w:r w:rsidR="0088606D" w:rsidRPr="0088606D">
        <w:t xml:space="preserve"> the FY13 audit was submitted near the end of FY14, management </w:t>
      </w:r>
      <w:r>
        <w:t xml:space="preserve">had already </w:t>
      </w:r>
      <w:r w:rsidR="0088606D" w:rsidRPr="0088606D">
        <w:t xml:space="preserve">hired a new business manager and started the process of addressing the audit findings. </w:t>
      </w:r>
      <w:r w:rsidR="007022A4">
        <w:t xml:space="preserve">Some findings remained in FY14, and the FY14 </w:t>
      </w:r>
      <w:r w:rsidR="0088606D" w:rsidRPr="0088606D">
        <w:t xml:space="preserve">audit included a qualified opinion on the financial statements. </w:t>
      </w:r>
      <w:r w:rsidR="0088606D">
        <w:t>The school had an unqualified opinion on its FY15 audit and did not have any identified material weaknesses.</w:t>
      </w:r>
      <w:r w:rsidR="0088606D" w:rsidRPr="0088606D">
        <w:t xml:space="preserve"> </w:t>
      </w:r>
      <w:r w:rsidR="00AB28E7">
        <w:t>According to the audit, a</w:t>
      </w:r>
      <w:r w:rsidR="0088606D" w:rsidRPr="0088606D">
        <w:t xml:space="preserve">ll past issues have been properly addressed. </w:t>
      </w:r>
    </w:p>
    <w:p w14:paraId="348977E3" w14:textId="77777777" w:rsidR="0096003F" w:rsidRDefault="0096003F" w:rsidP="00B34FCA">
      <w:pPr>
        <w:pStyle w:val="ColorfulList-Accent11"/>
        <w:ind w:left="0"/>
        <w:contextualSpacing/>
        <w:rPr>
          <w:b/>
        </w:rPr>
      </w:pPr>
    </w:p>
    <w:p w14:paraId="348977E4" w14:textId="77777777" w:rsidR="0096003F" w:rsidRPr="00A403C8" w:rsidRDefault="0096003F" w:rsidP="00B34FCA">
      <w:pPr>
        <w:pStyle w:val="ColorfulList-Accent11"/>
        <w:snapToGrid w:val="0"/>
        <w:ind w:left="0"/>
      </w:pPr>
      <w:r w:rsidRPr="00235B3F">
        <w:rPr>
          <w:b/>
        </w:rPr>
        <w:t>Condition</w:t>
      </w:r>
      <w:r>
        <w:rPr>
          <w:b/>
        </w:rPr>
        <w:t xml:space="preserve"> 7</w:t>
      </w:r>
      <w:r w:rsidRPr="00235B3F">
        <w:rPr>
          <w:b/>
        </w:rPr>
        <w:t>:</w:t>
      </w:r>
      <w:r>
        <w:t xml:space="preserve"> </w:t>
      </w:r>
      <w:r w:rsidR="00460A53" w:rsidRPr="00AB14DA">
        <w:t>By December 31, 2015, the school must demonstrate that it is an academic success through evidence of significant academic improvement in mathematics and English language arts.</w:t>
      </w:r>
    </w:p>
    <w:p w14:paraId="348977E5" w14:textId="77777777" w:rsidR="0096003F" w:rsidRDefault="0096003F" w:rsidP="00B34FCA">
      <w:pPr>
        <w:widowControl/>
      </w:pPr>
    </w:p>
    <w:p w14:paraId="348977E6" w14:textId="77777777" w:rsidR="0096003F" w:rsidRDefault="0096003F" w:rsidP="00B34FCA">
      <w:pPr>
        <w:widowControl/>
        <w:ind w:firstLine="720"/>
        <w:rPr>
          <w:b/>
        </w:rPr>
      </w:pPr>
      <w:r w:rsidRPr="00B4555E">
        <w:rPr>
          <w:b/>
        </w:rPr>
        <w:t xml:space="preserve">Status: </w:t>
      </w:r>
      <w:r w:rsidR="00B57D2B">
        <w:rPr>
          <w:b/>
        </w:rPr>
        <w:t xml:space="preserve">Partially </w:t>
      </w:r>
      <w:r w:rsidR="00C400B7">
        <w:rPr>
          <w:b/>
        </w:rPr>
        <w:t>Met</w:t>
      </w:r>
    </w:p>
    <w:p w14:paraId="348977E7" w14:textId="77777777" w:rsidR="00F93F2C" w:rsidRDefault="00F93F2C" w:rsidP="00B34FCA">
      <w:pPr>
        <w:widowControl/>
        <w:ind w:left="720"/>
        <w:rPr>
          <w:szCs w:val="24"/>
        </w:rPr>
      </w:pPr>
      <w:r>
        <w:rPr>
          <w:szCs w:val="24"/>
        </w:rPr>
        <w:t>BGA’s overall performance has not yet met state standards</w:t>
      </w:r>
      <w:r w:rsidR="00C927E0">
        <w:rPr>
          <w:szCs w:val="24"/>
        </w:rPr>
        <w:t>.</w:t>
      </w:r>
      <w:r>
        <w:rPr>
          <w:szCs w:val="24"/>
        </w:rPr>
        <w:t xml:space="preserve"> </w:t>
      </w:r>
      <w:r w:rsidR="00C927E0">
        <w:rPr>
          <w:szCs w:val="24"/>
        </w:rPr>
        <w:t>T</w:t>
      </w:r>
      <w:r>
        <w:rPr>
          <w:szCs w:val="24"/>
        </w:rPr>
        <w:t>he school</w:t>
      </w:r>
      <w:r w:rsidR="00C927E0">
        <w:rPr>
          <w:szCs w:val="24"/>
        </w:rPr>
        <w:t>, however,</w:t>
      </w:r>
      <w:r>
        <w:rPr>
          <w:szCs w:val="24"/>
        </w:rPr>
        <w:t xml:space="preserve"> demonstrated</w:t>
      </w:r>
      <w:r w:rsidR="00366EA4">
        <w:rPr>
          <w:szCs w:val="24"/>
        </w:rPr>
        <w:t xml:space="preserve"> some</w:t>
      </w:r>
      <w:r>
        <w:rPr>
          <w:szCs w:val="24"/>
        </w:rPr>
        <w:t xml:space="preserve"> academic improvement in its 2015 grade 10 results. Please see the data charts below as well as full academic results in the attached SOR</w:t>
      </w:r>
      <w:r w:rsidR="00C927E0">
        <w:rPr>
          <w:szCs w:val="24"/>
        </w:rPr>
        <w:t>.</w:t>
      </w:r>
      <w:r w:rsidR="00366EA4" w:rsidRPr="00366EA4">
        <w:rPr>
          <w:rStyle w:val="FootnoteReference"/>
          <w:szCs w:val="24"/>
          <w:vertAlign w:val="superscript"/>
        </w:rPr>
        <w:footnoteReference w:id="2"/>
      </w:r>
      <w:r>
        <w:rPr>
          <w:szCs w:val="24"/>
        </w:rPr>
        <w:t xml:space="preserve"> </w:t>
      </w:r>
    </w:p>
    <w:p w14:paraId="348977E8" w14:textId="77777777" w:rsidR="00F93F2C" w:rsidRDefault="00F93F2C" w:rsidP="00B34FCA">
      <w:pPr>
        <w:widowControl/>
        <w:ind w:left="720"/>
        <w:rPr>
          <w:szCs w:val="24"/>
        </w:rPr>
      </w:pPr>
    </w:p>
    <w:p w14:paraId="348977E9" w14:textId="77777777" w:rsidR="00F93F2C" w:rsidRDefault="00F93F2C" w:rsidP="00B34FCA">
      <w:pPr>
        <w:widowControl/>
        <w:ind w:left="720"/>
        <w:rPr>
          <w:szCs w:val="24"/>
        </w:rPr>
      </w:pPr>
    </w:p>
    <w:p w14:paraId="348977EA" w14:textId="77777777" w:rsidR="00F93F2C" w:rsidRDefault="00F93F2C" w:rsidP="00B34FCA">
      <w:pPr>
        <w:widowControl/>
        <w:ind w:left="720"/>
        <w:rPr>
          <w:szCs w:val="24"/>
        </w:rPr>
      </w:pPr>
      <w:r>
        <w:rPr>
          <w:szCs w:val="24"/>
        </w:rPr>
        <w:t xml:space="preserve">The school’s </w:t>
      </w:r>
      <w:r w:rsidR="00C927E0" w:rsidRPr="00C927E0">
        <w:rPr>
          <w:szCs w:val="24"/>
        </w:rPr>
        <w:t xml:space="preserve">Composite Performance Index (CPI) </w:t>
      </w:r>
      <w:r w:rsidR="00C927E0">
        <w:rPr>
          <w:szCs w:val="24"/>
        </w:rPr>
        <w:t xml:space="preserve">for grade 10 </w:t>
      </w:r>
      <w:r>
        <w:rPr>
          <w:szCs w:val="24"/>
        </w:rPr>
        <w:t xml:space="preserve">improved </w:t>
      </w:r>
      <w:r w:rsidR="00C927E0">
        <w:rPr>
          <w:szCs w:val="24"/>
        </w:rPr>
        <w:t xml:space="preserve">for all subjects </w:t>
      </w:r>
      <w:r w:rsidR="00283132">
        <w:rPr>
          <w:szCs w:val="24"/>
        </w:rPr>
        <w:t>in 2015</w:t>
      </w:r>
      <w:r>
        <w:rPr>
          <w:szCs w:val="24"/>
        </w:rPr>
        <w:t xml:space="preserve">. The CPI </w:t>
      </w:r>
      <w:r w:rsidR="00283132">
        <w:rPr>
          <w:szCs w:val="24"/>
        </w:rPr>
        <w:t xml:space="preserve">was 90.5 in </w:t>
      </w:r>
      <w:r w:rsidR="0016402A">
        <w:rPr>
          <w:szCs w:val="24"/>
        </w:rPr>
        <w:t>English language arts (</w:t>
      </w:r>
      <w:r w:rsidR="00283132">
        <w:rPr>
          <w:szCs w:val="24"/>
        </w:rPr>
        <w:t>ELA</w:t>
      </w:r>
      <w:r w:rsidR="0016402A">
        <w:rPr>
          <w:szCs w:val="24"/>
        </w:rPr>
        <w:t>)</w:t>
      </w:r>
      <w:r w:rsidR="00283132">
        <w:rPr>
          <w:szCs w:val="24"/>
        </w:rPr>
        <w:t>, 78.0 in mathematics, and 65.7</w:t>
      </w:r>
      <w:r w:rsidRPr="00B36EB9">
        <w:rPr>
          <w:szCs w:val="24"/>
        </w:rPr>
        <w:t xml:space="preserve"> in science and technology/engineering</w:t>
      </w:r>
      <w:r w:rsidR="00283132">
        <w:rPr>
          <w:szCs w:val="24"/>
        </w:rPr>
        <w:t xml:space="preserve">, all showing improvement </w:t>
      </w:r>
      <w:r w:rsidR="001E554F">
        <w:rPr>
          <w:szCs w:val="24"/>
        </w:rPr>
        <w:t>from</w:t>
      </w:r>
      <w:r w:rsidR="00283132">
        <w:rPr>
          <w:szCs w:val="24"/>
        </w:rPr>
        <w:t xml:space="preserve"> the 2014 scores</w:t>
      </w:r>
      <w:r w:rsidRPr="00B36EB9">
        <w:rPr>
          <w:szCs w:val="24"/>
        </w:rPr>
        <w:t xml:space="preserve">. In 2015, </w:t>
      </w:r>
      <w:r>
        <w:rPr>
          <w:szCs w:val="24"/>
        </w:rPr>
        <w:t xml:space="preserve">proficiency rates </w:t>
      </w:r>
      <w:r w:rsidR="00283132">
        <w:rPr>
          <w:szCs w:val="24"/>
        </w:rPr>
        <w:t>increased in ELA and mathematics</w:t>
      </w:r>
      <w:r>
        <w:rPr>
          <w:szCs w:val="24"/>
        </w:rPr>
        <w:t xml:space="preserve">. In 2015, </w:t>
      </w:r>
      <w:r w:rsidR="00283132">
        <w:rPr>
          <w:szCs w:val="24"/>
        </w:rPr>
        <w:t>74</w:t>
      </w:r>
      <w:r w:rsidRPr="00B36EB9">
        <w:rPr>
          <w:szCs w:val="24"/>
        </w:rPr>
        <w:t xml:space="preserve"> percent of </w:t>
      </w:r>
      <w:r w:rsidR="00283132">
        <w:rPr>
          <w:szCs w:val="24"/>
        </w:rPr>
        <w:t xml:space="preserve">grade 10 </w:t>
      </w:r>
      <w:r w:rsidRPr="00B36EB9">
        <w:rPr>
          <w:szCs w:val="24"/>
        </w:rPr>
        <w:t xml:space="preserve">students </w:t>
      </w:r>
      <w:r w:rsidR="000F0AC1">
        <w:rPr>
          <w:szCs w:val="24"/>
        </w:rPr>
        <w:t xml:space="preserve">at BGA </w:t>
      </w:r>
      <w:r w:rsidRPr="00B36EB9">
        <w:rPr>
          <w:szCs w:val="24"/>
        </w:rPr>
        <w:t>scored in the Proficient and Advanced ca</w:t>
      </w:r>
      <w:r w:rsidR="00283132">
        <w:rPr>
          <w:szCs w:val="24"/>
        </w:rPr>
        <w:t>tegories on the ELA assessment</w:t>
      </w:r>
      <w:r w:rsidR="000F0AC1">
        <w:rPr>
          <w:szCs w:val="24"/>
        </w:rPr>
        <w:t>,</w:t>
      </w:r>
      <w:r w:rsidR="001E554F">
        <w:rPr>
          <w:szCs w:val="24"/>
        </w:rPr>
        <w:t xml:space="preserve"> compared to 73 percent in 2014. In 2015, </w:t>
      </w:r>
      <w:r w:rsidR="00ED66B5">
        <w:rPr>
          <w:szCs w:val="24"/>
        </w:rPr>
        <w:t>57</w:t>
      </w:r>
      <w:r w:rsidRPr="00B36EB9">
        <w:rPr>
          <w:szCs w:val="24"/>
        </w:rPr>
        <w:t xml:space="preserve"> percent </w:t>
      </w:r>
      <w:r w:rsidR="001E554F">
        <w:rPr>
          <w:szCs w:val="24"/>
        </w:rPr>
        <w:t xml:space="preserve">of students </w:t>
      </w:r>
      <w:r w:rsidRPr="00B36EB9">
        <w:rPr>
          <w:szCs w:val="24"/>
        </w:rPr>
        <w:t>scored Proficient and Advanced</w:t>
      </w:r>
      <w:r w:rsidR="00ED66B5">
        <w:rPr>
          <w:szCs w:val="24"/>
        </w:rPr>
        <w:t xml:space="preserve"> on the mathematics assessment</w:t>
      </w:r>
      <w:r w:rsidR="001E554F">
        <w:rPr>
          <w:szCs w:val="24"/>
        </w:rPr>
        <w:t>, compared to 46 percent in 2014</w:t>
      </w:r>
      <w:r w:rsidR="00ED66B5">
        <w:rPr>
          <w:szCs w:val="24"/>
        </w:rPr>
        <w:t xml:space="preserve">. </w:t>
      </w:r>
    </w:p>
    <w:p w14:paraId="348977EB" w14:textId="77777777" w:rsidR="00F93F2C" w:rsidRDefault="00F93F2C" w:rsidP="00B34FCA">
      <w:pPr>
        <w:widowControl/>
        <w:ind w:left="720"/>
        <w:rPr>
          <w:szCs w:val="24"/>
        </w:rPr>
      </w:pPr>
    </w:p>
    <w:p w14:paraId="348977EC" w14:textId="77777777" w:rsidR="00534E5F" w:rsidRDefault="000F0AC1" w:rsidP="00B34FCA">
      <w:pPr>
        <w:widowControl/>
        <w:ind w:left="720"/>
        <w:rPr>
          <w:szCs w:val="24"/>
        </w:rPr>
      </w:pPr>
      <w:r w:rsidRPr="000F0AC1">
        <w:rPr>
          <w:szCs w:val="24"/>
        </w:rPr>
        <w:t>Student Growth Percentile</w:t>
      </w:r>
      <w:r>
        <w:rPr>
          <w:szCs w:val="24"/>
        </w:rPr>
        <w:t>s</w:t>
      </w:r>
      <w:r w:rsidRPr="000F0AC1">
        <w:rPr>
          <w:szCs w:val="24"/>
        </w:rPr>
        <w:t xml:space="preserve"> (SGP)</w:t>
      </w:r>
      <w:r>
        <w:rPr>
          <w:szCs w:val="24"/>
        </w:rPr>
        <w:t xml:space="preserve"> </w:t>
      </w:r>
      <w:r w:rsidR="00F93F2C" w:rsidRPr="00B36EB9">
        <w:rPr>
          <w:szCs w:val="24"/>
        </w:rPr>
        <w:t xml:space="preserve">have been </w:t>
      </w:r>
      <w:r w:rsidR="00534E5F">
        <w:rPr>
          <w:szCs w:val="24"/>
        </w:rPr>
        <w:t xml:space="preserve">below target for </w:t>
      </w:r>
      <w:r w:rsidR="001235F2">
        <w:rPr>
          <w:szCs w:val="24"/>
        </w:rPr>
        <w:t xml:space="preserve">most </w:t>
      </w:r>
      <w:r w:rsidR="00534E5F">
        <w:rPr>
          <w:szCs w:val="24"/>
        </w:rPr>
        <w:t>of</w:t>
      </w:r>
      <w:r w:rsidR="00F93F2C">
        <w:rPr>
          <w:szCs w:val="24"/>
        </w:rPr>
        <w:t xml:space="preserve"> the charter term</w:t>
      </w:r>
      <w:r w:rsidR="00534E5F">
        <w:rPr>
          <w:szCs w:val="24"/>
        </w:rPr>
        <w:t xml:space="preserve"> but improved in 2015</w:t>
      </w:r>
      <w:r w:rsidR="002655C8">
        <w:rPr>
          <w:szCs w:val="24"/>
        </w:rPr>
        <w:t>.</w:t>
      </w:r>
    </w:p>
    <w:p w14:paraId="348977ED" w14:textId="77777777" w:rsidR="008679AF" w:rsidRDefault="008679AF" w:rsidP="00B34FCA">
      <w:pPr>
        <w:widowControl/>
        <w:ind w:left="720"/>
        <w:rPr>
          <w:szCs w:val="24"/>
        </w:rPr>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769"/>
        <w:gridCol w:w="769"/>
        <w:gridCol w:w="739"/>
        <w:gridCol w:w="739"/>
      </w:tblGrid>
      <w:tr w:rsidR="001E554F" w:rsidRPr="00971004" w14:paraId="348977EF" w14:textId="77777777" w:rsidTr="001E554F">
        <w:tc>
          <w:tcPr>
            <w:tcW w:w="0" w:type="auto"/>
            <w:gridSpan w:val="5"/>
            <w:shd w:val="clear" w:color="auto" w:fill="BFBFBF"/>
            <w:vAlign w:val="center"/>
          </w:tcPr>
          <w:p w14:paraId="348977EE" w14:textId="77777777" w:rsidR="001E554F" w:rsidRDefault="001E554F" w:rsidP="00B34FCA">
            <w:pPr>
              <w:widowControl/>
              <w:rPr>
                <w:b/>
                <w:bCs/>
                <w:i/>
                <w:szCs w:val="24"/>
              </w:rPr>
            </w:pPr>
            <w:r>
              <w:rPr>
                <w:b/>
                <w:bCs/>
                <w:i/>
                <w:szCs w:val="24"/>
              </w:rPr>
              <w:t xml:space="preserve">BGA </w:t>
            </w:r>
            <w:r w:rsidRPr="00971004">
              <w:rPr>
                <w:b/>
                <w:bCs/>
                <w:i/>
                <w:szCs w:val="24"/>
              </w:rPr>
              <w:t>Median Student Growth Percentile</w:t>
            </w:r>
          </w:p>
        </w:tc>
      </w:tr>
      <w:tr w:rsidR="001E554F" w:rsidRPr="0099642D" w14:paraId="348977F5" w14:textId="77777777" w:rsidTr="001E554F">
        <w:tc>
          <w:tcPr>
            <w:tcW w:w="0" w:type="auto"/>
            <w:shd w:val="clear" w:color="auto" w:fill="D9D9D9"/>
            <w:vAlign w:val="center"/>
          </w:tcPr>
          <w:p w14:paraId="348977F0" w14:textId="77777777" w:rsidR="001E554F" w:rsidRPr="00971004" w:rsidRDefault="001E554F" w:rsidP="00B34FCA">
            <w:pPr>
              <w:widowControl/>
              <w:rPr>
                <w:b/>
                <w:bCs/>
                <w:szCs w:val="24"/>
              </w:rPr>
            </w:pPr>
            <w:r w:rsidRPr="00971004">
              <w:rPr>
                <w:b/>
                <w:bCs/>
                <w:szCs w:val="24"/>
              </w:rPr>
              <w:t>Year</w:t>
            </w:r>
          </w:p>
        </w:tc>
        <w:tc>
          <w:tcPr>
            <w:tcW w:w="769" w:type="dxa"/>
            <w:shd w:val="clear" w:color="auto" w:fill="D9D9D9"/>
            <w:vAlign w:val="center"/>
          </w:tcPr>
          <w:p w14:paraId="348977F1" w14:textId="77777777" w:rsidR="001E554F" w:rsidRPr="0099642D" w:rsidRDefault="001E554F" w:rsidP="00B34FCA">
            <w:pPr>
              <w:widowControl/>
              <w:jc w:val="center"/>
              <w:rPr>
                <w:b/>
                <w:bCs/>
                <w:szCs w:val="24"/>
              </w:rPr>
            </w:pPr>
            <w:r w:rsidRPr="0099642D">
              <w:rPr>
                <w:b/>
                <w:bCs/>
                <w:szCs w:val="24"/>
              </w:rPr>
              <w:t>201</w:t>
            </w:r>
            <w:r>
              <w:rPr>
                <w:b/>
                <w:bCs/>
                <w:szCs w:val="24"/>
              </w:rPr>
              <w:t>2</w:t>
            </w:r>
          </w:p>
        </w:tc>
        <w:tc>
          <w:tcPr>
            <w:tcW w:w="769" w:type="dxa"/>
            <w:shd w:val="clear" w:color="auto" w:fill="D9D9D9"/>
            <w:vAlign w:val="center"/>
          </w:tcPr>
          <w:p w14:paraId="348977F2" w14:textId="77777777" w:rsidR="001E554F" w:rsidRPr="0099642D" w:rsidRDefault="001E554F" w:rsidP="00B34FCA">
            <w:pPr>
              <w:widowControl/>
              <w:jc w:val="center"/>
              <w:rPr>
                <w:b/>
                <w:bCs/>
                <w:szCs w:val="24"/>
              </w:rPr>
            </w:pPr>
            <w:r w:rsidRPr="0099642D">
              <w:rPr>
                <w:b/>
                <w:bCs/>
                <w:szCs w:val="24"/>
              </w:rPr>
              <w:t>201</w:t>
            </w:r>
            <w:r>
              <w:rPr>
                <w:b/>
                <w:bCs/>
                <w:szCs w:val="24"/>
              </w:rPr>
              <w:t>3</w:t>
            </w:r>
          </w:p>
        </w:tc>
        <w:tc>
          <w:tcPr>
            <w:tcW w:w="739" w:type="dxa"/>
            <w:shd w:val="clear" w:color="auto" w:fill="D9D9D9"/>
          </w:tcPr>
          <w:p w14:paraId="348977F3" w14:textId="77777777" w:rsidR="001E554F" w:rsidRPr="0099642D" w:rsidRDefault="001E554F" w:rsidP="00B34FCA">
            <w:pPr>
              <w:widowControl/>
              <w:jc w:val="center"/>
              <w:rPr>
                <w:b/>
                <w:bCs/>
                <w:szCs w:val="24"/>
              </w:rPr>
            </w:pPr>
            <w:r>
              <w:rPr>
                <w:b/>
                <w:bCs/>
                <w:szCs w:val="24"/>
              </w:rPr>
              <w:t>2014</w:t>
            </w:r>
          </w:p>
        </w:tc>
        <w:tc>
          <w:tcPr>
            <w:tcW w:w="739" w:type="dxa"/>
            <w:shd w:val="clear" w:color="auto" w:fill="D9D9D9"/>
          </w:tcPr>
          <w:p w14:paraId="348977F4" w14:textId="77777777" w:rsidR="001E554F" w:rsidRDefault="001E554F" w:rsidP="00B34FCA">
            <w:pPr>
              <w:widowControl/>
              <w:jc w:val="center"/>
              <w:rPr>
                <w:b/>
                <w:bCs/>
                <w:szCs w:val="24"/>
              </w:rPr>
            </w:pPr>
            <w:r>
              <w:rPr>
                <w:b/>
                <w:bCs/>
                <w:szCs w:val="24"/>
              </w:rPr>
              <w:t>2015</w:t>
            </w:r>
          </w:p>
        </w:tc>
      </w:tr>
      <w:tr w:rsidR="001E554F" w:rsidRPr="00971004" w14:paraId="348977FB" w14:textId="77777777" w:rsidTr="001E554F">
        <w:tc>
          <w:tcPr>
            <w:tcW w:w="0" w:type="auto"/>
            <w:shd w:val="clear" w:color="auto" w:fill="D9D9D9"/>
            <w:vAlign w:val="center"/>
          </w:tcPr>
          <w:p w14:paraId="348977F6" w14:textId="77777777" w:rsidR="001E554F" w:rsidRPr="00971004" w:rsidRDefault="001E554F" w:rsidP="00B34FCA">
            <w:pPr>
              <w:widowControl/>
              <w:rPr>
                <w:b/>
                <w:bCs/>
                <w:szCs w:val="24"/>
              </w:rPr>
            </w:pPr>
            <w:r w:rsidRPr="00971004">
              <w:rPr>
                <w:b/>
                <w:bCs/>
                <w:szCs w:val="24"/>
              </w:rPr>
              <w:t>English Language Arts</w:t>
            </w:r>
          </w:p>
        </w:tc>
        <w:tc>
          <w:tcPr>
            <w:tcW w:w="769" w:type="dxa"/>
          </w:tcPr>
          <w:p w14:paraId="348977F7" w14:textId="77777777" w:rsidR="001E554F" w:rsidRPr="0099642D" w:rsidRDefault="001E554F" w:rsidP="00B34FCA">
            <w:pPr>
              <w:widowControl/>
              <w:jc w:val="center"/>
              <w:rPr>
                <w:bCs/>
                <w:szCs w:val="24"/>
              </w:rPr>
            </w:pPr>
            <w:r>
              <w:rPr>
                <w:bCs/>
                <w:szCs w:val="24"/>
              </w:rPr>
              <w:t>27.0</w:t>
            </w:r>
          </w:p>
        </w:tc>
        <w:tc>
          <w:tcPr>
            <w:tcW w:w="769" w:type="dxa"/>
          </w:tcPr>
          <w:p w14:paraId="348977F8" w14:textId="77777777" w:rsidR="001E554F" w:rsidRPr="0099642D" w:rsidRDefault="001E554F" w:rsidP="00B34FCA">
            <w:pPr>
              <w:widowControl/>
              <w:jc w:val="center"/>
              <w:rPr>
                <w:bCs/>
                <w:szCs w:val="24"/>
              </w:rPr>
            </w:pPr>
            <w:r>
              <w:rPr>
                <w:bCs/>
                <w:szCs w:val="24"/>
              </w:rPr>
              <w:t>60.0</w:t>
            </w:r>
          </w:p>
        </w:tc>
        <w:tc>
          <w:tcPr>
            <w:tcW w:w="739" w:type="dxa"/>
          </w:tcPr>
          <w:p w14:paraId="348977F9" w14:textId="77777777" w:rsidR="001E554F" w:rsidRPr="0099642D" w:rsidRDefault="001E554F" w:rsidP="00B34FCA">
            <w:pPr>
              <w:widowControl/>
              <w:jc w:val="center"/>
              <w:rPr>
                <w:bCs/>
                <w:szCs w:val="24"/>
              </w:rPr>
            </w:pPr>
            <w:r>
              <w:rPr>
                <w:bCs/>
                <w:szCs w:val="24"/>
              </w:rPr>
              <w:t>37.5</w:t>
            </w:r>
          </w:p>
        </w:tc>
        <w:tc>
          <w:tcPr>
            <w:tcW w:w="739" w:type="dxa"/>
          </w:tcPr>
          <w:p w14:paraId="348977FA" w14:textId="77777777" w:rsidR="001E554F" w:rsidRDefault="001E554F" w:rsidP="00B34FCA">
            <w:pPr>
              <w:widowControl/>
              <w:jc w:val="center"/>
              <w:rPr>
                <w:bCs/>
                <w:szCs w:val="24"/>
              </w:rPr>
            </w:pPr>
            <w:r>
              <w:rPr>
                <w:bCs/>
                <w:szCs w:val="24"/>
              </w:rPr>
              <w:t>43.5</w:t>
            </w:r>
          </w:p>
        </w:tc>
      </w:tr>
      <w:tr w:rsidR="001E554F" w:rsidRPr="00971004" w14:paraId="34897801" w14:textId="77777777" w:rsidTr="001E554F">
        <w:tc>
          <w:tcPr>
            <w:tcW w:w="0" w:type="auto"/>
            <w:shd w:val="clear" w:color="auto" w:fill="D9D9D9"/>
            <w:vAlign w:val="center"/>
          </w:tcPr>
          <w:p w14:paraId="348977FC" w14:textId="77777777" w:rsidR="001E554F" w:rsidRPr="00971004" w:rsidRDefault="001E554F" w:rsidP="00B34FCA">
            <w:pPr>
              <w:widowControl/>
              <w:rPr>
                <w:b/>
                <w:bCs/>
                <w:szCs w:val="24"/>
              </w:rPr>
            </w:pPr>
            <w:r w:rsidRPr="00971004">
              <w:rPr>
                <w:b/>
                <w:bCs/>
                <w:szCs w:val="24"/>
              </w:rPr>
              <w:t>Mathematics</w:t>
            </w:r>
          </w:p>
        </w:tc>
        <w:tc>
          <w:tcPr>
            <w:tcW w:w="769" w:type="dxa"/>
          </w:tcPr>
          <w:p w14:paraId="348977FD" w14:textId="77777777" w:rsidR="001E554F" w:rsidRPr="0099642D" w:rsidRDefault="001E554F" w:rsidP="00B34FCA">
            <w:pPr>
              <w:widowControl/>
              <w:jc w:val="center"/>
              <w:rPr>
                <w:bCs/>
                <w:szCs w:val="24"/>
              </w:rPr>
            </w:pPr>
            <w:r>
              <w:rPr>
                <w:bCs/>
                <w:szCs w:val="24"/>
              </w:rPr>
              <w:t>27.0</w:t>
            </w:r>
          </w:p>
        </w:tc>
        <w:tc>
          <w:tcPr>
            <w:tcW w:w="769" w:type="dxa"/>
          </w:tcPr>
          <w:p w14:paraId="348977FE" w14:textId="77777777" w:rsidR="001E554F" w:rsidRPr="0099642D" w:rsidRDefault="001E554F" w:rsidP="00B34FCA">
            <w:pPr>
              <w:widowControl/>
              <w:jc w:val="center"/>
              <w:rPr>
                <w:bCs/>
                <w:szCs w:val="24"/>
              </w:rPr>
            </w:pPr>
            <w:r>
              <w:rPr>
                <w:bCs/>
                <w:szCs w:val="24"/>
              </w:rPr>
              <w:t>31.0</w:t>
            </w:r>
          </w:p>
        </w:tc>
        <w:tc>
          <w:tcPr>
            <w:tcW w:w="739" w:type="dxa"/>
          </w:tcPr>
          <w:p w14:paraId="348977FF" w14:textId="77777777" w:rsidR="001E554F" w:rsidRPr="0099642D" w:rsidRDefault="001E554F" w:rsidP="00B34FCA">
            <w:pPr>
              <w:widowControl/>
              <w:jc w:val="center"/>
              <w:rPr>
                <w:bCs/>
                <w:szCs w:val="24"/>
              </w:rPr>
            </w:pPr>
            <w:r>
              <w:rPr>
                <w:bCs/>
                <w:szCs w:val="24"/>
              </w:rPr>
              <w:t>26.0</w:t>
            </w:r>
          </w:p>
        </w:tc>
        <w:tc>
          <w:tcPr>
            <w:tcW w:w="739" w:type="dxa"/>
          </w:tcPr>
          <w:p w14:paraId="34897800" w14:textId="77777777" w:rsidR="001E554F" w:rsidRDefault="001E554F" w:rsidP="00B34FCA">
            <w:pPr>
              <w:widowControl/>
              <w:jc w:val="center"/>
              <w:rPr>
                <w:bCs/>
                <w:szCs w:val="24"/>
              </w:rPr>
            </w:pPr>
            <w:r>
              <w:rPr>
                <w:bCs/>
                <w:szCs w:val="24"/>
              </w:rPr>
              <w:t>36.5</w:t>
            </w:r>
          </w:p>
        </w:tc>
      </w:tr>
    </w:tbl>
    <w:p w14:paraId="34897802" w14:textId="77777777" w:rsidR="001E554F" w:rsidRDefault="001E554F" w:rsidP="00B34FCA">
      <w:pPr>
        <w:widowControl/>
        <w:ind w:left="720"/>
        <w:rPr>
          <w:szCs w:val="24"/>
        </w:rPr>
      </w:pPr>
    </w:p>
    <w:p w14:paraId="34897803" w14:textId="77777777" w:rsidR="001E554F" w:rsidRDefault="001E554F" w:rsidP="00B34FCA">
      <w:pPr>
        <w:widowControl/>
        <w:ind w:left="720"/>
        <w:rPr>
          <w:szCs w:val="24"/>
        </w:rPr>
      </w:pPr>
    </w:p>
    <w:p w14:paraId="34897804" w14:textId="77777777" w:rsidR="001E554F" w:rsidRDefault="001E554F" w:rsidP="00B34FCA">
      <w:pPr>
        <w:widowControl/>
        <w:ind w:left="720"/>
        <w:rPr>
          <w:szCs w:val="24"/>
        </w:rPr>
      </w:pPr>
    </w:p>
    <w:p w14:paraId="34897805" w14:textId="77777777" w:rsidR="001E554F" w:rsidRDefault="001E554F" w:rsidP="00B34FCA">
      <w:pPr>
        <w:widowControl/>
        <w:ind w:left="720"/>
        <w:rPr>
          <w:szCs w:val="24"/>
        </w:rPr>
      </w:pPr>
    </w:p>
    <w:p w14:paraId="34897806" w14:textId="77777777" w:rsidR="001E554F" w:rsidRDefault="001E554F" w:rsidP="00B34FCA">
      <w:pPr>
        <w:widowControl/>
        <w:ind w:left="720"/>
        <w:rPr>
          <w:szCs w:val="24"/>
        </w:rPr>
      </w:pPr>
    </w:p>
    <w:p w14:paraId="34897807" w14:textId="77777777" w:rsidR="00534E5F" w:rsidRDefault="00534E5F" w:rsidP="00B34FCA">
      <w:pPr>
        <w:widowControl/>
        <w:ind w:left="720"/>
        <w:rPr>
          <w:szCs w:val="24"/>
        </w:rPr>
      </w:pPr>
    </w:p>
    <w:p w14:paraId="34897808" w14:textId="77777777" w:rsidR="008679AF" w:rsidRDefault="008679AF" w:rsidP="00B34FCA">
      <w:pPr>
        <w:widowControl/>
        <w:ind w:left="720"/>
        <w:rPr>
          <w:i/>
          <w:szCs w:val="24"/>
        </w:rPr>
      </w:pPr>
    </w:p>
    <w:p w14:paraId="34897809" w14:textId="77777777" w:rsidR="00534E5F" w:rsidRPr="00534E5F" w:rsidRDefault="00534E5F" w:rsidP="00B34FCA">
      <w:pPr>
        <w:widowControl/>
        <w:ind w:left="720"/>
        <w:rPr>
          <w:b/>
          <w:szCs w:val="24"/>
        </w:rPr>
      </w:pPr>
      <w:r>
        <w:rPr>
          <w:szCs w:val="24"/>
        </w:rPr>
        <w:t xml:space="preserve">BGA has greatly improved </w:t>
      </w:r>
      <w:r w:rsidR="000F0AC1">
        <w:rPr>
          <w:szCs w:val="24"/>
        </w:rPr>
        <w:t xml:space="preserve">its graduation rates when compared to the graduation rates of former Odyssey High School, which were 55.3 percent at 4 years and 58.1 percent </w:t>
      </w:r>
      <w:r w:rsidR="00C1638E">
        <w:rPr>
          <w:szCs w:val="24"/>
        </w:rPr>
        <w:t>at 5 years</w:t>
      </w:r>
      <w:r>
        <w:rPr>
          <w:szCs w:val="24"/>
        </w:rPr>
        <w:t xml:space="preserve">. </w:t>
      </w:r>
      <w:r w:rsidRPr="00534E5F">
        <w:rPr>
          <w:szCs w:val="24"/>
        </w:rPr>
        <w:t xml:space="preserve">The school has not met state accountability targets of 80 percent and 85 percent for 4-year and 5-year graduation rates, respectively; the 4-year graduation rate for the 2014 cohort was 75 percent, and the 5-year graduation rate was 77.6 percent for the 2013 cohort. BGA’s dropout rate </w:t>
      </w:r>
      <w:r w:rsidR="00C1638E">
        <w:rPr>
          <w:szCs w:val="24"/>
        </w:rPr>
        <w:t xml:space="preserve">in 2014 </w:t>
      </w:r>
      <w:r w:rsidRPr="00534E5F">
        <w:rPr>
          <w:szCs w:val="24"/>
        </w:rPr>
        <w:t>was 3.2 percent, which was better than its annual target of 6.3 and better than its six</w:t>
      </w:r>
      <w:r w:rsidR="0087679B">
        <w:rPr>
          <w:szCs w:val="24"/>
        </w:rPr>
        <w:t>-</w:t>
      </w:r>
      <w:r w:rsidRPr="00534E5F">
        <w:rPr>
          <w:szCs w:val="24"/>
        </w:rPr>
        <w:t>year goal of 4.7 percent.</w:t>
      </w:r>
      <w:r>
        <w:rPr>
          <w:szCs w:val="24"/>
        </w:rPr>
        <w:t xml:space="preserve"> Odyssey High School’</w:t>
      </w:r>
      <w:r w:rsidR="00521093">
        <w:rPr>
          <w:szCs w:val="24"/>
        </w:rPr>
        <w:t>s drop-</w:t>
      </w:r>
      <w:r>
        <w:rPr>
          <w:szCs w:val="24"/>
        </w:rPr>
        <w:t>out rate was 13.5 percent in 2011, the year before the school was taken over by BGA.</w:t>
      </w:r>
    </w:p>
    <w:p w14:paraId="3489780A" w14:textId="77777777" w:rsidR="0012524E" w:rsidRDefault="0012524E" w:rsidP="00B34FCA">
      <w:pPr>
        <w:widowControl/>
        <w:ind w:left="720"/>
        <w:rPr>
          <w:szCs w:val="24"/>
        </w:rPr>
      </w:pPr>
    </w:p>
    <w:p w14:paraId="3489780B" w14:textId="77777777" w:rsidR="0012524E" w:rsidRPr="0012524E" w:rsidRDefault="0064533F" w:rsidP="00B34FCA">
      <w:pPr>
        <w:widowControl/>
        <w:ind w:left="720"/>
        <w:rPr>
          <w:szCs w:val="24"/>
        </w:rPr>
      </w:pPr>
      <w:r>
        <w:rPr>
          <w:szCs w:val="24"/>
        </w:rPr>
        <w:t xml:space="preserve">When compared to </w:t>
      </w:r>
      <w:r w:rsidR="00FE744F">
        <w:rPr>
          <w:szCs w:val="24"/>
        </w:rPr>
        <w:t xml:space="preserve">other middle-high, non-exam schools in Boston, BGA has the highest </w:t>
      </w:r>
      <w:r w:rsidR="00C1638E">
        <w:rPr>
          <w:szCs w:val="24"/>
        </w:rPr>
        <w:t>Progress and Performance Index (</w:t>
      </w:r>
      <w:r w:rsidR="00FE744F">
        <w:rPr>
          <w:szCs w:val="24"/>
        </w:rPr>
        <w:t>PPI</w:t>
      </w:r>
      <w:r w:rsidR="00C1638E">
        <w:rPr>
          <w:szCs w:val="24"/>
        </w:rPr>
        <w:t>) in 2015</w:t>
      </w:r>
      <w:r w:rsidR="00FE744F">
        <w:rPr>
          <w:szCs w:val="24"/>
        </w:rPr>
        <w:t xml:space="preserve"> for the high needs subgroup. </w:t>
      </w:r>
      <w:r w:rsidR="0096373C">
        <w:rPr>
          <w:szCs w:val="24"/>
        </w:rPr>
        <w:t>Additionally, when compared to the academic results of the Odyssey High School, BGA has greatly increased the percent of students reaching proficiency. In 2011, 53 percent of Odyssey’s students reached proficiency in ELA</w:t>
      </w:r>
      <w:r w:rsidR="00C1638E">
        <w:rPr>
          <w:szCs w:val="24"/>
        </w:rPr>
        <w:t>,</w:t>
      </w:r>
      <w:r w:rsidR="0096373C">
        <w:rPr>
          <w:szCs w:val="24"/>
        </w:rPr>
        <w:t xml:space="preserve"> and 38 percent </w:t>
      </w:r>
      <w:r w:rsidR="00C1638E">
        <w:rPr>
          <w:szCs w:val="24"/>
        </w:rPr>
        <w:t>were proficient in</w:t>
      </w:r>
      <w:r w:rsidR="0096373C">
        <w:rPr>
          <w:szCs w:val="24"/>
        </w:rPr>
        <w:t xml:space="preserve"> mathematics. By 2015, 74 percent of BGA students reached proficiency in ELA</w:t>
      </w:r>
      <w:r w:rsidR="00C1638E">
        <w:rPr>
          <w:szCs w:val="24"/>
        </w:rPr>
        <w:t>,</w:t>
      </w:r>
      <w:r w:rsidR="0096373C">
        <w:rPr>
          <w:szCs w:val="24"/>
        </w:rPr>
        <w:t xml:space="preserve"> and 57 percent were proficient in mathematics. </w:t>
      </w:r>
      <w:r w:rsidR="00FE744F">
        <w:rPr>
          <w:szCs w:val="24"/>
        </w:rPr>
        <w:t>The school provides other comparative data in its response to the SOR</w:t>
      </w:r>
      <w:r w:rsidR="0096373C">
        <w:rPr>
          <w:szCs w:val="24"/>
        </w:rPr>
        <w:t xml:space="preserve"> (attached)</w:t>
      </w:r>
      <w:r w:rsidR="00FE744F">
        <w:rPr>
          <w:szCs w:val="24"/>
        </w:rPr>
        <w:t xml:space="preserve">.  </w:t>
      </w:r>
    </w:p>
    <w:p w14:paraId="3489780C" w14:textId="77777777" w:rsidR="00534E5F" w:rsidRDefault="00521093" w:rsidP="00B34FCA">
      <w:pPr>
        <w:widowControl/>
        <w:ind w:left="720"/>
        <w:rPr>
          <w:szCs w:val="24"/>
        </w:rPr>
      </w:pPr>
      <w:r>
        <w:rPr>
          <w:szCs w:val="24"/>
        </w:rPr>
        <w:br w:type="page"/>
      </w:r>
    </w:p>
    <w:p w14:paraId="3489780D" w14:textId="77777777" w:rsidR="00114B7E" w:rsidRPr="008D6942" w:rsidRDefault="00114B7E" w:rsidP="00B34FCA">
      <w:pPr>
        <w:pStyle w:val="ColorfulList-Accent11"/>
        <w:shd w:val="clear" w:color="auto" w:fill="EEECE1"/>
        <w:ind w:left="0"/>
        <w:jc w:val="center"/>
        <w:rPr>
          <w:b/>
          <w:color w:val="000000"/>
          <w:sz w:val="28"/>
        </w:rPr>
      </w:pPr>
      <w:r w:rsidRPr="008D6942">
        <w:rPr>
          <w:b/>
          <w:color w:val="000000"/>
          <w:sz w:val="28"/>
        </w:rPr>
        <w:lastRenderedPageBreak/>
        <w:t>ELA CPI Chart</w:t>
      </w:r>
    </w:p>
    <w:p w14:paraId="3489780E" w14:textId="77777777" w:rsidR="00114B7E" w:rsidRDefault="00114B7E" w:rsidP="00B34FCA">
      <w:pPr>
        <w:pStyle w:val="Default"/>
        <w:jc w:val="center"/>
        <w:rPr>
          <w:b/>
        </w:rPr>
      </w:pPr>
    </w:p>
    <w:p w14:paraId="3489780F" w14:textId="77777777" w:rsidR="00141404" w:rsidRDefault="0060554E" w:rsidP="00B34FCA">
      <w:pPr>
        <w:widowControl/>
        <w:ind w:firstLine="720"/>
        <w:rPr>
          <w:noProof/>
          <w:snapToGrid/>
        </w:rPr>
      </w:pPr>
      <w:r>
        <w:rPr>
          <w:noProof/>
          <w:snapToGrid/>
        </w:rPr>
        <w:drawing>
          <wp:inline distT="0" distB="0" distL="0" distR="0" wp14:anchorId="348978B3" wp14:editId="348978B4">
            <wp:extent cx="4547870" cy="3117215"/>
            <wp:effectExtent l="19050" t="0" r="5080" b="0"/>
            <wp:docPr id="1" name="Chart 1" descr="ELA CPI Chart for Boston Green Academy Horace Mann&#10;&#10;Year         2012  2013   2014   2015   2016  2017&#10;ELA CPI    84.1   85.7   87.3    88.9&#10;Narrowing           95.3    98.6   90.5    90.5    92.1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descr="ELA CPI Chart for Boston Green Academy Horace Mann&#10;&#10;Year         2012  2013   2014   2015   2016  2017&#10;ELA CPI    84.1   85.7   87.3    88.9&#10;Narrowing           95.3    98.6   90.5    90.5    92.1 &#10;"/>
                    <pic:cNvPicPr>
                      <a:picLocks noChangeArrowheads="1"/>
                    </pic:cNvPicPr>
                  </pic:nvPicPr>
                  <pic:blipFill>
                    <a:blip r:embed="rId18" cstate="print"/>
                    <a:srcRect/>
                    <a:stretch>
                      <a:fillRect/>
                    </a:stretch>
                  </pic:blipFill>
                  <pic:spPr bwMode="auto">
                    <a:xfrm>
                      <a:off x="0" y="0"/>
                      <a:ext cx="4547870" cy="3117215"/>
                    </a:xfrm>
                    <a:prstGeom prst="rect">
                      <a:avLst/>
                    </a:prstGeom>
                    <a:noFill/>
                    <a:ln w="9525">
                      <a:noFill/>
                      <a:miter lim="800000"/>
                      <a:headEnd/>
                      <a:tailEnd/>
                    </a:ln>
                  </pic:spPr>
                </pic:pic>
              </a:graphicData>
            </a:graphic>
          </wp:inline>
        </w:drawing>
      </w:r>
    </w:p>
    <w:p w14:paraId="34897810" w14:textId="77777777" w:rsidR="00011E33" w:rsidRDefault="00011E33" w:rsidP="00B34FCA">
      <w:pPr>
        <w:widowControl/>
        <w:ind w:firstLine="720"/>
        <w:rPr>
          <w:noProof/>
          <w:snapToGrid/>
        </w:rPr>
      </w:pPr>
    </w:p>
    <w:p w14:paraId="34897811" w14:textId="77777777" w:rsidR="00114B7E" w:rsidRPr="008D6942" w:rsidRDefault="00114B7E" w:rsidP="00B34FCA">
      <w:pPr>
        <w:pStyle w:val="ColorfulList-Accent11"/>
        <w:shd w:val="clear" w:color="auto" w:fill="EEECE1"/>
        <w:ind w:left="0"/>
        <w:jc w:val="center"/>
        <w:rPr>
          <w:b/>
          <w:color w:val="000000"/>
          <w:sz w:val="28"/>
        </w:rPr>
      </w:pPr>
      <w:r>
        <w:rPr>
          <w:b/>
          <w:color w:val="000000"/>
          <w:sz w:val="28"/>
        </w:rPr>
        <w:t>Mathematics</w:t>
      </w:r>
      <w:r w:rsidRPr="008D6942">
        <w:rPr>
          <w:b/>
          <w:color w:val="000000"/>
          <w:sz w:val="28"/>
        </w:rPr>
        <w:t xml:space="preserve"> CPI Chart</w:t>
      </w:r>
    </w:p>
    <w:p w14:paraId="34897812" w14:textId="77777777" w:rsidR="00114B7E" w:rsidRDefault="00114B7E" w:rsidP="00B34FCA">
      <w:pPr>
        <w:widowControl/>
        <w:rPr>
          <w:noProof/>
          <w:snapToGrid/>
        </w:rPr>
      </w:pPr>
    </w:p>
    <w:p w14:paraId="34897813" w14:textId="77777777" w:rsidR="00141404" w:rsidRDefault="0060554E" w:rsidP="00B34FCA">
      <w:pPr>
        <w:widowControl/>
        <w:ind w:firstLine="720"/>
        <w:rPr>
          <w:noProof/>
          <w:snapToGrid/>
        </w:rPr>
      </w:pPr>
      <w:r>
        <w:rPr>
          <w:noProof/>
          <w:snapToGrid/>
        </w:rPr>
        <w:drawing>
          <wp:inline distT="0" distB="0" distL="0" distR="0" wp14:anchorId="348978B5" wp14:editId="348978B6">
            <wp:extent cx="4547870" cy="3117215"/>
            <wp:effectExtent l="19050" t="0" r="5080" b="0"/>
            <wp:docPr id="2" name="Chart 2" descr="Mathematics CPI Chart for Boston Green Academy Horace Mann&#10;&#10;Year         2012  2013   2014   2015   2016  2017&#10;Math CPI    69.7   74.7    72.1   78.0 &#10;Narrowing            72.7   75.8   78.8   81.8   84.9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descr="Mathematics CPI Chart for Boston Green Academy Horace Mann&#10;&#10;Year         2012  2013   2014   2015   2016  2017&#10;Math CPI    69.7   74.7    72.1   78.0 &#10;Narrowing            72.7   75.8   78.8   81.8   84.9   &#10;"/>
                    <pic:cNvPicPr>
                      <a:picLocks noChangeArrowheads="1"/>
                    </pic:cNvPicPr>
                  </pic:nvPicPr>
                  <pic:blipFill>
                    <a:blip r:embed="rId19" cstate="print"/>
                    <a:srcRect/>
                    <a:stretch>
                      <a:fillRect/>
                    </a:stretch>
                  </pic:blipFill>
                  <pic:spPr bwMode="auto">
                    <a:xfrm>
                      <a:off x="0" y="0"/>
                      <a:ext cx="4547870" cy="3117215"/>
                    </a:xfrm>
                    <a:prstGeom prst="rect">
                      <a:avLst/>
                    </a:prstGeom>
                    <a:noFill/>
                    <a:ln w="9525">
                      <a:noFill/>
                      <a:miter lim="800000"/>
                      <a:headEnd/>
                      <a:tailEnd/>
                    </a:ln>
                  </pic:spPr>
                </pic:pic>
              </a:graphicData>
            </a:graphic>
          </wp:inline>
        </w:drawing>
      </w:r>
    </w:p>
    <w:p w14:paraId="34897814" w14:textId="77777777" w:rsidR="00141404" w:rsidRDefault="00141404" w:rsidP="00B34FCA">
      <w:pPr>
        <w:widowControl/>
        <w:ind w:firstLine="720"/>
        <w:rPr>
          <w:noProof/>
          <w:snapToGrid/>
        </w:rPr>
      </w:pPr>
    </w:p>
    <w:p w14:paraId="34897815" w14:textId="77777777" w:rsidR="00114B7E" w:rsidRDefault="00114B7E" w:rsidP="00B34FCA">
      <w:pPr>
        <w:widowControl/>
        <w:ind w:firstLine="720"/>
        <w:rPr>
          <w:noProof/>
          <w:snapToGrid/>
        </w:rPr>
      </w:pPr>
    </w:p>
    <w:p w14:paraId="34897816" w14:textId="77777777" w:rsidR="00114B7E" w:rsidRPr="008D6942" w:rsidRDefault="00114B7E" w:rsidP="00B34FCA">
      <w:pPr>
        <w:pStyle w:val="ColorfulList-Accent11"/>
        <w:shd w:val="clear" w:color="auto" w:fill="EEECE1"/>
        <w:ind w:left="0"/>
        <w:jc w:val="center"/>
        <w:rPr>
          <w:b/>
          <w:color w:val="000000"/>
          <w:sz w:val="28"/>
        </w:rPr>
      </w:pPr>
      <w:r>
        <w:rPr>
          <w:b/>
          <w:color w:val="000000"/>
          <w:sz w:val="28"/>
        </w:rPr>
        <w:t>Science</w:t>
      </w:r>
      <w:r w:rsidRPr="008D6942">
        <w:rPr>
          <w:b/>
          <w:color w:val="000000"/>
          <w:sz w:val="28"/>
        </w:rPr>
        <w:t xml:space="preserve"> CPI Chart</w:t>
      </w:r>
    </w:p>
    <w:p w14:paraId="34897817" w14:textId="77777777" w:rsidR="00114B7E" w:rsidRDefault="00114B7E" w:rsidP="00B34FCA">
      <w:pPr>
        <w:widowControl/>
        <w:rPr>
          <w:noProof/>
          <w:snapToGrid/>
        </w:rPr>
      </w:pPr>
    </w:p>
    <w:p w14:paraId="34897818" w14:textId="77777777" w:rsidR="00141404" w:rsidRPr="00141404" w:rsidRDefault="0060554E" w:rsidP="00B34FCA">
      <w:pPr>
        <w:widowControl/>
        <w:ind w:firstLine="720"/>
      </w:pPr>
      <w:bookmarkStart w:id="4" w:name="_GoBack"/>
      <w:r>
        <w:rPr>
          <w:noProof/>
          <w:snapToGrid/>
        </w:rPr>
        <w:drawing>
          <wp:inline distT="0" distB="0" distL="0" distR="0" wp14:anchorId="348978B7" wp14:editId="348978B8">
            <wp:extent cx="4547870" cy="3117215"/>
            <wp:effectExtent l="19050" t="0" r="5080" b="0"/>
            <wp:docPr id="3" name="Chart 3" descr="ELA CPI Chart for Boston Green Academy Horace Mann&#10;&#10;Year              2013   2014   2015   &#10;Science CPI    78.6   62.9   65.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descr="ELA CPI Chart for Boston Green Academy Horace Mann&#10;&#10;Year              2013   2014   2015   &#10;Science CPI    78.6   62.9   65.7&#10;"/>
                    <pic:cNvPicPr>
                      <a:picLocks noChangeArrowheads="1"/>
                    </pic:cNvPicPr>
                  </pic:nvPicPr>
                  <pic:blipFill>
                    <a:blip r:embed="rId20" cstate="print"/>
                    <a:srcRect/>
                    <a:stretch>
                      <a:fillRect/>
                    </a:stretch>
                  </pic:blipFill>
                  <pic:spPr bwMode="auto">
                    <a:xfrm>
                      <a:off x="0" y="0"/>
                      <a:ext cx="4547870" cy="3117215"/>
                    </a:xfrm>
                    <a:prstGeom prst="rect">
                      <a:avLst/>
                    </a:prstGeom>
                    <a:noFill/>
                    <a:ln w="9525">
                      <a:noFill/>
                      <a:miter lim="800000"/>
                      <a:headEnd/>
                      <a:tailEnd/>
                    </a:ln>
                  </pic:spPr>
                </pic:pic>
              </a:graphicData>
            </a:graphic>
          </wp:inline>
        </w:drawing>
      </w:r>
      <w:bookmarkEnd w:id="4"/>
    </w:p>
    <w:p w14:paraId="34897819" w14:textId="77777777" w:rsidR="0096003F" w:rsidRDefault="0096003F" w:rsidP="00B34FCA">
      <w:pPr>
        <w:pStyle w:val="ColorfulList-Accent11"/>
        <w:ind w:left="0"/>
        <w:contextualSpacing/>
        <w:rPr>
          <w:b/>
        </w:rPr>
      </w:pPr>
    </w:p>
    <w:p w14:paraId="3489781A" w14:textId="77777777" w:rsidR="0096003F" w:rsidRPr="00A403C8" w:rsidRDefault="0096003F" w:rsidP="00B34FCA">
      <w:pPr>
        <w:pStyle w:val="ColorfulList-Accent11"/>
        <w:snapToGrid w:val="0"/>
        <w:ind w:left="0"/>
      </w:pPr>
      <w:r w:rsidRPr="00235B3F">
        <w:rPr>
          <w:b/>
        </w:rPr>
        <w:t xml:space="preserve">Condition </w:t>
      </w:r>
      <w:r>
        <w:rPr>
          <w:b/>
        </w:rPr>
        <w:t>8</w:t>
      </w:r>
      <w:r w:rsidRPr="00235B3F">
        <w:rPr>
          <w:b/>
        </w:rPr>
        <w:t>:</w:t>
      </w:r>
      <w:r>
        <w:t xml:space="preserve"> </w:t>
      </w:r>
      <w:r w:rsidR="00460A53" w:rsidRPr="00AB14DA">
        <w:t xml:space="preserve">The school will submit all documentation required by the Department in accordance with deadlines established by the Department for the remainder of the school’s charter term including, but not limited to, documents for approval and appointment of new board members; financial disclosures of board members; the school’s annual financial audit; the school’s application to renew its charter, if desired; the school’s annual report and end of year financial report; and all required and accompanying documentation. </w:t>
      </w:r>
    </w:p>
    <w:p w14:paraId="3489781B" w14:textId="77777777" w:rsidR="0096003F" w:rsidRDefault="0096003F" w:rsidP="00B34FCA">
      <w:pPr>
        <w:widowControl/>
      </w:pPr>
    </w:p>
    <w:p w14:paraId="3489781C" w14:textId="77777777" w:rsidR="0096003F" w:rsidRDefault="0096003F" w:rsidP="00B34FCA">
      <w:pPr>
        <w:widowControl/>
        <w:ind w:firstLine="720"/>
      </w:pPr>
      <w:r w:rsidRPr="00B4555E">
        <w:rPr>
          <w:b/>
        </w:rPr>
        <w:t xml:space="preserve">Status: </w:t>
      </w:r>
      <w:r w:rsidR="001A4D34">
        <w:rPr>
          <w:b/>
        </w:rPr>
        <w:t>Met</w:t>
      </w:r>
    </w:p>
    <w:p w14:paraId="3489781D" w14:textId="77777777" w:rsidR="00931B65" w:rsidRPr="00FE0304" w:rsidRDefault="00931B65" w:rsidP="00B34FCA">
      <w:pPr>
        <w:pStyle w:val="Body"/>
        <w:spacing w:after="0"/>
        <w:ind w:left="720"/>
      </w:pPr>
      <w:r>
        <w:t>S</w:t>
      </w:r>
      <w:r w:rsidRPr="00FE0304">
        <w:t xml:space="preserve">ystems are now in place to ensure that deadlines </w:t>
      </w:r>
      <w:r w:rsidR="00DC3D0E">
        <w:t>are</w:t>
      </w:r>
      <w:r w:rsidRPr="00FE0304">
        <w:t xml:space="preserve"> met in a timely manner. At this time, the Department is in receipt of board approval documentation for all current and pending members. </w:t>
      </w:r>
      <w:r>
        <w:t xml:space="preserve">The </w:t>
      </w:r>
      <w:r w:rsidR="00DC3D0E">
        <w:t xml:space="preserve">Department received the </w:t>
      </w:r>
      <w:r>
        <w:t xml:space="preserve">school’s 2014-15 Annual Report and the Application for Renewal of its charter on time. In addition, the school submitted the FY14 and FY 15 audits and end of year financial reports on time. </w:t>
      </w:r>
    </w:p>
    <w:p w14:paraId="3489781E" w14:textId="77777777" w:rsidR="00007EC8" w:rsidRDefault="00007EC8" w:rsidP="00B34FCA">
      <w:pPr>
        <w:widowControl/>
        <w:ind w:firstLine="720"/>
      </w:pPr>
    </w:p>
    <w:p w14:paraId="3489781F" w14:textId="77777777" w:rsidR="00652E5E" w:rsidRDefault="00652E5E" w:rsidP="00B34FCA">
      <w:pPr>
        <w:widowControl/>
        <w:rPr>
          <w:b/>
          <w:u w:val="single"/>
        </w:rPr>
      </w:pPr>
      <w:r>
        <w:rPr>
          <w:b/>
          <w:u w:val="single"/>
        </w:rPr>
        <w:t>Renewal</w:t>
      </w:r>
      <w:r w:rsidR="00AC0FF0">
        <w:rPr>
          <w:b/>
          <w:u w:val="single"/>
        </w:rPr>
        <w:t xml:space="preserve"> of Charter</w:t>
      </w:r>
      <w:r>
        <w:rPr>
          <w:b/>
          <w:u w:val="single"/>
        </w:rPr>
        <w:t xml:space="preserve"> </w:t>
      </w:r>
    </w:p>
    <w:p w14:paraId="34897820" w14:textId="77777777" w:rsidR="00652E5E" w:rsidRDefault="00652E5E" w:rsidP="00B34FCA">
      <w:pPr>
        <w:widowControl/>
      </w:pPr>
    </w:p>
    <w:p w14:paraId="34897821" w14:textId="77777777" w:rsidR="003F445F" w:rsidRDefault="001A6808" w:rsidP="00B34FCA">
      <w:pPr>
        <w:widowControl/>
      </w:pPr>
      <w:r>
        <w:t xml:space="preserve">BGA’s charter is currently under consideration for renewal. The school’s ratings from the Summary of Review </w:t>
      </w:r>
      <w:r w:rsidR="0016402A">
        <w:t xml:space="preserve">(SOR) </w:t>
      </w:r>
      <w:r>
        <w:t xml:space="preserve">follow. Evidence from the attached </w:t>
      </w:r>
      <w:r w:rsidR="00DC3D0E">
        <w:t>SOR</w:t>
      </w:r>
      <w:r>
        <w:t xml:space="preserve"> is also provided below, as context. </w:t>
      </w:r>
    </w:p>
    <w:p w14:paraId="34897822" w14:textId="77777777" w:rsidR="00B71B7C" w:rsidRDefault="00B71B7C" w:rsidP="00B34FCA">
      <w:pPr>
        <w:widowControl/>
      </w:pPr>
      <w:r>
        <w:br w:type="page"/>
      </w:r>
    </w:p>
    <w:tbl>
      <w:tblPr>
        <w:tblW w:w="9851"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521"/>
        <w:gridCol w:w="2150"/>
        <w:gridCol w:w="3398"/>
        <w:gridCol w:w="2704"/>
        <w:gridCol w:w="1078"/>
      </w:tblGrid>
      <w:tr w:rsidR="00AE5F45" w14:paraId="34897824" w14:textId="77777777" w:rsidTr="00A438FD">
        <w:trPr>
          <w:trHeight w:val="305"/>
          <w:jc w:val="center"/>
        </w:trPr>
        <w:tc>
          <w:tcPr>
            <w:tcW w:w="9851" w:type="dxa"/>
            <w:gridSpan w:val="5"/>
            <w:tcBorders>
              <w:bottom w:val="single" w:sz="4" w:space="0" w:color="auto"/>
            </w:tcBorders>
            <w:shd w:val="clear" w:color="auto" w:fill="D9D9D9"/>
            <w:vAlign w:val="center"/>
          </w:tcPr>
          <w:p w14:paraId="34897823" w14:textId="77777777" w:rsidR="00AE5F45" w:rsidRPr="00285255" w:rsidRDefault="00B71B7C" w:rsidP="00B34FCA">
            <w:pPr>
              <w:widowControl/>
              <w:jc w:val="center"/>
              <w:rPr>
                <w:b/>
                <w:bCs/>
                <w:sz w:val="22"/>
                <w:szCs w:val="22"/>
              </w:rPr>
            </w:pPr>
            <w:r>
              <w:lastRenderedPageBreak/>
              <w:br w:type="page"/>
            </w:r>
            <w:r w:rsidR="00AE5F45" w:rsidRPr="00285255">
              <w:rPr>
                <w:b/>
                <w:bCs/>
              </w:rPr>
              <w:t>Boston Green Academy Horace Mann Charter School</w:t>
            </w:r>
          </w:p>
        </w:tc>
      </w:tr>
      <w:tr w:rsidR="00AE5F45" w14:paraId="34897827" w14:textId="77777777" w:rsidTr="00A438FD">
        <w:trPr>
          <w:trHeight w:val="151"/>
          <w:jc w:val="center"/>
        </w:trPr>
        <w:tc>
          <w:tcPr>
            <w:tcW w:w="2671" w:type="dxa"/>
            <w:gridSpan w:val="2"/>
            <w:tcBorders>
              <w:top w:val="single" w:sz="4" w:space="0" w:color="auto"/>
              <w:left w:val="single" w:sz="4" w:space="0" w:color="auto"/>
              <w:bottom w:val="nil"/>
              <w:right w:val="nil"/>
            </w:tcBorders>
            <w:shd w:val="clear" w:color="auto" w:fill="auto"/>
            <w:vAlign w:val="center"/>
          </w:tcPr>
          <w:p w14:paraId="34897825" w14:textId="77777777" w:rsidR="00AE5F45" w:rsidRPr="00D161AA" w:rsidRDefault="00AE5F45" w:rsidP="00B34FCA">
            <w:pPr>
              <w:widowControl/>
              <w:ind w:left="1290"/>
              <w:rPr>
                <w:b/>
                <w:bCs/>
                <w:sz w:val="22"/>
                <w:szCs w:val="22"/>
              </w:rPr>
            </w:pPr>
            <w:r w:rsidRPr="00D161AA">
              <w:rPr>
                <w:rFonts w:ascii="Wingdings" w:hAnsi="Wingdings"/>
                <w:b/>
                <w:bCs/>
                <w:color w:val="0070C0"/>
                <w:sz w:val="22"/>
                <w:szCs w:val="22"/>
              </w:rPr>
              <w:t></w:t>
            </w:r>
            <w:r w:rsidRPr="00D161AA">
              <w:rPr>
                <w:b/>
                <w:bCs/>
                <w:sz w:val="16"/>
                <w:szCs w:val="16"/>
              </w:rPr>
              <w:t xml:space="preserve"> Exceeds</w:t>
            </w:r>
          </w:p>
        </w:tc>
        <w:tc>
          <w:tcPr>
            <w:tcW w:w="7180" w:type="dxa"/>
            <w:gridSpan w:val="3"/>
            <w:tcBorders>
              <w:top w:val="single" w:sz="4" w:space="0" w:color="auto"/>
              <w:left w:val="nil"/>
              <w:bottom w:val="nil"/>
              <w:right w:val="single" w:sz="4" w:space="0" w:color="auto"/>
            </w:tcBorders>
            <w:shd w:val="clear" w:color="auto" w:fill="auto"/>
            <w:vAlign w:val="center"/>
          </w:tcPr>
          <w:p w14:paraId="34897826" w14:textId="77777777" w:rsidR="00AE5F45" w:rsidRPr="0023384B" w:rsidRDefault="00AE5F45" w:rsidP="00B34FCA">
            <w:pPr>
              <w:widowControl/>
              <w:rPr>
                <w:b/>
                <w:bCs/>
                <w:sz w:val="22"/>
                <w:szCs w:val="22"/>
              </w:rPr>
            </w:pPr>
            <w:r w:rsidRPr="00C51EEB">
              <w:rPr>
                <w:bCs/>
                <w:sz w:val="16"/>
                <w:szCs w:val="16"/>
              </w:rPr>
              <w:t>The school fully and consistently meets the criterion and is a potential exemplar in this area.</w:t>
            </w:r>
          </w:p>
        </w:tc>
      </w:tr>
      <w:tr w:rsidR="00AE5F45" w14:paraId="3489782A" w14:textId="77777777" w:rsidTr="00A438FD">
        <w:trPr>
          <w:trHeight w:val="151"/>
          <w:jc w:val="center"/>
        </w:trPr>
        <w:tc>
          <w:tcPr>
            <w:tcW w:w="2671" w:type="dxa"/>
            <w:gridSpan w:val="2"/>
            <w:tcBorders>
              <w:top w:val="nil"/>
              <w:left w:val="single" w:sz="4" w:space="0" w:color="auto"/>
              <w:bottom w:val="nil"/>
              <w:right w:val="nil"/>
            </w:tcBorders>
            <w:shd w:val="clear" w:color="auto" w:fill="auto"/>
            <w:vAlign w:val="center"/>
          </w:tcPr>
          <w:p w14:paraId="34897828" w14:textId="77777777" w:rsidR="00AE5F45" w:rsidRPr="00D161AA" w:rsidRDefault="00AE5F45" w:rsidP="00B34FCA">
            <w:pPr>
              <w:widowControl/>
              <w:ind w:left="1290"/>
              <w:rPr>
                <w:b/>
                <w:bCs/>
                <w:sz w:val="22"/>
                <w:szCs w:val="22"/>
              </w:rPr>
            </w:pPr>
            <w:r w:rsidRPr="00D161AA">
              <w:rPr>
                <w:rFonts w:ascii="Wingdings" w:hAnsi="Wingdings"/>
                <w:b/>
                <w:bCs/>
                <w:color w:val="00B050"/>
                <w:sz w:val="22"/>
                <w:szCs w:val="22"/>
              </w:rPr>
              <w:t></w:t>
            </w:r>
            <w:r w:rsidRPr="00D161AA">
              <w:rPr>
                <w:b/>
                <w:bCs/>
                <w:sz w:val="16"/>
                <w:szCs w:val="16"/>
              </w:rPr>
              <w:t xml:space="preserve"> Meets</w:t>
            </w:r>
          </w:p>
        </w:tc>
        <w:tc>
          <w:tcPr>
            <w:tcW w:w="7180" w:type="dxa"/>
            <w:gridSpan w:val="3"/>
            <w:tcBorders>
              <w:top w:val="nil"/>
              <w:left w:val="nil"/>
              <w:bottom w:val="nil"/>
              <w:right w:val="single" w:sz="4" w:space="0" w:color="auto"/>
            </w:tcBorders>
            <w:shd w:val="clear" w:color="auto" w:fill="auto"/>
            <w:vAlign w:val="center"/>
          </w:tcPr>
          <w:p w14:paraId="34897829" w14:textId="77777777" w:rsidR="00AE5F45" w:rsidRPr="0023384B" w:rsidRDefault="00AE5F45" w:rsidP="00B34FCA">
            <w:pPr>
              <w:widowControl/>
              <w:rPr>
                <w:b/>
                <w:bCs/>
                <w:sz w:val="22"/>
                <w:szCs w:val="22"/>
              </w:rPr>
            </w:pPr>
            <w:r w:rsidRPr="00C51EEB">
              <w:rPr>
                <w:bCs/>
                <w:sz w:val="16"/>
                <w:szCs w:val="16"/>
              </w:rPr>
              <w:t>The school generally meets the criterion and/or minor concern(s) are noted.</w:t>
            </w:r>
          </w:p>
        </w:tc>
      </w:tr>
      <w:tr w:rsidR="00AE5F45" w14:paraId="3489782D" w14:textId="77777777" w:rsidTr="00A438FD">
        <w:trPr>
          <w:trHeight w:val="151"/>
          <w:jc w:val="center"/>
        </w:trPr>
        <w:tc>
          <w:tcPr>
            <w:tcW w:w="2671" w:type="dxa"/>
            <w:gridSpan w:val="2"/>
            <w:tcBorders>
              <w:top w:val="nil"/>
              <w:left w:val="single" w:sz="4" w:space="0" w:color="auto"/>
              <w:bottom w:val="nil"/>
              <w:right w:val="nil"/>
            </w:tcBorders>
            <w:shd w:val="clear" w:color="auto" w:fill="auto"/>
            <w:vAlign w:val="center"/>
          </w:tcPr>
          <w:p w14:paraId="3489782B" w14:textId="77777777" w:rsidR="00AE5F45" w:rsidRPr="0023384B" w:rsidRDefault="00AE5F45" w:rsidP="00B34FCA">
            <w:pPr>
              <w:widowControl/>
              <w:ind w:left="1290"/>
              <w:rPr>
                <w:b/>
                <w:bCs/>
                <w:sz w:val="22"/>
                <w:szCs w:val="22"/>
              </w:rPr>
            </w:pPr>
            <w:r w:rsidRPr="00D161AA">
              <w:rPr>
                <w:rFonts w:ascii="Wingdings" w:hAnsi="Wingdings"/>
                <w:b/>
                <w:bCs/>
                <w:color w:val="FFC000"/>
                <w:sz w:val="22"/>
                <w:szCs w:val="22"/>
              </w:rPr>
              <w:t></w:t>
            </w:r>
            <w:r w:rsidRPr="00D161AA">
              <w:rPr>
                <w:b/>
                <w:bCs/>
                <w:sz w:val="16"/>
                <w:szCs w:val="16"/>
              </w:rPr>
              <w:t xml:space="preserve"> Partially Meets</w:t>
            </w:r>
          </w:p>
        </w:tc>
        <w:tc>
          <w:tcPr>
            <w:tcW w:w="7180" w:type="dxa"/>
            <w:gridSpan w:val="3"/>
            <w:tcBorders>
              <w:top w:val="nil"/>
              <w:left w:val="nil"/>
              <w:bottom w:val="nil"/>
              <w:right w:val="single" w:sz="4" w:space="0" w:color="auto"/>
            </w:tcBorders>
            <w:shd w:val="clear" w:color="auto" w:fill="auto"/>
            <w:vAlign w:val="center"/>
          </w:tcPr>
          <w:p w14:paraId="3489782C" w14:textId="77777777" w:rsidR="00AE5F45" w:rsidRPr="0023384B" w:rsidRDefault="00AE5F45" w:rsidP="00B34FCA">
            <w:pPr>
              <w:widowControl/>
              <w:rPr>
                <w:b/>
                <w:bCs/>
                <w:sz w:val="22"/>
                <w:szCs w:val="22"/>
              </w:rPr>
            </w:pPr>
            <w:r w:rsidRPr="00C51EEB">
              <w:rPr>
                <w:bCs/>
                <w:sz w:val="16"/>
                <w:szCs w:val="16"/>
              </w:rPr>
              <w:t>The school meets some aspects of the criterion but not others and/or moderate concern(s) are noted.</w:t>
            </w:r>
          </w:p>
        </w:tc>
      </w:tr>
      <w:tr w:rsidR="00AE5F45" w14:paraId="34897830" w14:textId="77777777" w:rsidTr="00A438FD">
        <w:trPr>
          <w:trHeight w:val="151"/>
          <w:jc w:val="center"/>
        </w:trPr>
        <w:tc>
          <w:tcPr>
            <w:tcW w:w="2671" w:type="dxa"/>
            <w:gridSpan w:val="2"/>
            <w:tcBorders>
              <w:top w:val="nil"/>
              <w:left w:val="single" w:sz="4" w:space="0" w:color="auto"/>
              <w:bottom w:val="nil"/>
              <w:right w:val="nil"/>
            </w:tcBorders>
            <w:shd w:val="clear" w:color="auto" w:fill="auto"/>
            <w:vAlign w:val="center"/>
          </w:tcPr>
          <w:p w14:paraId="3489782E" w14:textId="77777777" w:rsidR="00AE5F45" w:rsidRPr="0023384B" w:rsidRDefault="00AE5F45" w:rsidP="00B34FCA">
            <w:pPr>
              <w:widowControl/>
              <w:ind w:left="1290"/>
              <w:rPr>
                <w:b/>
                <w:bCs/>
                <w:sz w:val="22"/>
                <w:szCs w:val="22"/>
              </w:rPr>
            </w:pPr>
            <w:r w:rsidRPr="00D161AA">
              <w:rPr>
                <w:rFonts w:ascii="Wingdings" w:hAnsi="Wingdings"/>
                <w:b/>
                <w:bCs/>
                <w:color w:val="FF0000"/>
                <w:sz w:val="22"/>
                <w:szCs w:val="22"/>
              </w:rPr>
              <w:t></w:t>
            </w:r>
            <w:r w:rsidRPr="00D161AA">
              <w:rPr>
                <w:b/>
                <w:bCs/>
                <w:color w:val="FF0000"/>
                <w:sz w:val="16"/>
                <w:szCs w:val="16"/>
              </w:rPr>
              <w:t xml:space="preserve"> </w:t>
            </w:r>
            <w:r w:rsidRPr="00D161AA">
              <w:rPr>
                <w:b/>
                <w:bCs/>
                <w:sz w:val="16"/>
                <w:szCs w:val="16"/>
              </w:rPr>
              <w:t>Falls Far Below</w:t>
            </w:r>
          </w:p>
        </w:tc>
        <w:tc>
          <w:tcPr>
            <w:tcW w:w="7180" w:type="dxa"/>
            <w:gridSpan w:val="3"/>
            <w:tcBorders>
              <w:top w:val="nil"/>
              <w:left w:val="nil"/>
              <w:bottom w:val="nil"/>
              <w:right w:val="single" w:sz="4" w:space="0" w:color="auto"/>
            </w:tcBorders>
            <w:shd w:val="clear" w:color="auto" w:fill="auto"/>
            <w:vAlign w:val="center"/>
          </w:tcPr>
          <w:p w14:paraId="3489782F" w14:textId="77777777" w:rsidR="00AE5F45" w:rsidRPr="0023384B" w:rsidRDefault="00AE5F45" w:rsidP="00B34FCA">
            <w:pPr>
              <w:widowControl/>
              <w:rPr>
                <w:b/>
                <w:bCs/>
                <w:sz w:val="22"/>
                <w:szCs w:val="22"/>
              </w:rPr>
            </w:pPr>
            <w:r w:rsidRPr="00C51EEB">
              <w:rPr>
                <w:bCs/>
                <w:sz w:val="16"/>
                <w:szCs w:val="16"/>
              </w:rPr>
              <w:t>The school falls far below the criterion and/or significant concern(s) are noted.</w:t>
            </w:r>
          </w:p>
        </w:tc>
      </w:tr>
      <w:tr w:rsidR="00AE5F45" w14:paraId="34897833" w14:textId="77777777" w:rsidTr="00A438FD">
        <w:trPr>
          <w:trHeight w:val="305"/>
          <w:jc w:val="center"/>
        </w:trPr>
        <w:tc>
          <w:tcPr>
            <w:tcW w:w="8773" w:type="dxa"/>
            <w:gridSpan w:val="4"/>
            <w:tcBorders>
              <w:top w:val="single" w:sz="4" w:space="0" w:color="auto"/>
            </w:tcBorders>
            <w:shd w:val="clear" w:color="auto" w:fill="D9D9D9"/>
            <w:vAlign w:val="center"/>
          </w:tcPr>
          <w:p w14:paraId="34897831" w14:textId="77777777" w:rsidR="00AE5F45" w:rsidRPr="0023384B" w:rsidRDefault="00AE5F45" w:rsidP="00B34FCA">
            <w:pPr>
              <w:pStyle w:val="Header"/>
              <w:widowControl/>
              <w:jc w:val="center"/>
              <w:rPr>
                <w:b/>
                <w:bCs/>
                <w:sz w:val="22"/>
                <w:szCs w:val="22"/>
              </w:rPr>
            </w:pPr>
            <w:r w:rsidRPr="0023384B">
              <w:rPr>
                <w:b/>
                <w:bCs/>
                <w:sz w:val="22"/>
                <w:szCs w:val="22"/>
              </w:rPr>
              <w:t>Massachusetts Charter School Performance Criteria</w:t>
            </w:r>
          </w:p>
        </w:tc>
        <w:tc>
          <w:tcPr>
            <w:tcW w:w="1078" w:type="dxa"/>
            <w:tcBorders>
              <w:top w:val="single" w:sz="4" w:space="0" w:color="auto"/>
            </w:tcBorders>
            <w:shd w:val="clear" w:color="auto" w:fill="D9D9D9"/>
            <w:vAlign w:val="center"/>
          </w:tcPr>
          <w:p w14:paraId="34897832" w14:textId="77777777" w:rsidR="00AE5F45" w:rsidRPr="0023384B" w:rsidRDefault="00AE5F45" w:rsidP="00B34FCA">
            <w:pPr>
              <w:widowControl/>
              <w:jc w:val="center"/>
              <w:rPr>
                <w:b/>
                <w:bCs/>
                <w:sz w:val="22"/>
                <w:szCs w:val="22"/>
              </w:rPr>
            </w:pPr>
            <w:r w:rsidRPr="0023384B">
              <w:rPr>
                <w:b/>
                <w:bCs/>
                <w:sz w:val="22"/>
                <w:szCs w:val="22"/>
              </w:rPr>
              <w:t>Rating</w:t>
            </w:r>
          </w:p>
        </w:tc>
      </w:tr>
      <w:tr w:rsidR="00AE5F45" w14:paraId="34897837" w14:textId="77777777" w:rsidTr="00A438FD">
        <w:trPr>
          <w:cantSplit/>
          <w:trHeight w:val="699"/>
          <w:jc w:val="center"/>
        </w:trPr>
        <w:tc>
          <w:tcPr>
            <w:tcW w:w="521" w:type="dxa"/>
            <w:vMerge w:val="restart"/>
            <w:shd w:val="clear" w:color="auto" w:fill="CCCCCC"/>
            <w:tcMar>
              <w:top w:w="43" w:type="dxa"/>
              <w:left w:w="43" w:type="dxa"/>
              <w:bottom w:w="43" w:type="dxa"/>
              <w:right w:w="43" w:type="dxa"/>
            </w:tcMar>
            <w:textDirection w:val="btLr"/>
            <w:vAlign w:val="center"/>
          </w:tcPr>
          <w:p w14:paraId="34897834" w14:textId="77777777" w:rsidR="00AE5F45" w:rsidRPr="0023384B" w:rsidRDefault="00AE5F45" w:rsidP="00B34FCA">
            <w:pPr>
              <w:widowControl/>
              <w:ind w:left="113" w:right="113"/>
              <w:jc w:val="center"/>
              <w:rPr>
                <w:b/>
                <w:bCs/>
                <w:sz w:val="22"/>
                <w:szCs w:val="22"/>
              </w:rPr>
            </w:pPr>
            <w:r w:rsidRPr="0023384B">
              <w:rPr>
                <w:b/>
                <w:sz w:val="22"/>
                <w:szCs w:val="22"/>
              </w:rPr>
              <w:t>Faithfulness to Charter</w:t>
            </w:r>
          </w:p>
        </w:tc>
        <w:tc>
          <w:tcPr>
            <w:tcW w:w="8252" w:type="dxa"/>
            <w:gridSpan w:val="3"/>
            <w:tcMar>
              <w:top w:w="29" w:type="dxa"/>
              <w:left w:w="29" w:type="dxa"/>
              <w:bottom w:w="29" w:type="dxa"/>
              <w:right w:w="29" w:type="dxa"/>
            </w:tcMar>
            <w:vAlign w:val="center"/>
          </w:tcPr>
          <w:p w14:paraId="34897835"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Mission and Key Design Elements:</w:t>
            </w:r>
            <w:r w:rsidRPr="00376563">
              <w:rPr>
                <w:bCs/>
                <w:sz w:val="20"/>
                <w:szCs w:val="22"/>
              </w:rPr>
              <w:t xml:space="preserve"> The school is faithful to its mission, implements the key design elements outlined in its charter, and substantially meets its accountability plan goals.  </w:t>
            </w:r>
          </w:p>
        </w:tc>
        <w:tc>
          <w:tcPr>
            <w:tcW w:w="1078" w:type="dxa"/>
            <w:tcMar>
              <w:top w:w="43" w:type="dxa"/>
              <w:left w:w="43" w:type="dxa"/>
              <w:bottom w:w="43" w:type="dxa"/>
              <w:right w:w="43" w:type="dxa"/>
            </w:tcMar>
            <w:vAlign w:val="center"/>
          </w:tcPr>
          <w:p w14:paraId="34897836" w14:textId="77777777" w:rsidR="00AE5F45" w:rsidRDefault="00AE5F45" w:rsidP="00B34FCA">
            <w:pPr>
              <w:widowControl/>
              <w:spacing w:before="50" w:after="50"/>
              <w:rPr>
                <w:b/>
                <w:bCs/>
                <w:szCs w:val="22"/>
              </w:rPr>
            </w:pPr>
            <w:r w:rsidRPr="00D161AA">
              <w:rPr>
                <w:rFonts w:ascii="Wingdings" w:hAnsi="Wingdings"/>
                <w:b/>
                <w:bCs/>
                <w:color w:val="FFC000"/>
                <w:sz w:val="22"/>
                <w:szCs w:val="22"/>
              </w:rPr>
              <w:t></w:t>
            </w:r>
            <w:r w:rsidRPr="00D161AA">
              <w:rPr>
                <w:b/>
                <w:bCs/>
                <w:sz w:val="16"/>
                <w:szCs w:val="16"/>
              </w:rPr>
              <w:t xml:space="preserve"> Partially Meets</w:t>
            </w:r>
          </w:p>
        </w:tc>
      </w:tr>
      <w:tr w:rsidR="00AE5F45" w14:paraId="3489783B" w14:textId="77777777" w:rsidTr="00A438FD">
        <w:trPr>
          <w:cantSplit/>
          <w:trHeight w:val="699"/>
          <w:jc w:val="center"/>
        </w:trPr>
        <w:tc>
          <w:tcPr>
            <w:tcW w:w="521" w:type="dxa"/>
            <w:vMerge/>
            <w:shd w:val="clear" w:color="auto" w:fill="CCCCCC"/>
            <w:tcMar>
              <w:top w:w="43" w:type="dxa"/>
              <w:left w:w="43" w:type="dxa"/>
              <w:bottom w:w="43" w:type="dxa"/>
              <w:right w:w="43" w:type="dxa"/>
            </w:tcMar>
          </w:tcPr>
          <w:p w14:paraId="34897838" w14:textId="77777777" w:rsidR="00AE5F45" w:rsidRPr="0023384B" w:rsidRDefault="00AE5F45" w:rsidP="00B34FCA">
            <w:pPr>
              <w:widowControl/>
              <w:rPr>
                <w:b/>
                <w:sz w:val="22"/>
                <w:szCs w:val="22"/>
              </w:rPr>
            </w:pPr>
          </w:p>
        </w:tc>
        <w:tc>
          <w:tcPr>
            <w:tcW w:w="8252" w:type="dxa"/>
            <w:gridSpan w:val="3"/>
            <w:tcMar>
              <w:top w:w="29" w:type="dxa"/>
              <w:left w:w="29" w:type="dxa"/>
              <w:bottom w:w="29" w:type="dxa"/>
              <w:right w:w="29" w:type="dxa"/>
            </w:tcMar>
            <w:vAlign w:val="center"/>
          </w:tcPr>
          <w:p w14:paraId="34897839"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Access and Equity:</w:t>
            </w:r>
            <w:r w:rsidRPr="00376563">
              <w:rPr>
                <w:bCs/>
                <w:sz w:val="20"/>
                <w:szCs w:val="22"/>
              </w:rPr>
              <w:t xml:space="preserve"> The school ensures program access and equity for all students eligible to attend the school.</w:t>
            </w:r>
          </w:p>
        </w:tc>
        <w:tc>
          <w:tcPr>
            <w:tcW w:w="1078" w:type="dxa"/>
            <w:tcMar>
              <w:top w:w="43" w:type="dxa"/>
              <w:left w:w="43" w:type="dxa"/>
              <w:bottom w:w="43" w:type="dxa"/>
              <w:right w:w="43" w:type="dxa"/>
            </w:tcMar>
            <w:vAlign w:val="center"/>
          </w:tcPr>
          <w:p w14:paraId="3489783A" w14:textId="77777777" w:rsidR="00AE5F45" w:rsidRDefault="00AE5F45" w:rsidP="00B34FCA">
            <w:pPr>
              <w:widowControl/>
              <w:spacing w:before="50" w:after="50"/>
              <w:rPr>
                <w:bCs/>
                <w:szCs w:val="22"/>
              </w:rPr>
            </w:pPr>
            <w:r w:rsidRPr="00D161AA">
              <w:rPr>
                <w:rFonts w:ascii="Wingdings" w:hAnsi="Wingdings"/>
                <w:b/>
                <w:bCs/>
                <w:color w:val="00B050"/>
                <w:sz w:val="22"/>
                <w:szCs w:val="22"/>
              </w:rPr>
              <w:t></w:t>
            </w:r>
            <w:r w:rsidRPr="00D161AA">
              <w:rPr>
                <w:b/>
                <w:bCs/>
                <w:sz w:val="16"/>
                <w:szCs w:val="16"/>
              </w:rPr>
              <w:t xml:space="preserve"> Meets</w:t>
            </w:r>
          </w:p>
        </w:tc>
      </w:tr>
      <w:tr w:rsidR="00AE5F45" w14:paraId="3489783F" w14:textId="77777777" w:rsidTr="00A438FD">
        <w:trPr>
          <w:cantSplit/>
          <w:trHeight w:val="699"/>
          <w:jc w:val="center"/>
        </w:trPr>
        <w:tc>
          <w:tcPr>
            <w:tcW w:w="521" w:type="dxa"/>
            <w:vMerge/>
            <w:shd w:val="clear" w:color="auto" w:fill="CCCCCC"/>
            <w:tcMar>
              <w:top w:w="43" w:type="dxa"/>
              <w:left w:w="43" w:type="dxa"/>
              <w:bottom w:w="43" w:type="dxa"/>
              <w:right w:w="43" w:type="dxa"/>
            </w:tcMar>
          </w:tcPr>
          <w:p w14:paraId="3489783C" w14:textId="77777777" w:rsidR="00AE5F45" w:rsidRPr="0023384B" w:rsidRDefault="00AE5F45" w:rsidP="00B34FCA">
            <w:pPr>
              <w:widowControl/>
              <w:rPr>
                <w:b/>
                <w:sz w:val="22"/>
                <w:szCs w:val="22"/>
              </w:rPr>
            </w:pPr>
          </w:p>
        </w:tc>
        <w:tc>
          <w:tcPr>
            <w:tcW w:w="8252" w:type="dxa"/>
            <w:gridSpan w:val="3"/>
            <w:tcMar>
              <w:top w:w="29" w:type="dxa"/>
              <w:left w:w="29" w:type="dxa"/>
              <w:bottom w:w="29" w:type="dxa"/>
              <w:right w:w="29" w:type="dxa"/>
            </w:tcMar>
            <w:vAlign w:val="center"/>
          </w:tcPr>
          <w:p w14:paraId="3489783D"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Compliance:</w:t>
            </w:r>
            <w:r w:rsidRPr="00376563">
              <w:rPr>
                <w:bCs/>
                <w:sz w:val="20"/>
                <w:szCs w:val="22"/>
              </w:rPr>
              <w:t xml:space="preserve"> The school compiles a record of compliance with the terms of its charter and applicable state and federal laws and regulations.</w:t>
            </w:r>
          </w:p>
        </w:tc>
        <w:tc>
          <w:tcPr>
            <w:tcW w:w="1078" w:type="dxa"/>
            <w:tcMar>
              <w:top w:w="43" w:type="dxa"/>
              <w:left w:w="43" w:type="dxa"/>
              <w:bottom w:w="43" w:type="dxa"/>
              <w:right w:w="43" w:type="dxa"/>
            </w:tcMar>
            <w:vAlign w:val="center"/>
          </w:tcPr>
          <w:p w14:paraId="3489783E" w14:textId="77777777" w:rsidR="00AE5F45" w:rsidRDefault="00AE5F45" w:rsidP="00B34FCA">
            <w:pPr>
              <w:widowControl/>
              <w:spacing w:before="50" w:after="50"/>
              <w:rPr>
                <w:bCs/>
                <w:szCs w:val="22"/>
              </w:rPr>
            </w:pPr>
            <w:r w:rsidRPr="00D161AA">
              <w:rPr>
                <w:rFonts w:ascii="Wingdings" w:hAnsi="Wingdings"/>
                <w:b/>
                <w:bCs/>
                <w:color w:val="FFC000"/>
                <w:sz w:val="22"/>
                <w:szCs w:val="22"/>
              </w:rPr>
              <w:t></w:t>
            </w:r>
            <w:r w:rsidRPr="00D161AA">
              <w:rPr>
                <w:b/>
                <w:bCs/>
                <w:sz w:val="16"/>
                <w:szCs w:val="16"/>
              </w:rPr>
              <w:t xml:space="preserve"> Partially Meets</w:t>
            </w:r>
          </w:p>
        </w:tc>
      </w:tr>
      <w:tr w:rsidR="00AE5F45" w14:paraId="34897843" w14:textId="77777777" w:rsidTr="00A438FD">
        <w:trPr>
          <w:cantSplit/>
          <w:trHeight w:val="699"/>
          <w:jc w:val="center"/>
        </w:trPr>
        <w:tc>
          <w:tcPr>
            <w:tcW w:w="521" w:type="dxa"/>
            <w:vMerge/>
            <w:shd w:val="clear" w:color="auto" w:fill="CCCCCC"/>
            <w:tcMar>
              <w:top w:w="43" w:type="dxa"/>
              <w:left w:w="43" w:type="dxa"/>
              <w:bottom w:w="43" w:type="dxa"/>
              <w:right w:w="43" w:type="dxa"/>
            </w:tcMar>
          </w:tcPr>
          <w:p w14:paraId="34897840" w14:textId="77777777" w:rsidR="00AE5F45" w:rsidRPr="0023384B" w:rsidRDefault="00AE5F45" w:rsidP="00B34FCA">
            <w:pPr>
              <w:widowControl/>
              <w:rPr>
                <w:b/>
                <w:sz w:val="22"/>
                <w:szCs w:val="22"/>
              </w:rPr>
            </w:pPr>
          </w:p>
        </w:tc>
        <w:tc>
          <w:tcPr>
            <w:tcW w:w="8252" w:type="dxa"/>
            <w:gridSpan w:val="3"/>
            <w:tcMar>
              <w:top w:w="29" w:type="dxa"/>
              <w:left w:w="29" w:type="dxa"/>
              <w:bottom w:w="29" w:type="dxa"/>
              <w:right w:w="29" w:type="dxa"/>
            </w:tcMar>
            <w:vAlign w:val="center"/>
          </w:tcPr>
          <w:p w14:paraId="34897841"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Dissemination:</w:t>
            </w:r>
            <w:r w:rsidRPr="00376563">
              <w:rPr>
                <w:bCs/>
                <w:sz w:val="20"/>
                <w:szCs w:val="22"/>
              </w:rPr>
              <w:t xml:space="preserve"> The school provides innovative models for replication and best practices to other public schools in the district where the charter school is located.</w:t>
            </w:r>
          </w:p>
        </w:tc>
        <w:tc>
          <w:tcPr>
            <w:tcW w:w="1078" w:type="dxa"/>
            <w:tcMar>
              <w:top w:w="43" w:type="dxa"/>
              <w:left w:w="43" w:type="dxa"/>
              <w:bottom w:w="43" w:type="dxa"/>
              <w:right w:w="43" w:type="dxa"/>
            </w:tcMar>
            <w:vAlign w:val="center"/>
          </w:tcPr>
          <w:p w14:paraId="34897842" w14:textId="77777777" w:rsidR="00AE5F45" w:rsidRDefault="00AE5F45" w:rsidP="00B34FCA">
            <w:pPr>
              <w:widowControl/>
              <w:spacing w:before="50" w:after="50"/>
              <w:rPr>
                <w:bCs/>
                <w:szCs w:val="22"/>
              </w:rPr>
            </w:pPr>
            <w:r w:rsidRPr="00D161AA">
              <w:rPr>
                <w:rFonts w:ascii="Wingdings" w:hAnsi="Wingdings"/>
                <w:b/>
                <w:bCs/>
                <w:color w:val="00B050"/>
                <w:sz w:val="22"/>
                <w:szCs w:val="22"/>
              </w:rPr>
              <w:t></w:t>
            </w:r>
            <w:r w:rsidRPr="00D161AA">
              <w:rPr>
                <w:b/>
                <w:bCs/>
                <w:sz w:val="16"/>
                <w:szCs w:val="16"/>
              </w:rPr>
              <w:t xml:space="preserve"> Meets</w:t>
            </w:r>
          </w:p>
        </w:tc>
      </w:tr>
      <w:tr w:rsidR="00AE5F45" w14:paraId="34897847" w14:textId="77777777" w:rsidTr="00A438FD">
        <w:trPr>
          <w:cantSplit/>
          <w:trHeight w:val="699"/>
          <w:jc w:val="center"/>
        </w:trPr>
        <w:tc>
          <w:tcPr>
            <w:tcW w:w="521" w:type="dxa"/>
            <w:vMerge w:val="restart"/>
            <w:shd w:val="clear" w:color="auto" w:fill="CCCCCC"/>
            <w:tcMar>
              <w:top w:w="43" w:type="dxa"/>
              <w:left w:w="43" w:type="dxa"/>
              <w:bottom w:w="43" w:type="dxa"/>
              <w:right w:w="43" w:type="dxa"/>
            </w:tcMar>
            <w:textDirection w:val="btLr"/>
            <w:vAlign w:val="center"/>
          </w:tcPr>
          <w:p w14:paraId="34897844" w14:textId="77777777" w:rsidR="00AE5F45" w:rsidRPr="0023384B" w:rsidRDefault="00AE5F45" w:rsidP="00B34FCA">
            <w:pPr>
              <w:widowControl/>
              <w:ind w:left="113" w:right="113"/>
              <w:jc w:val="center"/>
              <w:rPr>
                <w:b/>
                <w:bCs/>
                <w:sz w:val="22"/>
                <w:szCs w:val="22"/>
              </w:rPr>
            </w:pPr>
            <w:r w:rsidRPr="0023384B">
              <w:rPr>
                <w:b/>
                <w:bCs/>
                <w:sz w:val="22"/>
                <w:szCs w:val="22"/>
              </w:rPr>
              <w:t xml:space="preserve">Academic Program Success </w:t>
            </w:r>
          </w:p>
        </w:tc>
        <w:tc>
          <w:tcPr>
            <w:tcW w:w="8252" w:type="dxa"/>
            <w:gridSpan w:val="3"/>
            <w:tcMar>
              <w:top w:w="29" w:type="dxa"/>
              <w:left w:w="29" w:type="dxa"/>
              <w:bottom w:w="29" w:type="dxa"/>
              <w:right w:w="29" w:type="dxa"/>
            </w:tcMar>
            <w:vAlign w:val="center"/>
          </w:tcPr>
          <w:p w14:paraId="34897845"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Student Performance:</w:t>
            </w:r>
            <w:r w:rsidRPr="00376563">
              <w:rPr>
                <w:bCs/>
                <w:sz w:val="20"/>
                <w:szCs w:val="22"/>
              </w:rPr>
              <w:t xml:space="preserve"> The school consistently meets state student performance standards for academic growth, proficiency, and college and career readiness.</w:t>
            </w:r>
          </w:p>
        </w:tc>
        <w:tc>
          <w:tcPr>
            <w:tcW w:w="1078" w:type="dxa"/>
            <w:tcMar>
              <w:top w:w="43" w:type="dxa"/>
              <w:left w:w="43" w:type="dxa"/>
              <w:bottom w:w="43" w:type="dxa"/>
              <w:right w:w="43" w:type="dxa"/>
            </w:tcMar>
            <w:vAlign w:val="center"/>
          </w:tcPr>
          <w:p w14:paraId="34897846" w14:textId="77777777" w:rsidR="00AE5F45" w:rsidRDefault="00AE5F45" w:rsidP="00B34FCA">
            <w:pPr>
              <w:widowControl/>
              <w:tabs>
                <w:tab w:val="left" w:pos="450"/>
              </w:tabs>
              <w:spacing w:before="50" w:after="50"/>
              <w:rPr>
                <w:color w:val="222222"/>
                <w:szCs w:val="22"/>
              </w:rPr>
            </w:pPr>
            <w:r w:rsidRPr="00D161AA">
              <w:rPr>
                <w:rFonts w:ascii="Wingdings" w:hAnsi="Wingdings"/>
                <w:b/>
                <w:bCs/>
                <w:color w:val="FF0000"/>
                <w:sz w:val="22"/>
                <w:szCs w:val="22"/>
              </w:rPr>
              <w:t></w:t>
            </w:r>
            <w:r w:rsidRPr="00D161AA">
              <w:rPr>
                <w:b/>
                <w:bCs/>
                <w:color w:val="FF0000"/>
                <w:sz w:val="16"/>
                <w:szCs w:val="16"/>
              </w:rPr>
              <w:t xml:space="preserve"> </w:t>
            </w:r>
            <w:r w:rsidRPr="00D161AA">
              <w:rPr>
                <w:b/>
                <w:bCs/>
                <w:sz w:val="16"/>
                <w:szCs w:val="16"/>
              </w:rPr>
              <w:t>Falls Far Below</w:t>
            </w:r>
          </w:p>
        </w:tc>
      </w:tr>
      <w:tr w:rsidR="00AE5F45" w14:paraId="3489784C" w14:textId="77777777" w:rsidTr="00A438FD">
        <w:trPr>
          <w:cantSplit/>
          <w:trHeight w:val="175"/>
          <w:jc w:val="center"/>
        </w:trPr>
        <w:tc>
          <w:tcPr>
            <w:tcW w:w="521" w:type="dxa"/>
            <w:vMerge/>
            <w:shd w:val="clear" w:color="auto" w:fill="CCCCCC"/>
            <w:tcMar>
              <w:top w:w="43" w:type="dxa"/>
              <w:left w:w="43" w:type="dxa"/>
              <w:bottom w:w="43" w:type="dxa"/>
              <w:right w:w="43" w:type="dxa"/>
            </w:tcMar>
            <w:textDirection w:val="btLr"/>
            <w:vAlign w:val="center"/>
          </w:tcPr>
          <w:p w14:paraId="34897848" w14:textId="77777777" w:rsidR="00AE5F45" w:rsidRPr="0023384B" w:rsidRDefault="00AE5F45" w:rsidP="00B34FCA">
            <w:pPr>
              <w:widowControl/>
              <w:ind w:left="113" w:right="113"/>
              <w:jc w:val="center"/>
              <w:rPr>
                <w:b/>
                <w:bCs/>
                <w:sz w:val="22"/>
                <w:szCs w:val="22"/>
              </w:rPr>
            </w:pPr>
          </w:p>
        </w:tc>
        <w:tc>
          <w:tcPr>
            <w:tcW w:w="5548" w:type="dxa"/>
            <w:gridSpan w:val="2"/>
            <w:vMerge w:val="restart"/>
            <w:tcMar>
              <w:top w:w="29" w:type="dxa"/>
              <w:left w:w="29" w:type="dxa"/>
              <w:bottom w:w="29" w:type="dxa"/>
              <w:right w:w="29" w:type="dxa"/>
            </w:tcMar>
            <w:vAlign w:val="center"/>
          </w:tcPr>
          <w:p w14:paraId="34897849"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Program Delivery:</w:t>
            </w:r>
            <w:r w:rsidRPr="00376563">
              <w:rPr>
                <w:bCs/>
                <w:sz w:val="20"/>
                <w:szCs w:val="22"/>
              </w:rPr>
              <w:t xml:space="preserve"> The school delivers an academic program that provides improved academic outcomes and educational success for all students.</w:t>
            </w:r>
          </w:p>
        </w:tc>
        <w:tc>
          <w:tcPr>
            <w:tcW w:w="2704" w:type="dxa"/>
            <w:vAlign w:val="center"/>
          </w:tcPr>
          <w:p w14:paraId="3489784A" w14:textId="77777777" w:rsidR="00AE5F45" w:rsidRPr="00467F05" w:rsidRDefault="00AE5F45" w:rsidP="00B34FCA">
            <w:pPr>
              <w:widowControl/>
              <w:ind w:right="79"/>
              <w:rPr>
                <w:sz w:val="16"/>
                <w:szCs w:val="16"/>
              </w:rPr>
            </w:pPr>
            <w:r w:rsidRPr="00467F05">
              <w:rPr>
                <w:bCs/>
                <w:sz w:val="16"/>
                <w:szCs w:val="16"/>
              </w:rPr>
              <w:t>Curriculum</w:t>
            </w:r>
          </w:p>
        </w:tc>
        <w:tc>
          <w:tcPr>
            <w:tcW w:w="1078" w:type="dxa"/>
            <w:tcMar>
              <w:top w:w="43" w:type="dxa"/>
              <w:left w:w="43" w:type="dxa"/>
              <w:bottom w:w="43" w:type="dxa"/>
              <w:right w:w="43" w:type="dxa"/>
            </w:tcMar>
            <w:vAlign w:val="center"/>
          </w:tcPr>
          <w:p w14:paraId="3489784B" w14:textId="77777777" w:rsidR="00AE5F45" w:rsidRPr="00467F05" w:rsidRDefault="00AE5F45" w:rsidP="00B34FCA">
            <w:pPr>
              <w:pStyle w:val="ColorfulList-Accent11"/>
              <w:tabs>
                <w:tab w:val="left" w:pos="450"/>
              </w:tabs>
              <w:spacing w:before="50" w:after="50"/>
              <w:ind w:left="0"/>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AE5F45" w14:paraId="34897851" w14:textId="77777777" w:rsidTr="00A438FD">
        <w:trPr>
          <w:cantSplit/>
          <w:trHeight w:val="175"/>
          <w:jc w:val="center"/>
        </w:trPr>
        <w:tc>
          <w:tcPr>
            <w:tcW w:w="521" w:type="dxa"/>
            <w:vMerge/>
            <w:shd w:val="clear" w:color="auto" w:fill="CCCCCC"/>
            <w:tcMar>
              <w:top w:w="43" w:type="dxa"/>
              <w:left w:w="43" w:type="dxa"/>
              <w:bottom w:w="43" w:type="dxa"/>
              <w:right w:w="43" w:type="dxa"/>
            </w:tcMar>
            <w:textDirection w:val="btLr"/>
            <w:vAlign w:val="center"/>
          </w:tcPr>
          <w:p w14:paraId="3489784D" w14:textId="77777777" w:rsidR="00AE5F45" w:rsidRPr="0023384B" w:rsidRDefault="00AE5F45" w:rsidP="00B34FCA">
            <w:pPr>
              <w:widowControl/>
              <w:ind w:left="113" w:right="113"/>
              <w:jc w:val="center"/>
              <w:rPr>
                <w:b/>
                <w:bCs/>
                <w:sz w:val="22"/>
                <w:szCs w:val="22"/>
              </w:rPr>
            </w:pPr>
          </w:p>
        </w:tc>
        <w:tc>
          <w:tcPr>
            <w:tcW w:w="5548" w:type="dxa"/>
            <w:gridSpan w:val="2"/>
            <w:vMerge/>
            <w:tcMar>
              <w:top w:w="29" w:type="dxa"/>
              <w:left w:w="29" w:type="dxa"/>
              <w:bottom w:w="29" w:type="dxa"/>
              <w:right w:w="29" w:type="dxa"/>
            </w:tcMar>
            <w:vAlign w:val="center"/>
          </w:tcPr>
          <w:p w14:paraId="3489784E" w14:textId="77777777" w:rsidR="00AE5F45" w:rsidRPr="00376563" w:rsidRDefault="00AE5F45" w:rsidP="00B34FCA">
            <w:pPr>
              <w:pStyle w:val="ColorfulList-Accent11"/>
              <w:numPr>
                <w:ilvl w:val="0"/>
                <w:numId w:val="14"/>
              </w:numPr>
              <w:ind w:left="468" w:right="79"/>
              <w:rPr>
                <w:b/>
                <w:bCs/>
                <w:sz w:val="20"/>
                <w:szCs w:val="22"/>
              </w:rPr>
            </w:pPr>
          </w:p>
        </w:tc>
        <w:tc>
          <w:tcPr>
            <w:tcW w:w="2704" w:type="dxa"/>
            <w:vAlign w:val="center"/>
          </w:tcPr>
          <w:p w14:paraId="3489784F" w14:textId="77777777" w:rsidR="00AE5F45" w:rsidRPr="00467F05" w:rsidRDefault="00AE5F45" w:rsidP="00B34FCA">
            <w:pPr>
              <w:pStyle w:val="ColorfulList-Accent11"/>
              <w:ind w:left="31" w:right="79"/>
              <w:rPr>
                <w:bCs/>
                <w:sz w:val="16"/>
                <w:szCs w:val="16"/>
              </w:rPr>
            </w:pPr>
            <w:r w:rsidRPr="00467F05">
              <w:rPr>
                <w:bCs/>
                <w:sz w:val="16"/>
                <w:szCs w:val="16"/>
              </w:rPr>
              <w:t>Instruction</w:t>
            </w:r>
          </w:p>
        </w:tc>
        <w:tc>
          <w:tcPr>
            <w:tcW w:w="1078" w:type="dxa"/>
            <w:tcMar>
              <w:top w:w="43" w:type="dxa"/>
              <w:left w:w="43" w:type="dxa"/>
              <w:bottom w:w="43" w:type="dxa"/>
              <w:right w:w="43" w:type="dxa"/>
            </w:tcMar>
            <w:vAlign w:val="center"/>
          </w:tcPr>
          <w:p w14:paraId="34897850" w14:textId="77777777" w:rsidR="00AE5F45" w:rsidRPr="00467F05" w:rsidRDefault="00AE5F45" w:rsidP="00B34FCA">
            <w:pPr>
              <w:pStyle w:val="ColorfulList-Accent11"/>
              <w:tabs>
                <w:tab w:val="left" w:pos="450"/>
              </w:tabs>
              <w:spacing w:before="50" w:after="50"/>
              <w:ind w:left="0"/>
              <w:rPr>
                <w:color w:val="222222"/>
                <w:sz w:val="16"/>
                <w:szCs w:val="16"/>
              </w:rPr>
            </w:pPr>
            <w:r w:rsidRPr="00D161AA">
              <w:rPr>
                <w:rFonts w:ascii="Wingdings" w:hAnsi="Wingdings"/>
                <w:b/>
                <w:bCs/>
                <w:color w:val="FFC000"/>
                <w:sz w:val="22"/>
                <w:szCs w:val="22"/>
              </w:rPr>
              <w:t></w:t>
            </w:r>
            <w:r w:rsidRPr="00D161AA">
              <w:rPr>
                <w:b/>
                <w:bCs/>
                <w:sz w:val="16"/>
                <w:szCs w:val="16"/>
              </w:rPr>
              <w:t xml:space="preserve"> Partially Meets</w:t>
            </w:r>
          </w:p>
        </w:tc>
      </w:tr>
      <w:tr w:rsidR="00AE5F45" w14:paraId="34897856" w14:textId="77777777" w:rsidTr="00A438FD">
        <w:trPr>
          <w:cantSplit/>
          <w:trHeight w:val="175"/>
          <w:jc w:val="center"/>
        </w:trPr>
        <w:tc>
          <w:tcPr>
            <w:tcW w:w="521" w:type="dxa"/>
            <w:vMerge/>
            <w:shd w:val="clear" w:color="auto" w:fill="CCCCCC"/>
            <w:tcMar>
              <w:top w:w="43" w:type="dxa"/>
              <w:left w:w="43" w:type="dxa"/>
              <w:bottom w:w="43" w:type="dxa"/>
              <w:right w:w="43" w:type="dxa"/>
            </w:tcMar>
            <w:textDirection w:val="btLr"/>
            <w:vAlign w:val="center"/>
          </w:tcPr>
          <w:p w14:paraId="34897852" w14:textId="77777777" w:rsidR="00AE5F45" w:rsidRPr="0023384B" w:rsidRDefault="00AE5F45" w:rsidP="00B34FCA">
            <w:pPr>
              <w:widowControl/>
              <w:ind w:left="113" w:right="113"/>
              <w:jc w:val="center"/>
              <w:rPr>
                <w:b/>
                <w:bCs/>
                <w:sz w:val="22"/>
                <w:szCs w:val="22"/>
              </w:rPr>
            </w:pPr>
          </w:p>
        </w:tc>
        <w:tc>
          <w:tcPr>
            <w:tcW w:w="5548" w:type="dxa"/>
            <w:gridSpan w:val="2"/>
            <w:vMerge/>
            <w:tcMar>
              <w:top w:w="29" w:type="dxa"/>
              <w:left w:w="29" w:type="dxa"/>
              <w:bottom w:w="29" w:type="dxa"/>
              <w:right w:w="29" w:type="dxa"/>
            </w:tcMar>
            <w:vAlign w:val="center"/>
          </w:tcPr>
          <w:p w14:paraId="34897853" w14:textId="77777777" w:rsidR="00AE5F45" w:rsidRPr="00376563" w:rsidRDefault="00AE5F45" w:rsidP="00B34FCA">
            <w:pPr>
              <w:pStyle w:val="ColorfulList-Accent11"/>
              <w:numPr>
                <w:ilvl w:val="0"/>
                <w:numId w:val="14"/>
              </w:numPr>
              <w:ind w:left="468" w:right="79"/>
              <w:rPr>
                <w:b/>
                <w:bCs/>
                <w:sz w:val="20"/>
                <w:szCs w:val="22"/>
              </w:rPr>
            </w:pPr>
          </w:p>
        </w:tc>
        <w:tc>
          <w:tcPr>
            <w:tcW w:w="2704" w:type="dxa"/>
            <w:vAlign w:val="center"/>
          </w:tcPr>
          <w:p w14:paraId="34897854" w14:textId="77777777" w:rsidR="00AE5F45" w:rsidRPr="00467F05" w:rsidRDefault="00AE5F45" w:rsidP="00B34FCA">
            <w:pPr>
              <w:pStyle w:val="ColorfulList-Accent11"/>
              <w:ind w:left="31" w:right="79"/>
              <w:rPr>
                <w:bCs/>
                <w:sz w:val="16"/>
                <w:szCs w:val="16"/>
              </w:rPr>
            </w:pPr>
            <w:r w:rsidRPr="00467F05">
              <w:rPr>
                <w:bCs/>
                <w:sz w:val="16"/>
                <w:szCs w:val="16"/>
              </w:rPr>
              <w:t>Assessment and Program Evaluation</w:t>
            </w:r>
          </w:p>
        </w:tc>
        <w:tc>
          <w:tcPr>
            <w:tcW w:w="1078" w:type="dxa"/>
            <w:tcMar>
              <w:top w:w="43" w:type="dxa"/>
              <w:left w:w="43" w:type="dxa"/>
              <w:bottom w:w="43" w:type="dxa"/>
              <w:right w:w="43" w:type="dxa"/>
            </w:tcMar>
            <w:vAlign w:val="center"/>
          </w:tcPr>
          <w:p w14:paraId="34897855" w14:textId="77777777" w:rsidR="00AE5F45" w:rsidRPr="00467F05" w:rsidRDefault="00AE5F45" w:rsidP="00B34FCA">
            <w:pPr>
              <w:pStyle w:val="ColorfulList-Accent11"/>
              <w:tabs>
                <w:tab w:val="left" w:pos="450"/>
              </w:tabs>
              <w:spacing w:before="50" w:after="50"/>
              <w:ind w:left="0"/>
              <w:rPr>
                <w:color w:val="222222"/>
                <w:sz w:val="16"/>
                <w:szCs w:val="16"/>
              </w:rPr>
            </w:pPr>
            <w:r w:rsidRPr="00D161AA">
              <w:rPr>
                <w:rFonts w:ascii="Wingdings" w:hAnsi="Wingdings"/>
                <w:b/>
                <w:bCs/>
                <w:color w:val="FFC000"/>
                <w:sz w:val="22"/>
                <w:szCs w:val="22"/>
              </w:rPr>
              <w:t></w:t>
            </w:r>
            <w:r w:rsidRPr="00D161AA">
              <w:rPr>
                <w:b/>
                <w:bCs/>
                <w:sz w:val="16"/>
                <w:szCs w:val="16"/>
              </w:rPr>
              <w:t xml:space="preserve"> Partially Meets</w:t>
            </w:r>
          </w:p>
        </w:tc>
      </w:tr>
      <w:tr w:rsidR="00AE5F45" w14:paraId="3489785B" w14:textId="77777777" w:rsidTr="00A438FD">
        <w:trPr>
          <w:cantSplit/>
          <w:trHeight w:val="175"/>
          <w:jc w:val="center"/>
        </w:trPr>
        <w:tc>
          <w:tcPr>
            <w:tcW w:w="521" w:type="dxa"/>
            <w:vMerge/>
            <w:shd w:val="clear" w:color="auto" w:fill="CCCCCC"/>
            <w:tcMar>
              <w:top w:w="43" w:type="dxa"/>
              <w:left w:w="43" w:type="dxa"/>
              <w:bottom w:w="43" w:type="dxa"/>
              <w:right w:w="43" w:type="dxa"/>
            </w:tcMar>
            <w:textDirection w:val="btLr"/>
            <w:vAlign w:val="center"/>
          </w:tcPr>
          <w:p w14:paraId="34897857" w14:textId="77777777" w:rsidR="00AE5F45" w:rsidRPr="0023384B" w:rsidRDefault="00AE5F45" w:rsidP="00B34FCA">
            <w:pPr>
              <w:widowControl/>
              <w:ind w:left="113" w:right="113"/>
              <w:jc w:val="center"/>
              <w:rPr>
                <w:b/>
                <w:bCs/>
                <w:sz w:val="22"/>
                <w:szCs w:val="22"/>
              </w:rPr>
            </w:pPr>
          </w:p>
        </w:tc>
        <w:tc>
          <w:tcPr>
            <w:tcW w:w="5548" w:type="dxa"/>
            <w:gridSpan w:val="2"/>
            <w:vMerge/>
            <w:tcMar>
              <w:top w:w="29" w:type="dxa"/>
              <w:left w:w="29" w:type="dxa"/>
              <w:bottom w:w="29" w:type="dxa"/>
              <w:right w:w="29" w:type="dxa"/>
            </w:tcMar>
            <w:vAlign w:val="center"/>
          </w:tcPr>
          <w:p w14:paraId="34897858" w14:textId="77777777" w:rsidR="00AE5F45" w:rsidRPr="00376563" w:rsidRDefault="00AE5F45" w:rsidP="00B34FCA">
            <w:pPr>
              <w:pStyle w:val="ColorfulList-Accent11"/>
              <w:numPr>
                <w:ilvl w:val="0"/>
                <w:numId w:val="14"/>
              </w:numPr>
              <w:ind w:left="468" w:right="79"/>
              <w:rPr>
                <w:b/>
                <w:bCs/>
                <w:sz w:val="20"/>
                <w:szCs w:val="22"/>
              </w:rPr>
            </w:pPr>
          </w:p>
        </w:tc>
        <w:tc>
          <w:tcPr>
            <w:tcW w:w="2704" w:type="dxa"/>
            <w:vAlign w:val="center"/>
          </w:tcPr>
          <w:p w14:paraId="34897859" w14:textId="77777777" w:rsidR="00AE5F45" w:rsidRPr="00467F05" w:rsidRDefault="00AE5F45" w:rsidP="00B34FCA">
            <w:pPr>
              <w:pStyle w:val="ColorfulList-Accent11"/>
              <w:ind w:left="31" w:right="79"/>
              <w:rPr>
                <w:bCs/>
                <w:sz w:val="16"/>
                <w:szCs w:val="16"/>
              </w:rPr>
            </w:pPr>
            <w:r w:rsidRPr="00467F05">
              <w:rPr>
                <w:bCs/>
                <w:sz w:val="16"/>
                <w:szCs w:val="16"/>
              </w:rPr>
              <w:t>Supports for Diverse Learners</w:t>
            </w:r>
          </w:p>
        </w:tc>
        <w:tc>
          <w:tcPr>
            <w:tcW w:w="1078" w:type="dxa"/>
            <w:tcMar>
              <w:top w:w="43" w:type="dxa"/>
              <w:left w:w="43" w:type="dxa"/>
              <w:bottom w:w="43" w:type="dxa"/>
              <w:right w:w="43" w:type="dxa"/>
            </w:tcMar>
            <w:vAlign w:val="center"/>
          </w:tcPr>
          <w:p w14:paraId="3489785A" w14:textId="77777777" w:rsidR="00AE5F45" w:rsidRPr="00467F05" w:rsidRDefault="00AE5F45" w:rsidP="00B34FCA">
            <w:pPr>
              <w:pStyle w:val="ColorfulList-Accent11"/>
              <w:tabs>
                <w:tab w:val="left" w:pos="450"/>
              </w:tabs>
              <w:spacing w:before="50" w:after="50"/>
              <w:ind w:left="0"/>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AE5F45" w14:paraId="34897860" w14:textId="77777777" w:rsidTr="00A438FD">
        <w:trPr>
          <w:cantSplit/>
          <w:trHeight w:val="22"/>
          <w:jc w:val="center"/>
        </w:trPr>
        <w:tc>
          <w:tcPr>
            <w:tcW w:w="521" w:type="dxa"/>
            <w:vMerge/>
            <w:shd w:val="clear" w:color="auto" w:fill="CCCCCC"/>
            <w:tcMar>
              <w:top w:w="43" w:type="dxa"/>
              <w:left w:w="43" w:type="dxa"/>
              <w:bottom w:w="43" w:type="dxa"/>
              <w:right w:w="43" w:type="dxa"/>
            </w:tcMar>
            <w:textDirection w:val="btLr"/>
            <w:vAlign w:val="center"/>
          </w:tcPr>
          <w:p w14:paraId="3489785C" w14:textId="77777777" w:rsidR="00AE5F45" w:rsidRPr="0023384B" w:rsidRDefault="00AE5F45" w:rsidP="00B34FCA">
            <w:pPr>
              <w:widowControl/>
              <w:ind w:left="113" w:right="113"/>
              <w:jc w:val="center"/>
              <w:rPr>
                <w:b/>
                <w:sz w:val="22"/>
                <w:szCs w:val="22"/>
              </w:rPr>
            </w:pPr>
          </w:p>
        </w:tc>
        <w:tc>
          <w:tcPr>
            <w:tcW w:w="5548" w:type="dxa"/>
            <w:gridSpan w:val="2"/>
            <w:vMerge w:val="restart"/>
            <w:tcMar>
              <w:top w:w="29" w:type="dxa"/>
              <w:left w:w="29" w:type="dxa"/>
              <w:bottom w:w="29" w:type="dxa"/>
              <w:right w:w="29" w:type="dxa"/>
            </w:tcMar>
            <w:vAlign w:val="center"/>
          </w:tcPr>
          <w:p w14:paraId="3489785D"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Culture and Family Engagement:</w:t>
            </w:r>
            <w:r w:rsidRPr="00376563">
              <w:rPr>
                <w:bCs/>
                <w:sz w:val="20"/>
                <w:szCs w:val="22"/>
              </w:rPr>
              <w:t xml:space="preserve"> The school supports students’ social and emotional health in a safe and respectful learning environment that engages families.</w:t>
            </w:r>
          </w:p>
        </w:tc>
        <w:tc>
          <w:tcPr>
            <w:tcW w:w="2704" w:type="dxa"/>
            <w:vAlign w:val="center"/>
          </w:tcPr>
          <w:p w14:paraId="3489785E" w14:textId="77777777" w:rsidR="00AE5F45" w:rsidRPr="00467F05" w:rsidRDefault="00AE5F45" w:rsidP="00B34FCA">
            <w:pPr>
              <w:pStyle w:val="ColorfulList-Accent11"/>
              <w:ind w:left="31" w:right="79"/>
              <w:rPr>
                <w:sz w:val="16"/>
                <w:szCs w:val="16"/>
              </w:rPr>
            </w:pPr>
            <w:r w:rsidRPr="00467F05">
              <w:rPr>
                <w:bCs/>
                <w:sz w:val="16"/>
                <w:szCs w:val="16"/>
              </w:rPr>
              <w:t>Social, Emotional and Health Needs</w:t>
            </w:r>
          </w:p>
        </w:tc>
        <w:tc>
          <w:tcPr>
            <w:tcW w:w="1078" w:type="dxa"/>
            <w:tcMar>
              <w:top w:w="43" w:type="dxa"/>
              <w:left w:w="43" w:type="dxa"/>
              <w:bottom w:w="43" w:type="dxa"/>
              <w:right w:w="43" w:type="dxa"/>
            </w:tcMar>
            <w:vAlign w:val="center"/>
          </w:tcPr>
          <w:p w14:paraId="3489785F" w14:textId="77777777" w:rsidR="00AE5F45" w:rsidRPr="00F95AA2" w:rsidRDefault="00AE5F45" w:rsidP="00B34FCA">
            <w:pPr>
              <w:widowControl/>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AE5F45" w14:paraId="34897865" w14:textId="77777777" w:rsidTr="00A438FD">
        <w:trPr>
          <w:cantSplit/>
          <w:trHeight w:val="349"/>
          <w:jc w:val="center"/>
        </w:trPr>
        <w:tc>
          <w:tcPr>
            <w:tcW w:w="521" w:type="dxa"/>
            <w:vMerge/>
            <w:shd w:val="clear" w:color="auto" w:fill="CCCCCC"/>
            <w:tcMar>
              <w:top w:w="43" w:type="dxa"/>
              <w:left w:w="43" w:type="dxa"/>
              <w:bottom w:w="43" w:type="dxa"/>
              <w:right w:w="43" w:type="dxa"/>
            </w:tcMar>
            <w:textDirection w:val="btLr"/>
            <w:vAlign w:val="center"/>
          </w:tcPr>
          <w:p w14:paraId="34897861" w14:textId="77777777" w:rsidR="00AE5F45" w:rsidRPr="0023384B" w:rsidRDefault="00AE5F45" w:rsidP="00B34FCA">
            <w:pPr>
              <w:widowControl/>
              <w:ind w:left="113" w:right="113"/>
              <w:jc w:val="center"/>
              <w:rPr>
                <w:b/>
                <w:sz w:val="22"/>
                <w:szCs w:val="22"/>
              </w:rPr>
            </w:pPr>
          </w:p>
        </w:tc>
        <w:tc>
          <w:tcPr>
            <w:tcW w:w="5548" w:type="dxa"/>
            <w:gridSpan w:val="2"/>
            <w:vMerge/>
            <w:tcMar>
              <w:top w:w="29" w:type="dxa"/>
              <w:left w:w="29" w:type="dxa"/>
              <w:bottom w:w="29" w:type="dxa"/>
              <w:right w:w="29" w:type="dxa"/>
            </w:tcMar>
            <w:vAlign w:val="center"/>
          </w:tcPr>
          <w:p w14:paraId="34897862" w14:textId="77777777" w:rsidR="00AE5F45" w:rsidRPr="00376563" w:rsidRDefault="00AE5F45" w:rsidP="00B34FCA">
            <w:pPr>
              <w:pStyle w:val="ColorfulList-Accent11"/>
              <w:numPr>
                <w:ilvl w:val="0"/>
                <w:numId w:val="14"/>
              </w:numPr>
              <w:ind w:left="468" w:right="79"/>
              <w:rPr>
                <w:b/>
                <w:bCs/>
                <w:sz w:val="20"/>
                <w:szCs w:val="22"/>
              </w:rPr>
            </w:pPr>
          </w:p>
        </w:tc>
        <w:tc>
          <w:tcPr>
            <w:tcW w:w="2704" w:type="dxa"/>
            <w:vAlign w:val="center"/>
          </w:tcPr>
          <w:p w14:paraId="34897863" w14:textId="77777777" w:rsidR="00AE5F45" w:rsidRPr="00467F05" w:rsidRDefault="00AE5F45" w:rsidP="00B34FCA">
            <w:pPr>
              <w:pStyle w:val="ColorfulList-Accent11"/>
              <w:ind w:left="31" w:right="79"/>
              <w:rPr>
                <w:bCs/>
                <w:sz w:val="16"/>
                <w:szCs w:val="16"/>
              </w:rPr>
            </w:pPr>
            <w:r w:rsidRPr="00467F05">
              <w:rPr>
                <w:bCs/>
                <w:sz w:val="16"/>
                <w:szCs w:val="16"/>
              </w:rPr>
              <w:t>Family Engagement</w:t>
            </w:r>
          </w:p>
        </w:tc>
        <w:tc>
          <w:tcPr>
            <w:tcW w:w="1078" w:type="dxa"/>
            <w:tcMar>
              <w:top w:w="43" w:type="dxa"/>
              <w:left w:w="43" w:type="dxa"/>
              <w:bottom w:w="43" w:type="dxa"/>
              <w:right w:w="43" w:type="dxa"/>
            </w:tcMar>
            <w:vAlign w:val="center"/>
          </w:tcPr>
          <w:p w14:paraId="34897864" w14:textId="77777777" w:rsidR="00AE5F45" w:rsidRPr="00F95AA2" w:rsidRDefault="00AE5F45" w:rsidP="00B34FCA">
            <w:pPr>
              <w:widowControl/>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AE5F45" w14:paraId="3489786A" w14:textId="77777777" w:rsidTr="00A438FD">
        <w:trPr>
          <w:cantSplit/>
          <w:trHeight w:val="233"/>
          <w:jc w:val="center"/>
        </w:trPr>
        <w:tc>
          <w:tcPr>
            <w:tcW w:w="521" w:type="dxa"/>
            <w:vMerge w:val="restart"/>
            <w:shd w:val="clear" w:color="auto" w:fill="CCCCCC"/>
            <w:tcMar>
              <w:top w:w="43" w:type="dxa"/>
              <w:left w:w="43" w:type="dxa"/>
              <w:bottom w:w="43" w:type="dxa"/>
              <w:right w:w="43" w:type="dxa"/>
            </w:tcMar>
            <w:textDirection w:val="btLr"/>
            <w:vAlign w:val="center"/>
          </w:tcPr>
          <w:p w14:paraId="34897866" w14:textId="77777777" w:rsidR="00AE5F45" w:rsidRPr="0023384B" w:rsidRDefault="00AE5F45" w:rsidP="00B34FCA">
            <w:pPr>
              <w:widowControl/>
              <w:ind w:left="113" w:right="113"/>
              <w:jc w:val="center"/>
              <w:rPr>
                <w:b/>
                <w:bCs/>
                <w:sz w:val="22"/>
                <w:szCs w:val="22"/>
              </w:rPr>
            </w:pPr>
            <w:r w:rsidRPr="0023384B">
              <w:rPr>
                <w:b/>
                <w:bCs/>
                <w:sz w:val="22"/>
                <w:szCs w:val="22"/>
              </w:rPr>
              <w:t>Organizational Viability</w:t>
            </w:r>
          </w:p>
        </w:tc>
        <w:tc>
          <w:tcPr>
            <w:tcW w:w="5548" w:type="dxa"/>
            <w:gridSpan w:val="2"/>
            <w:vMerge w:val="restart"/>
            <w:tcMar>
              <w:top w:w="29" w:type="dxa"/>
              <w:left w:w="29" w:type="dxa"/>
              <w:bottom w:w="29" w:type="dxa"/>
              <w:right w:w="29" w:type="dxa"/>
            </w:tcMar>
            <w:vAlign w:val="center"/>
          </w:tcPr>
          <w:p w14:paraId="34897867"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Capacity:</w:t>
            </w:r>
            <w:r w:rsidRPr="00376563">
              <w:rPr>
                <w:bCs/>
                <w:sz w:val="20"/>
                <w:szCs w:val="22"/>
              </w:rPr>
              <w:t xml:space="preserve"> </w:t>
            </w:r>
            <w:r w:rsidRPr="00376563">
              <w:rPr>
                <w:sz w:val="20"/>
                <w:szCs w:val="22"/>
              </w:rPr>
              <w:t xml:space="preserve">The school sustains a well-functioning organizational structure and creates a professional working climate for all staff.  </w:t>
            </w:r>
          </w:p>
        </w:tc>
        <w:tc>
          <w:tcPr>
            <w:tcW w:w="2704" w:type="dxa"/>
            <w:vAlign w:val="center"/>
          </w:tcPr>
          <w:p w14:paraId="34897868" w14:textId="77777777" w:rsidR="00AE5F45" w:rsidRPr="00467F05" w:rsidRDefault="00AE5F45" w:rsidP="00B34FCA">
            <w:pPr>
              <w:pStyle w:val="ColorfulList-Accent11"/>
              <w:ind w:left="31" w:right="79"/>
              <w:rPr>
                <w:sz w:val="16"/>
                <w:szCs w:val="16"/>
              </w:rPr>
            </w:pPr>
            <w:r w:rsidRPr="00467F05">
              <w:rPr>
                <w:bCs/>
                <w:sz w:val="16"/>
                <w:szCs w:val="16"/>
              </w:rPr>
              <w:t>School Leadership</w:t>
            </w:r>
          </w:p>
        </w:tc>
        <w:tc>
          <w:tcPr>
            <w:tcW w:w="1078" w:type="dxa"/>
            <w:tcMar>
              <w:top w:w="43" w:type="dxa"/>
              <w:left w:w="43" w:type="dxa"/>
              <w:bottom w:w="43" w:type="dxa"/>
              <w:right w:w="43" w:type="dxa"/>
            </w:tcMar>
            <w:vAlign w:val="center"/>
          </w:tcPr>
          <w:p w14:paraId="34897869" w14:textId="77777777" w:rsidR="00AE5F45" w:rsidRPr="00F95AA2" w:rsidRDefault="00AE5F45" w:rsidP="00B34FCA">
            <w:pPr>
              <w:widowControl/>
              <w:rPr>
                <w:b/>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AE5F45" w14:paraId="3489786F" w14:textId="77777777" w:rsidTr="00A438FD">
        <w:trPr>
          <w:cantSplit/>
          <w:trHeight w:val="233"/>
          <w:jc w:val="center"/>
        </w:trPr>
        <w:tc>
          <w:tcPr>
            <w:tcW w:w="521" w:type="dxa"/>
            <w:vMerge/>
            <w:shd w:val="clear" w:color="auto" w:fill="CCCCCC"/>
            <w:tcMar>
              <w:top w:w="43" w:type="dxa"/>
              <w:left w:w="43" w:type="dxa"/>
              <w:bottom w:w="43" w:type="dxa"/>
              <w:right w:w="43" w:type="dxa"/>
            </w:tcMar>
            <w:textDirection w:val="btLr"/>
            <w:vAlign w:val="center"/>
          </w:tcPr>
          <w:p w14:paraId="3489786B" w14:textId="77777777" w:rsidR="00AE5F45" w:rsidRPr="0023384B" w:rsidRDefault="00AE5F45" w:rsidP="00B34FCA">
            <w:pPr>
              <w:widowControl/>
              <w:ind w:left="113" w:right="113"/>
              <w:jc w:val="center"/>
              <w:rPr>
                <w:b/>
                <w:bCs/>
                <w:sz w:val="22"/>
                <w:szCs w:val="22"/>
              </w:rPr>
            </w:pPr>
          </w:p>
        </w:tc>
        <w:tc>
          <w:tcPr>
            <w:tcW w:w="5548" w:type="dxa"/>
            <w:gridSpan w:val="2"/>
            <w:vMerge/>
            <w:tcMar>
              <w:top w:w="29" w:type="dxa"/>
              <w:left w:w="29" w:type="dxa"/>
              <w:bottom w:w="29" w:type="dxa"/>
              <w:right w:w="29" w:type="dxa"/>
            </w:tcMar>
            <w:vAlign w:val="center"/>
          </w:tcPr>
          <w:p w14:paraId="3489786C" w14:textId="77777777" w:rsidR="00AE5F45" w:rsidRPr="0023384B" w:rsidRDefault="00AE5F45" w:rsidP="00B34FCA">
            <w:pPr>
              <w:pStyle w:val="ColorfulList-Accent11"/>
              <w:numPr>
                <w:ilvl w:val="0"/>
                <w:numId w:val="14"/>
              </w:numPr>
              <w:ind w:left="468" w:right="79"/>
              <w:rPr>
                <w:b/>
                <w:bCs/>
                <w:sz w:val="22"/>
                <w:szCs w:val="22"/>
              </w:rPr>
            </w:pPr>
          </w:p>
        </w:tc>
        <w:tc>
          <w:tcPr>
            <w:tcW w:w="2704" w:type="dxa"/>
            <w:vAlign w:val="center"/>
          </w:tcPr>
          <w:p w14:paraId="3489786D" w14:textId="77777777" w:rsidR="00AE5F45" w:rsidRPr="00467F05" w:rsidRDefault="00AE5F45" w:rsidP="00B34FCA">
            <w:pPr>
              <w:pStyle w:val="ColorfulList-Accent11"/>
              <w:ind w:left="31" w:right="79"/>
              <w:rPr>
                <w:bCs/>
                <w:sz w:val="16"/>
                <w:szCs w:val="16"/>
              </w:rPr>
            </w:pPr>
            <w:r w:rsidRPr="00467F05">
              <w:rPr>
                <w:bCs/>
                <w:sz w:val="16"/>
                <w:szCs w:val="16"/>
              </w:rPr>
              <w:t>Professional Climate</w:t>
            </w:r>
          </w:p>
        </w:tc>
        <w:tc>
          <w:tcPr>
            <w:tcW w:w="1078" w:type="dxa"/>
            <w:tcMar>
              <w:top w:w="43" w:type="dxa"/>
              <w:left w:w="43" w:type="dxa"/>
              <w:bottom w:w="43" w:type="dxa"/>
              <w:right w:w="43" w:type="dxa"/>
            </w:tcMar>
            <w:vAlign w:val="center"/>
          </w:tcPr>
          <w:p w14:paraId="3489786E" w14:textId="77777777" w:rsidR="00AE5F45" w:rsidRPr="00F95AA2" w:rsidRDefault="00AE5F45" w:rsidP="00B34FCA">
            <w:pPr>
              <w:widowControl/>
              <w:rPr>
                <w:b/>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AE5F45" w14:paraId="34897874" w14:textId="77777777" w:rsidTr="00A438FD">
        <w:trPr>
          <w:cantSplit/>
          <w:trHeight w:val="233"/>
          <w:jc w:val="center"/>
        </w:trPr>
        <w:tc>
          <w:tcPr>
            <w:tcW w:w="521" w:type="dxa"/>
            <w:vMerge/>
            <w:shd w:val="clear" w:color="auto" w:fill="CCCCCC"/>
            <w:tcMar>
              <w:top w:w="43" w:type="dxa"/>
              <w:left w:w="43" w:type="dxa"/>
              <w:bottom w:w="43" w:type="dxa"/>
              <w:right w:w="43" w:type="dxa"/>
            </w:tcMar>
            <w:textDirection w:val="btLr"/>
            <w:vAlign w:val="center"/>
          </w:tcPr>
          <w:p w14:paraId="34897870" w14:textId="77777777" w:rsidR="00AE5F45" w:rsidRPr="0023384B" w:rsidRDefault="00AE5F45" w:rsidP="00B34FCA">
            <w:pPr>
              <w:widowControl/>
              <w:ind w:left="113" w:right="113"/>
              <w:jc w:val="center"/>
              <w:rPr>
                <w:b/>
                <w:bCs/>
                <w:sz w:val="22"/>
                <w:szCs w:val="22"/>
              </w:rPr>
            </w:pPr>
          </w:p>
        </w:tc>
        <w:tc>
          <w:tcPr>
            <w:tcW w:w="5548" w:type="dxa"/>
            <w:gridSpan w:val="2"/>
            <w:vMerge/>
            <w:tcMar>
              <w:top w:w="29" w:type="dxa"/>
              <w:left w:w="29" w:type="dxa"/>
              <w:bottom w:w="29" w:type="dxa"/>
              <w:right w:w="29" w:type="dxa"/>
            </w:tcMar>
            <w:vAlign w:val="center"/>
          </w:tcPr>
          <w:p w14:paraId="34897871" w14:textId="77777777" w:rsidR="00AE5F45" w:rsidRPr="0023384B" w:rsidRDefault="00AE5F45" w:rsidP="00B34FCA">
            <w:pPr>
              <w:pStyle w:val="ColorfulList-Accent11"/>
              <w:numPr>
                <w:ilvl w:val="0"/>
                <w:numId w:val="14"/>
              </w:numPr>
              <w:ind w:left="468" w:right="79"/>
              <w:rPr>
                <w:b/>
                <w:bCs/>
                <w:sz w:val="22"/>
                <w:szCs w:val="22"/>
              </w:rPr>
            </w:pPr>
          </w:p>
        </w:tc>
        <w:tc>
          <w:tcPr>
            <w:tcW w:w="2704" w:type="dxa"/>
            <w:vAlign w:val="center"/>
          </w:tcPr>
          <w:p w14:paraId="34897872" w14:textId="77777777" w:rsidR="00AE5F45" w:rsidRPr="00467F05" w:rsidRDefault="00AE5F45" w:rsidP="00B34FCA">
            <w:pPr>
              <w:pStyle w:val="ColorfulList-Accent11"/>
              <w:ind w:left="31" w:right="79"/>
              <w:rPr>
                <w:bCs/>
                <w:sz w:val="16"/>
                <w:szCs w:val="16"/>
              </w:rPr>
            </w:pPr>
            <w:r w:rsidRPr="00467F05">
              <w:rPr>
                <w:bCs/>
                <w:sz w:val="16"/>
                <w:szCs w:val="16"/>
              </w:rPr>
              <w:t>Contractual Relationships (If applicable)</w:t>
            </w:r>
          </w:p>
        </w:tc>
        <w:tc>
          <w:tcPr>
            <w:tcW w:w="1078" w:type="dxa"/>
            <w:tcMar>
              <w:top w:w="43" w:type="dxa"/>
              <w:left w:w="43" w:type="dxa"/>
              <w:bottom w:w="43" w:type="dxa"/>
              <w:right w:w="43" w:type="dxa"/>
            </w:tcMar>
            <w:vAlign w:val="center"/>
          </w:tcPr>
          <w:p w14:paraId="34897873" w14:textId="77777777" w:rsidR="00AE5F45" w:rsidRPr="00F95AA2" w:rsidRDefault="00AE5F45" w:rsidP="00B34FCA">
            <w:pPr>
              <w:widowControl/>
              <w:rPr>
                <w:b/>
                <w:color w:val="222222"/>
                <w:sz w:val="16"/>
                <w:szCs w:val="16"/>
              </w:rPr>
            </w:pPr>
            <w:r w:rsidRPr="00D161AA">
              <w:rPr>
                <w:rFonts w:ascii="Wingdings" w:hAnsi="Wingdings"/>
                <w:b/>
                <w:bCs/>
                <w:color w:val="FFC000"/>
                <w:sz w:val="22"/>
                <w:szCs w:val="22"/>
              </w:rPr>
              <w:t></w:t>
            </w:r>
            <w:r w:rsidRPr="00D161AA">
              <w:rPr>
                <w:b/>
                <w:bCs/>
                <w:sz w:val="16"/>
                <w:szCs w:val="16"/>
              </w:rPr>
              <w:t xml:space="preserve"> Partially Meets</w:t>
            </w:r>
          </w:p>
        </w:tc>
      </w:tr>
      <w:tr w:rsidR="00AE5F45" w14:paraId="34897878" w14:textId="77777777" w:rsidTr="00A438FD">
        <w:trPr>
          <w:trHeight w:val="699"/>
          <w:jc w:val="center"/>
        </w:trPr>
        <w:tc>
          <w:tcPr>
            <w:tcW w:w="521" w:type="dxa"/>
            <w:vMerge/>
            <w:shd w:val="clear" w:color="auto" w:fill="CCCCCC"/>
            <w:tcMar>
              <w:top w:w="43" w:type="dxa"/>
              <w:left w:w="43" w:type="dxa"/>
              <w:bottom w:w="43" w:type="dxa"/>
              <w:right w:w="43" w:type="dxa"/>
            </w:tcMar>
          </w:tcPr>
          <w:p w14:paraId="34897875" w14:textId="77777777" w:rsidR="00AE5F45" w:rsidRDefault="00AE5F45" w:rsidP="00B34FCA">
            <w:pPr>
              <w:widowControl/>
            </w:pPr>
          </w:p>
        </w:tc>
        <w:tc>
          <w:tcPr>
            <w:tcW w:w="8252" w:type="dxa"/>
            <w:gridSpan w:val="3"/>
            <w:tcMar>
              <w:top w:w="29" w:type="dxa"/>
              <w:left w:w="29" w:type="dxa"/>
              <w:bottom w:w="29" w:type="dxa"/>
              <w:right w:w="29" w:type="dxa"/>
            </w:tcMar>
            <w:vAlign w:val="center"/>
          </w:tcPr>
          <w:p w14:paraId="34897876"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Governance:</w:t>
            </w:r>
            <w:r w:rsidRPr="00376563">
              <w:rPr>
                <w:bCs/>
                <w:sz w:val="20"/>
                <w:szCs w:val="22"/>
              </w:rPr>
              <w:t xml:space="preserve"> Members of the board of trustees act as public agents authorized by the state and provide competent and appropriate governance to ensure the success and sustainability of the school.</w:t>
            </w:r>
          </w:p>
        </w:tc>
        <w:tc>
          <w:tcPr>
            <w:tcW w:w="1078" w:type="dxa"/>
            <w:tcMar>
              <w:top w:w="43" w:type="dxa"/>
              <w:left w:w="43" w:type="dxa"/>
              <w:bottom w:w="43" w:type="dxa"/>
              <w:right w:w="43" w:type="dxa"/>
            </w:tcMar>
            <w:vAlign w:val="center"/>
          </w:tcPr>
          <w:p w14:paraId="34897877" w14:textId="77777777" w:rsidR="00AE5F45" w:rsidRDefault="00AE5F45" w:rsidP="00B34FCA">
            <w:pPr>
              <w:widowControl/>
              <w:rPr>
                <w:color w:val="222222"/>
                <w:sz w:val="22"/>
                <w:szCs w:val="22"/>
              </w:rPr>
            </w:pPr>
            <w:r w:rsidRPr="00D161AA">
              <w:rPr>
                <w:rFonts w:ascii="Wingdings" w:hAnsi="Wingdings"/>
                <w:b/>
                <w:bCs/>
                <w:color w:val="FFC000"/>
                <w:sz w:val="22"/>
                <w:szCs w:val="22"/>
              </w:rPr>
              <w:t></w:t>
            </w:r>
            <w:r w:rsidRPr="00D161AA">
              <w:rPr>
                <w:b/>
                <w:bCs/>
                <w:sz w:val="16"/>
                <w:szCs w:val="16"/>
              </w:rPr>
              <w:t xml:space="preserve"> Partially Meets</w:t>
            </w:r>
          </w:p>
        </w:tc>
      </w:tr>
      <w:tr w:rsidR="00AE5F45" w14:paraId="3489787C" w14:textId="77777777" w:rsidTr="00A438FD">
        <w:trPr>
          <w:trHeight w:val="699"/>
          <w:jc w:val="center"/>
        </w:trPr>
        <w:tc>
          <w:tcPr>
            <w:tcW w:w="521" w:type="dxa"/>
            <w:vMerge/>
            <w:shd w:val="clear" w:color="auto" w:fill="CCCCCC"/>
            <w:tcMar>
              <w:top w:w="43" w:type="dxa"/>
              <w:left w:w="43" w:type="dxa"/>
              <w:bottom w:w="43" w:type="dxa"/>
              <w:right w:w="43" w:type="dxa"/>
            </w:tcMar>
          </w:tcPr>
          <w:p w14:paraId="34897879" w14:textId="77777777" w:rsidR="00AE5F45" w:rsidRDefault="00AE5F45" w:rsidP="00B34FCA">
            <w:pPr>
              <w:widowControl/>
            </w:pPr>
          </w:p>
        </w:tc>
        <w:tc>
          <w:tcPr>
            <w:tcW w:w="8252" w:type="dxa"/>
            <w:gridSpan w:val="3"/>
            <w:tcMar>
              <w:top w:w="29" w:type="dxa"/>
              <w:left w:w="29" w:type="dxa"/>
              <w:bottom w:w="29" w:type="dxa"/>
              <w:right w:w="29" w:type="dxa"/>
            </w:tcMar>
            <w:vAlign w:val="center"/>
          </w:tcPr>
          <w:p w14:paraId="3489787A" w14:textId="77777777" w:rsidR="00AE5F45" w:rsidRPr="00376563" w:rsidRDefault="00AE5F45" w:rsidP="00B34FCA">
            <w:pPr>
              <w:pStyle w:val="ColorfulList-Accent11"/>
              <w:numPr>
                <w:ilvl w:val="0"/>
                <w:numId w:val="14"/>
              </w:numPr>
              <w:ind w:left="468" w:right="79"/>
              <w:rPr>
                <w:bCs/>
                <w:sz w:val="20"/>
                <w:szCs w:val="22"/>
              </w:rPr>
            </w:pPr>
            <w:r w:rsidRPr="00376563">
              <w:rPr>
                <w:b/>
                <w:bCs/>
                <w:sz w:val="20"/>
                <w:szCs w:val="22"/>
              </w:rPr>
              <w:t>Finance:</w:t>
            </w:r>
            <w:r w:rsidRPr="00376563">
              <w:rPr>
                <w:bCs/>
                <w:sz w:val="20"/>
                <w:szCs w:val="22"/>
              </w:rPr>
              <w:t xml:space="preserve"> The school maintains a sound and stable financial condition and operates in a financially sound and publicly accountable manner.</w:t>
            </w:r>
          </w:p>
        </w:tc>
        <w:tc>
          <w:tcPr>
            <w:tcW w:w="1078" w:type="dxa"/>
            <w:tcMar>
              <w:top w:w="43" w:type="dxa"/>
              <w:left w:w="43" w:type="dxa"/>
              <w:bottom w:w="43" w:type="dxa"/>
              <w:right w:w="43" w:type="dxa"/>
            </w:tcMar>
            <w:vAlign w:val="center"/>
          </w:tcPr>
          <w:p w14:paraId="3489787B" w14:textId="77777777" w:rsidR="00AE5F45" w:rsidRDefault="00435F62" w:rsidP="00B34FCA">
            <w:pPr>
              <w:widowControl/>
              <w:spacing w:before="50" w:after="50"/>
              <w:rPr>
                <w:szCs w:val="22"/>
              </w:rPr>
            </w:pPr>
            <w:r w:rsidRPr="00D161AA">
              <w:rPr>
                <w:rFonts w:ascii="Wingdings" w:hAnsi="Wingdings"/>
                <w:b/>
                <w:bCs/>
                <w:color w:val="FFC000"/>
                <w:sz w:val="22"/>
                <w:szCs w:val="22"/>
              </w:rPr>
              <w:t></w:t>
            </w:r>
            <w:r w:rsidRPr="00D161AA">
              <w:rPr>
                <w:b/>
                <w:bCs/>
                <w:sz w:val="16"/>
                <w:szCs w:val="16"/>
              </w:rPr>
              <w:t xml:space="preserve"> Partially Meets</w:t>
            </w:r>
          </w:p>
        </w:tc>
      </w:tr>
    </w:tbl>
    <w:p w14:paraId="3489787D" w14:textId="77777777" w:rsidR="000912B8" w:rsidRDefault="000912B8" w:rsidP="00B34FCA">
      <w:pPr>
        <w:widowControl/>
      </w:pPr>
    </w:p>
    <w:p w14:paraId="3489787E" w14:textId="77777777" w:rsidR="00A438FD" w:rsidRDefault="00A438FD" w:rsidP="00B34FCA">
      <w:pPr>
        <w:pStyle w:val="Default"/>
        <w:rPr>
          <w:b/>
        </w:rPr>
      </w:pPr>
    </w:p>
    <w:p w14:paraId="3489787F" w14:textId="77777777" w:rsidR="001A6808" w:rsidRDefault="001A6808" w:rsidP="00B34FCA">
      <w:pPr>
        <w:pStyle w:val="Default"/>
        <w:rPr>
          <w:b/>
        </w:rPr>
      </w:pPr>
      <w:r w:rsidRPr="005F137C">
        <w:rPr>
          <w:b/>
        </w:rPr>
        <w:t>Faithfulness to Charter (Criteri</w:t>
      </w:r>
      <w:r w:rsidR="00E9235A">
        <w:rPr>
          <w:b/>
        </w:rPr>
        <w:t>a</w:t>
      </w:r>
      <w:r w:rsidRPr="005F137C">
        <w:rPr>
          <w:b/>
        </w:rPr>
        <w:t xml:space="preserve"> 1-4 above)</w:t>
      </w:r>
    </w:p>
    <w:p w14:paraId="34897880" w14:textId="77777777" w:rsidR="00DC3D0E" w:rsidRPr="005F137C" w:rsidRDefault="00DC3D0E" w:rsidP="00B34FCA">
      <w:pPr>
        <w:pStyle w:val="Default"/>
        <w:rPr>
          <w:b/>
        </w:rPr>
      </w:pPr>
    </w:p>
    <w:p w14:paraId="34897881" w14:textId="77777777" w:rsidR="002B2E6A" w:rsidRPr="005F137C" w:rsidRDefault="001A6808" w:rsidP="00B34FCA">
      <w:pPr>
        <w:widowControl/>
        <w:numPr>
          <w:ilvl w:val="0"/>
          <w:numId w:val="18"/>
        </w:numPr>
        <w:rPr>
          <w:szCs w:val="24"/>
        </w:rPr>
      </w:pPr>
      <w:r w:rsidRPr="005F137C">
        <w:rPr>
          <w:szCs w:val="24"/>
        </w:rPr>
        <w:t xml:space="preserve">As noted above, the school recently amended its mission statement and is in the process of identifying </w:t>
      </w:r>
      <w:r w:rsidR="00DC3D0E">
        <w:rPr>
          <w:szCs w:val="24"/>
        </w:rPr>
        <w:t>possible amendments</w:t>
      </w:r>
      <w:r w:rsidR="00DC3D0E" w:rsidRPr="005F137C">
        <w:rPr>
          <w:szCs w:val="24"/>
        </w:rPr>
        <w:t xml:space="preserve"> </w:t>
      </w:r>
      <w:r w:rsidRPr="005F137C">
        <w:rPr>
          <w:szCs w:val="24"/>
        </w:rPr>
        <w:t xml:space="preserve">to its original charter. </w:t>
      </w:r>
      <w:r w:rsidR="008E7EFE" w:rsidRPr="005F137C">
        <w:rPr>
          <w:szCs w:val="24"/>
        </w:rPr>
        <w:t>The school is meeting the aspects of its mission of serving a diverse population and developing green programming.</w:t>
      </w:r>
      <w:r w:rsidR="00DC3D0E">
        <w:rPr>
          <w:szCs w:val="24"/>
        </w:rPr>
        <w:t xml:space="preserve"> W</w:t>
      </w:r>
      <w:r w:rsidR="008E7EFE" w:rsidRPr="005F137C">
        <w:rPr>
          <w:szCs w:val="24"/>
        </w:rPr>
        <w:t>hile the school has structures and systems in place to support college and career preparation, the school has yet to realize the academic results to support this aspect of the mission.</w:t>
      </w:r>
      <w:r w:rsidR="00F82140" w:rsidRPr="005F137C">
        <w:rPr>
          <w:szCs w:val="24"/>
        </w:rPr>
        <w:t xml:space="preserve"> </w:t>
      </w:r>
      <w:r w:rsidRPr="005F137C">
        <w:rPr>
          <w:szCs w:val="24"/>
        </w:rPr>
        <w:t xml:space="preserve">The school met a majority of its accountability plan measures. </w:t>
      </w:r>
    </w:p>
    <w:p w14:paraId="34897882" w14:textId="77777777" w:rsidR="00606D09" w:rsidRDefault="002C2872" w:rsidP="00B34FCA">
      <w:pPr>
        <w:widowControl/>
        <w:numPr>
          <w:ilvl w:val="0"/>
          <w:numId w:val="18"/>
        </w:numPr>
        <w:rPr>
          <w:szCs w:val="24"/>
        </w:rPr>
      </w:pPr>
      <w:r w:rsidRPr="005F137C">
        <w:rPr>
          <w:szCs w:val="24"/>
        </w:rPr>
        <w:t xml:space="preserve">BGA enrolls a higher percentage of English language learners, </w:t>
      </w:r>
      <w:r w:rsidR="00DC3D0E">
        <w:rPr>
          <w:szCs w:val="24"/>
        </w:rPr>
        <w:t>students who are l</w:t>
      </w:r>
      <w:r w:rsidRPr="005F137C">
        <w:rPr>
          <w:szCs w:val="24"/>
        </w:rPr>
        <w:t xml:space="preserve">ow </w:t>
      </w:r>
      <w:r w:rsidR="00DC3D0E">
        <w:rPr>
          <w:szCs w:val="24"/>
        </w:rPr>
        <w:t>i</w:t>
      </w:r>
      <w:r w:rsidRPr="005F137C">
        <w:rPr>
          <w:szCs w:val="24"/>
        </w:rPr>
        <w:t>ncome</w:t>
      </w:r>
      <w:r w:rsidR="00DC3D0E">
        <w:rPr>
          <w:szCs w:val="24"/>
        </w:rPr>
        <w:t xml:space="preserve"> or e</w:t>
      </w:r>
      <w:r w:rsidRPr="005F137C">
        <w:rPr>
          <w:szCs w:val="24"/>
        </w:rPr>
        <w:t xml:space="preserve">conomically </w:t>
      </w:r>
      <w:r w:rsidR="00DC3D0E">
        <w:rPr>
          <w:szCs w:val="24"/>
        </w:rPr>
        <w:t>d</w:t>
      </w:r>
      <w:r w:rsidRPr="005F137C">
        <w:rPr>
          <w:szCs w:val="24"/>
        </w:rPr>
        <w:t xml:space="preserve">isadvantaged, and students with disabilities than the median of its comparison schools in Boston. </w:t>
      </w:r>
      <w:r w:rsidR="00F220BA">
        <w:rPr>
          <w:szCs w:val="24"/>
        </w:rPr>
        <w:t xml:space="preserve">See CHART in Appendix B of the SOR </w:t>
      </w:r>
      <w:r w:rsidR="00DC3D0E">
        <w:rPr>
          <w:szCs w:val="24"/>
        </w:rPr>
        <w:t>for</w:t>
      </w:r>
      <w:r w:rsidR="00F220BA">
        <w:rPr>
          <w:szCs w:val="24"/>
        </w:rPr>
        <w:t xml:space="preserve"> comparative demographics.</w:t>
      </w:r>
    </w:p>
    <w:p w14:paraId="34897883" w14:textId="77777777" w:rsidR="002B2E6A" w:rsidRPr="005F137C" w:rsidRDefault="00D32672" w:rsidP="00B34FCA">
      <w:pPr>
        <w:widowControl/>
        <w:numPr>
          <w:ilvl w:val="0"/>
          <w:numId w:val="18"/>
        </w:numPr>
        <w:rPr>
          <w:szCs w:val="24"/>
        </w:rPr>
      </w:pPr>
      <w:r w:rsidRPr="005F137C">
        <w:rPr>
          <w:szCs w:val="24"/>
        </w:rPr>
        <w:t>The school’s attrition rate has dropped from 15.2</w:t>
      </w:r>
      <w:r w:rsidR="00FE744F">
        <w:rPr>
          <w:szCs w:val="24"/>
        </w:rPr>
        <w:t xml:space="preserve"> percent</w:t>
      </w:r>
      <w:r w:rsidRPr="005F137C">
        <w:rPr>
          <w:szCs w:val="24"/>
        </w:rPr>
        <w:t xml:space="preserve"> </w:t>
      </w:r>
      <w:r w:rsidR="00DC3D0E">
        <w:rPr>
          <w:szCs w:val="24"/>
        </w:rPr>
        <w:t xml:space="preserve">in </w:t>
      </w:r>
      <w:r w:rsidRPr="005F137C">
        <w:rPr>
          <w:szCs w:val="24"/>
        </w:rPr>
        <w:t>2013 to 10.0</w:t>
      </w:r>
      <w:r w:rsidR="00FE744F">
        <w:rPr>
          <w:szCs w:val="24"/>
        </w:rPr>
        <w:t xml:space="preserve"> percent</w:t>
      </w:r>
      <w:r w:rsidRPr="005F137C">
        <w:rPr>
          <w:szCs w:val="24"/>
        </w:rPr>
        <w:t xml:space="preserve"> </w:t>
      </w:r>
      <w:r w:rsidR="00DC3D0E">
        <w:rPr>
          <w:szCs w:val="24"/>
        </w:rPr>
        <w:t xml:space="preserve">in </w:t>
      </w:r>
      <w:r w:rsidRPr="005F137C">
        <w:rPr>
          <w:szCs w:val="24"/>
        </w:rPr>
        <w:t>2015</w:t>
      </w:r>
      <w:r w:rsidR="00DC3D0E">
        <w:rPr>
          <w:szCs w:val="24"/>
        </w:rPr>
        <w:t xml:space="preserve">, </w:t>
      </w:r>
      <w:r w:rsidR="002C2872" w:rsidRPr="005F137C">
        <w:rPr>
          <w:szCs w:val="24"/>
        </w:rPr>
        <w:t>below the median for comparison schools in Boston</w:t>
      </w:r>
      <w:r w:rsidR="002B2E6A" w:rsidRPr="005F137C">
        <w:rPr>
          <w:szCs w:val="24"/>
        </w:rPr>
        <w:t xml:space="preserve">. </w:t>
      </w:r>
      <w:r w:rsidR="00FE744F" w:rsidRPr="005F137C">
        <w:rPr>
          <w:szCs w:val="24"/>
        </w:rPr>
        <w:t>The school implements a Recruitment and Retention plan.</w:t>
      </w:r>
    </w:p>
    <w:p w14:paraId="34897884" w14:textId="77777777" w:rsidR="002B2E6A" w:rsidRPr="005F137C" w:rsidRDefault="002B2E6A" w:rsidP="00B34FCA">
      <w:pPr>
        <w:widowControl/>
        <w:numPr>
          <w:ilvl w:val="0"/>
          <w:numId w:val="18"/>
        </w:numPr>
        <w:rPr>
          <w:szCs w:val="24"/>
        </w:rPr>
      </w:pPr>
      <w:r w:rsidRPr="005F137C">
        <w:rPr>
          <w:szCs w:val="24"/>
        </w:rPr>
        <w:t>On several occasions throughout the charter term, BGA has been out of compliance with</w:t>
      </w:r>
      <w:r w:rsidR="0087679B">
        <w:rPr>
          <w:szCs w:val="24"/>
        </w:rPr>
        <w:t xml:space="preserve"> educator licensure regulations and other requirements</w:t>
      </w:r>
      <w:r w:rsidR="00725FAA" w:rsidRPr="00725FAA">
        <w:rPr>
          <w:rStyle w:val="FootnoteReference"/>
          <w:szCs w:val="24"/>
          <w:vertAlign w:val="superscript"/>
        </w:rPr>
        <w:footnoteReference w:id="3"/>
      </w:r>
      <w:r w:rsidRPr="005F137C">
        <w:rPr>
          <w:szCs w:val="24"/>
        </w:rPr>
        <w:t xml:space="preserve">. The school has </w:t>
      </w:r>
      <w:r w:rsidR="00725FAA">
        <w:rPr>
          <w:szCs w:val="24"/>
        </w:rPr>
        <w:t>remedied the areas and has improved its record of compliance</w:t>
      </w:r>
      <w:r w:rsidRPr="005F137C">
        <w:rPr>
          <w:szCs w:val="24"/>
        </w:rPr>
        <w:t xml:space="preserve">. </w:t>
      </w:r>
    </w:p>
    <w:p w14:paraId="34897885" w14:textId="77777777" w:rsidR="001A6808" w:rsidRPr="005F137C" w:rsidRDefault="002B2E6A" w:rsidP="00B34FCA">
      <w:pPr>
        <w:widowControl/>
        <w:numPr>
          <w:ilvl w:val="0"/>
          <w:numId w:val="18"/>
        </w:numPr>
        <w:rPr>
          <w:szCs w:val="24"/>
        </w:rPr>
      </w:pPr>
      <w:r w:rsidRPr="005F137C">
        <w:rPr>
          <w:szCs w:val="24"/>
        </w:rPr>
        <w:t xml:space="preserve">The school has </w:t>
      </w:r>
      <w:r w:rsidR="001A6808" w:rsidRPr="005F137C">
        <w:rPr>
          <w:szCs w:val="24"/>
        </w:rPr>
        <w:t xml:space="preserve">disseminated best practices this charter term. </w:t>
      </w:r>
    </w:p>
    <w:p w14:paraId="34897886" w14:textId="77777777" w:rsidR="001A6808" w:rsidRPr="005F137C" w:rsidRDefault="001A6808" w:rsidP="00B34FCA">
      <w:pPr>
        <w:widowControl/>
        <w:rPr>
          <w:szCs w:val="24"/>
        </w:rPr>
      </w:pPr>
    </w:p>
    <w:p w14:paraId="34897887" w14:textId="77777777" w:rsidR="001A6808" w:rsidRDefault="001A6808" w:rsidP="00B34FCA">
      <w:pPr>
        <w:pStyle w:val="Default"/>
        <w:rPr>
          <w:b/>
        </w:rPr>
      </w:pPr>
      <w:r w:rsidRPr="005F137C">
        <w:rPr>
          <w:b/>
        </w:rPr>
        <w:t>Academic Program Success (Criteri</w:t>
      </w:r>
      <w:r w:rsidR="00E9235A">
        <w:rPr>
          <w:b/>
        </w:rPr>
        <w:t>a</w:t>
      </w:r>
      <w:r w:rsidRPr="005F137C">
        <w:rPr>
          <w:b/>
        </w:rPr>
        <w:t xml:space="preserve"> 5-7 above)</w:t>
      </w:r>
    </w:p>
    <w:p w14:paraId="34897888" w14:textId="77777777" w:rsidR="00E212E4" w:rsidRPr="005F137C" w:rsidRDefault="00E212E4" w:rsidP="00B34FCA">
      <w:pPr>
        <w:pStyle w:val="Default"/>
        <w:rPr>
          <w:b/>
        </w:rPr>
      </w:pPr>
    </w:p>
    <w:p w14:paraId="34897889" w14:textId="77777777" w:rsidR="004E4246" w:rsidRPr="005F137C" w:rsidRDefault="001A6808" w:rsidP="00B34FCA">
      <w:pPr>
        <w:widowControl/>
        <w:numPr>
          <w:ilvl w:val="0"/>
          <w:numId w:val="22"/>
        </w:numPr>
        <w:rPr>
          <w:szCs w:val="24"/>
        </w:rPr>
      </w:pPr>
      <w:r w:rsidRPr="005F137C">
        <w:rPr>
          <w:szCs w:val="24"/>
        </w:rPr>
        <w:t xml:space="preserve">As shown above and in the attached </w:t>
      </w:r>
      <w:r w:rsidR="00DC3D0E">
        <w:rPr>
          <w:szCs w:val="24"/>
        </w:rPr>
        <w:t>SOR</w:t>
      </w:r>
      <w:r w:rsidRPr="005F137C">
        <w:rPr>
          <w:szCs w:val="24"/>
        </w:rPr>
        <w:t>, BGA has demonstrated improvement in academic outcomes during the charter term.</w:t>
      </w:r>
    </w:p>
    <w:p w14:paraId="3489788A" w14:textId="77777777" w:rsidR="0019520F" w:rsidRPr="005F137C" w:rsidRDefault="0019520F" w:rsidP="00B34FCA">
      <w:pPr>
        <w:pStyle w:val="IndentedText"/>
        <w:keepNext/>
        <w:numPr>
          <w:ilvl w:val="0"/>
          <w:numId w:val="21"/>
        </w:numPr>
        <w:spacing w:after="0"/>
        <w:rPr>
          <w:rFonts w:ascii="Times New Roman" w:hAnsi="Times New Roman"/>
          <w:snapToGrid w:val="0"/>
        </w:rPr>
      </w:pPr>
      <w:r w:rsidRPr="005F137C">
        <w:rPr>
          <w:rFonts w:ascii="Times New Roman" w:hAnsi="Times New Roman"/>
          <w:snapToGrid w:val="0"/>
        </w:rPr>
        <w:t>In its first charter term, BGA has developed a curriculum that is vertically and horizontally aligned and aligned to the</w:t>
      </w:r>
      <w:r w:rsidR="004C4DF3">
        <w:rPr>
          <w:rFonts w:ascii="Times New Roman" w:hAnsi="Times New Roman"/>
          <w:snapToGrid w:val="0"/>
        </w:rPr>
        <w:t xml:space="preserve"> Massachusetts curriculum frameworks</w:t>
      </w:r>
      <w:r w:rsidRPr="005F137C">
        <w:rPr>
          <w:rFonts w:ascii="Times New Roman" w:hAnsi="Times New Roman"/>
          <w:snapToGrid w:val="0"/>
        </w:rPr>
        <w:t xml:space="preserve">. In Year 5, the renewal inspection team found the curriculum implemented with fidelity. The school has improved its process of curricular review and revision over the course of the charter term. </w:t>
      </w:r>
    </w:p>
    <w:p w14:paraId="3489788B" w14:textId="77777777" w:rsidR="0019520F" w:rsidRPr="005F137C" w:rsidRDefault="0019520F" w:rsidP="00B34FCA">
      <w:pPr>
        <w:widowControl/>
        <w:numPr>
          <w:ilvl w:val="0"/>
          <w:numId w:val="21"/>
        </w:numPr>
        <w:rPr>
          <w:szCs w:val="24"/>
        </w:rPr>
      </w:pPr>
      <w:r w:rsidRPr="005F137C">
        <w:rPr>
          <w:szCs w:val="24"/>
        </w:rPr>
        <w:t xml:space="preserve">In response to the evolving needs of BGA’s students, the instructional practices of the school have changed each year of the charter term. By Year 5, BGA </w:t>
      </w:r>
      <w:r w:rsidR="004C4DF3">
        <w:rPr>
          <w:szCs w:val="24"/>
        </w:rPr>
        <w:t xml:space="preserve">staff </w:t>
      </w:r>
      <w:r w:rsidRPr="005F137C">
        <w:rPr>
          <w:szCs w:val="24"/>
        </w:rPr>
        <w:t>developed a common understanding of instructional practices; implementation of these practices</w:t>
      </w:r>
      <w:r w:rsidR="00E212E4">
        <w:rPr>
          <w:szCs w:val="24"/>
        </w:rPr>
        <w:t>, however,</w:t>
      </w:r>
      <w:r w:rsidRPr="005F137C">
        <w:rPr>
          <w:szCs w:val="24"/>
        </w:rPr>
        <w:t xml:space="preserve"> has not consistently reflected high expectations for student learning. Student engagement and classroom environments have improved over the course of the charter term but remain a work in progress for the school.</w:t>
      </w:r>
    </w:p>
    <w:p w14:paraId="3489788C" w14:textId="77777777" w:rsidR="0019520F" w:rsidRPr="005F137C" w:rsidRDefault="0019520F" w:rsidP="00B34FCA">
      <w:pPr>
        <w:widowControl/>
        <w:numPr>
          <w:ilvl w:val="0"/>
          <w:numId w:val="21"/>
        </w:numPr>
        <w:rPr>
          <w:szCs w:val="24"/>
        </w:rPr>
      </w:pPr>
      <w:r w:rsidRPr="005F137C">
        <w:rPr>
          <w:szCs w:val="24"/>
        </w:rPr>
        <w:t>BGA has established a comprehensive system of assessments this charter term. The school continues to work to formalize the data review process, but it has used data to make a number of programmatic changes in the past five years.</w:t>
      </w:r>
    </w:p>
    <w:p w14:paraId="3489788D" w14:textId="77777777" w:rsidR="0019520F" w:rsidRPr="005F137C" w:rsidRDefault="0019520F" w:rsidP="00B34FCA">
      <w:pPr>
        <w:widowControl/>
        <w:numPr>
          <w:ilvl w:val="0"/>
          <w:numId w:val="21"/>
        </w:numPr>
        <w:rPr>
          <w:szCs w:val="24"/>
        </w:rPr>
      </w:pPr>
      <w:r w:rsidRPr="005F137C">
        <w:rPr>
          <w:szCs w:val="24"/>
        </w:rPr>
        <w:t>BGA offers a range of supports and interventions to meet the needs of students with diverse learning needs.</w:t>
      </w:r>
      <w:r w:rsidR="002C2872" w:rsidRPr="005F137C">
        <w:rPr>
          <w:szCs w:val="24"/>
        </w:rPr>
        <w:t xml:space="preserve"> The school provides extensive supports for its high percentage of students with disabilities</w:t>
      </w:r>
      <w:r w:rsidR="00E212E4">
        <w:rPr>
          <w:szCs w:val="24"/>
        </w:rPr>
        <w:t>,</w:t>
      </w:r>
      <w:r w:rsidR="002C2872" w:rsidRPr="005F137C">
        <w:rPr>
          <w:szCs w:val="24"/>
        </w:rPr>
        <w:t xml:space="preserve"> 29 percent in 2016. The school </w:t>
      </w:r>
      <w:r w:rsidR="005F137C" w:rsidRPr="005F137C">
        <w:rPr>
          <w:szCs w:val="24"/>
        </w:rPr>
        <w:t xml:space="preserve">has inclusion general education </w:t>
      </w:r>
      <w:r w:rsidR="005F137C" w:rsidRPr="005F137C">
        <w:rPr>
          <w:szCs w:val="24"/>
        </w:rPr>
        <w:lastRenderedPageBreak/>
        <w:t xml:space="preserve">classrooms, sub-separate classrooms, and a Learning for Independence program for students with multiple and severe disabilities. </w:t>
      </w:r>
    </w:p>
    <w:p w14:paraId="3489788E" w14:textId="77777777" w:rsidR="0019520F" w:rsidRPr="005F137C" w:rsidRDefault="0019520F" w:rsidP="00B34FCA">
      <w:pPr>
        <w:widowControl/>
        <w:numPr>
          <w:ilvl w:val="0"/>
          <w:numId w:val="21"/>
        </w:numPr>
        <w:rPr>
          <w:szCs w:val="24"/>
        </w:rPr>
      </w:pPr>
      <w:r w:rsidRPr="005F137C">
        <w:rPr>
          <w:szCs w:val="24"/>
        </w:rPr>
        <w:t>BGA has worked to improve the culture and safety of its school environment this charter term. The school now has effective systems and supports in place to address the physical, social, and emotional health needs of students.</w:t>
      </w:r>
    </w:p>
    <w:p w14:paraId="3489788F" w14:textId="77777777" w:rsidR="0019520F" w:rsidRPr="005F137C" w:rsidRDefault="0019520F" w:rsidP="00B34FCA">
      <w:pPr>
        <w:widowControl/>
        <w:numPr>
          <w:ilvl w:val="0"/>
          <w:numId w:val="21"/>
        </w:numPr>
        <w:rPr>
          <w:szCs w:val="24"/>
        </w:rPr>
      </w:pPr>
      <w:r w:rsidRPr="005F137C">
        <w:rPr>
          <w:szCs w:val="24"/>
        </w:rPr>
        <w:t>The school has improved communication with families this charter term.</w:t>
      </w:r>
    </w:p>
    <w:p w14:paraId="34897890" w14:textId="77777777" w:rsidR="001A6808" w:rsidRPr="005F137C" w:rsidRDefault="001A6808" w:rsidP="00B34FCA">
      <w:pPr>
        <w:widowControl/>
        <w:rPr>
          <w:szCs w:val="24"/>
        </w:rPr>
      </w:pPr>
    </w:p>
    <w:p w14:paraId="34897891" w14:textId="77777777" w:rsidR="001A6808" w:rsidRPr="005F137C" w:rsidRDefault="001A6808" w:rsidP="00B34FCA">
      <w:pPr>
        <w:pStyle w:val="Default"/>
        <w:rPr>
          <w:b/>
        </w:rPr>
      </w:pPr>
      <w:r w:rsidRPr="005F137C">
        <w:rPr>
          <w:b/>
        </w:rPr>
        <w:t>Organizational Viability (Criteri</w:t>
      </w:r>
      <w:r w:rsidR="00E9235A">
        <w:rPr>
          <w:b/>
        </w:rPr>
        <w:t>a</w:t>
      </w:r>
      <w:r w:rsidRPr="005F137C">
        <w:rPr>
          <w:b/>
        </w:rPr>
        <w:t xml:space="preserve"> 8-10 above)</w:t>
      </w:r>
    </w:p>
    <w:p w14:paraId="34897892" w14:textId="77777777" w:rsidR="00E212E4" w:rsidRDefault="00E212E4" w:rsidP="00B34FCA">
      <w:pPr>
        <w:widowControl/>
        <w:rPr>
          <w:szCs w:val="24"/>
        </w:rPr>
      </w:pPr>
    </w:p>
    <w:p w14:paraId="34897893" w14:textId="77777777" w:rsidR="001A6808" w:rsidRDefault="001A6808" w:rsidP="00B34FCA">
      <w:pPr>
        <w:widowControl/>
        <w:rPr>
          <w:szCs w:val="24"/>
        </w:rPr>
      </w:pPr>
      <w:r w:rsidRPr="005F137C">
        <w:rPr>
          <w:szCs w:val="24"/>
        </w:rPr>
        <w:t xml:space="preserve">While the school has had challenges in the areas of organizational viability throughout the charter term, many of the issues </w:t>
      </w:r>
      <w:r w:rsidR="005F137C" w:rsidRPr="005F137C">
        <w:rPr>
          <w:szCs w:val="24"/>
        </w:rPr>
        <w:t xml:space="preserve">have been resolved </w:t>
      </w:r>
      <w:r w:rsidRPr="005F137C">
        <w:rPr>
          <w:szCs w:val="24"/>
        </w:rPr>
        <w:t xml:space="preserve">by Year 5, particularly in Governance and Finance. </w:t>
      </w:r>
    </w:p>
    <w:p w14:paraId="34897894" w14:textId="77777777" w:rsidR="00E212E4" w:rsidRPr="005F137C" w:rsidRDefault="00E212E4" w:rsidP="00B34FCA">
      <w:pPr>
        <w:widowControl/>
        <w:rPr>
          <w:szCs w:val="24"/>
        </w:rPr>
      </w:pPr>
    </w:p>
    <w:p w14:paraId="34897895" w14:textId="77777777" w:rsidR="00CC3532" w:rsidRPr="005F137C" w:rsidRDefault="00CC3532" w:rsidP="00B34FCA">
      <w:pPr>
        <w:widowControl/>
        <w:numPr>
          <w:ilvl w:val="0"/>
          <w:numId w:val="23"/>
        </w:numPr>
        <w:rPr>
          <w:szCs w:val="24"/>
        </w:rPr>
      </w:pPr>
      <w:r w:rsidRPr="005F137C">
        <w:rPr>
          <w:szCs w:val="24"/>
        </w:rPr>
        <w:t>By Year 5, visitors found that the school’s administrative team has clear roles, responsibilities</w:t>
      </w:r>
      <w:r w:rsidR="006D2E21">
        <w:rPr>
          <w:szCs w:val="24"/>
        </w:rPr>
        <w:t>,</w:t>
      </w:r>
      <w:r w:rsidRPr="005F137C">
        <w:rPr>
          <w:szCs w:val="24"/>
        </w:rPr>
        <w:t xml:space="preserve"> and communication structures.</w:t>
      </w:r>
    </w:p>
    <w:p w14:paraId="34897896" w14:textId="77777777" w:rsidR="00CC3532" w:rsidRPr="005F137C" w:rsidRDefault="00CC3532" w:rsidP="00B34FCA">
      <w:pPr>
        <w:widowControl/>
        <w:numPr>
          <w:ilvl w:val="0"/>
          <w:numId w:val="23"/>
        </w:numPr>
        <w:rPr>
          <w:szCs w:val="24"/>
        </w:rPr>
      </w:pPr>
      <w:r w:rsidRPr="005F137C">
        <w:rPr>
          <w:szCs w:val="24"/>
        </w:rPr>
        <w:t>BGA has increased both teacher collaboration and professional development opportunities. The school has a system in place to evaluate teachers.</w:t>
      </w:r>
    </w:p>
    <w:p w14:paraId="34897897" w14:textId="77777777" w:rsidR="00CC3532" w:rsidRPr="005F137C" w:rsidRDefault="00CC3532" w:rsidP="00B34FCA">
      <w:pPr>
        <w:widowControl/>
        <w:numPr>
          <w:ilvl w:val="0"/>
          <w:numId w:val="23"/>
        </w:numPr>
        <w:rPr>
          <w:szCs w:val="24"/>
        </w:rPr>
      </w:pPr>
      <w:r w:rsidRPr="005F137C">
        <w:rPr>
          <w:szCs w:val="24"/>
        </w:rPr>
        <w:t xml:space="preserve">Over the course of the charter term, stakeholders reported an improved relationship with the Boston Public Schools; </w:t>
      </w:r>
      <w:r w:rsidR="006D2E21">
        <w:rPr>
          <w:szCs w:val="24"/>
        </w:rPr>
        <w:t xml:space="preserve">BPS, </w:t>
      </w:r>
      <w:r w:rsidRPr="005F137C">
        <w:rPr>
          <w:szCs w:val="24"/>
        </w:rPr>
        <w:t xml:space="preserve">however, has not consistently honored </w:t>
      </w:r>
      <w:r w:rsidR="005F137C">
        <w:rPr>
          <w:szCs w:val="24"/>
        </w:rPr>
        <w:t>its</w:t>
      </w:r>
      <w:r w:rsidRPr="005F137C">
        <w:rPr>
          <w:szCs w:val="24"/>
        </w:rPr>
        <w:t xml:space="preserve"> MOU with the school.</w:t>
      </w:r>
    </w:p>
    <w:p w14:paraId="34897898" w14:textId="77777777" w:rsidR="00CC3532" w:rsidRPr="005F137C" w:rsidRDefault="00CC3532" w:rsidP="00B34FCA">
      <w:pPr>
        <w:widowControl/>
        <w:numPr>
          <w:ilvl w:val="0"/>
          <w:numId w:val="23"/>
        </w:numPr>
        <w:rPr>
          <w:szCs w:val="24"/>
        </w:rPr>
      </w:pPr>
      <w:r w:rsidRPr="005F137C">
        <w:rPr>
          <w:szCs w:val="24"/>
        </w:rPr>
        <w:t xml:space="preserve">The board has increased its oversight and support of the school over the course of the charter term. The board has worked to address the probationary conditions placed on the school; </w:t>
      </w:r>
      <w:r w:rsidR="005F137C">
        <w:rPr>
          <w:szCs w:val="24"/>
        </w:rPr>
        <w:t>the board</w:t>
      </w:r>
      <w:r w:rsidR="006D2E21">
        <w:rPr>
          <w:szCs w:val="24"/>
        </w:rPr>
        <w:t>, however,</w:t>
      </w:r>
      <w:r w:rsidR="005F137C">
        <w:rPr>
          <w:szCs w:val="24"/>
        </w:rPr>
        <w:t xml:space="preserve"> is still working to operate</w:t>
      </w:r>
      <w:r w:rsidRPr="005F137C">
        <w:rPr>
          <w:szCs w:val="24"/>
        </w:rPr>
        <w:t xml:space="preserve"> in full compliance with Open Meeting Law.</w:t>
      </w:r>
    </w:p>
    <w:p w14:paraId="34897899" w14:textId="77777777" w:rsidR="00CC3532" w:rsidRPr="005F137C" w:rsidRDefault="00CC3532" w:rsidP="00B34FCA">
      <w:pPr>
        <w:widowControl/>
        <w:numPr>
          <w:ilvl w:val="0"/>
          <w:numId w:val="23"/>
        </w:numPr>
        <w:rPr>
          <w:szCs w:val="24"/>
        </w:rPr>
      </w:pPr>
      <w:r w:rsidRPr="005F137C">
        <w:rPr>
          <w:iCs/>
          <w:szCs w:val="24"/>
        </w:rPr>
        <w:t xml:space="preserve">BGA’s </w:t>
      </w:r>
      <w:r w:rsidR="006D2E21" w:rsidRPr="005F137C">
        <w:rPr>
          <w:iCs/>
          <w:szCs w:val="24"/>
        </w:rPr>
        <w:t xml:space="preserve">audits </w:t>
      </w:r>
      <w:r w:rsidR="006D2E21">
        <w:rPr>
          <w:iCs/>
          <w:szCs w:val="24"/>
        </w:rPr>
        <w:t xml:space="preserve">for </w:t>
      </w:r>
      <w:r w:rsidRPr="005F137C">
        <w:rPr>
          <w:iCs/>
          <w:szCs w:val="24"/>
        </w:rPr>
        <w:t>FY12, FY13</w:t>
      </w:r>
      <w:r w:rsidR="006D2E21">
        <w:rPr>
          <w:iCs/>
          <w:szCs w:val="24"/>
        </w:rPr>
        <w:t>,</w:t>
      </w:r>
      <w:r w:rsidRPr="005F137C">
        <w:rPr>
          <w:iCs/>
          <w:szCs w:val="24"/>
        </w:rPr>
        <w:t xml:space="preserve"> and FY14 revealed significant deficiencies regarding its financial controls. The school has addressed these issues</w:t>
      </w:r>
      <w:r w:rsidR="006D2E21">
        <w:rPr>
          <w:iCs/>
          <w:szCs w:val="24"/>
        </w:rPr>
        <w:t>,</w:t>
      </w:r>
      <w:r w:rsidRPr="005F137C">
        <w:rPr>
          <w:iCs/>
          <w:szCs w:val="24"/>
        </w:rPr>
        <w:t xml:space="preserve"> and </w:t>
      </w:r>
      <w:r w:rsidR="006D2E21">
        <w:rPr>
          <w:iCs/>
          <w:szCs w:val="24"/>
        </w:rPr>
        <w:t>its audit for</w:t>
      </w:r>
      <w:r w:rsidR="006D2E21" w:rsidRPr="005F137C">
        <w:rPr>
          <w:iCs/>
          <w:szCs w:val="24"/>
        </w:rPr>
        <w:t xml:space="preserve"> </w:t>
      </w:r>
      <w:r w:rsidRPr="005F137C">
        <w:rPr>
          <w:iCs/>
          <w:szCs w:val="24"/>
        </w:rPr>
        <w:t xml:space="preserve">FY15 </w:t>
      </w:r>
      <w:r w:rsidR="006D2E21">
        <w:rPr>
          <w:iCs/>
          <w:szCs w:val="24"/>
        </w:rPr>
        <w:t>was</w:t>
      </w:r>
      <w:r w:rsidRPr="005F137C">
        <w:rPr>
          <w:iCs/>
          <w:szCs w:val="24"/>
        </w:rPr>
        <w:t xml:space="preserve"> free of findings.</w:t>
      </w:r>
    </w:p>
    <w:p w14:paraId="3489789A" w14:textId="77777777" w:rsidR="00605BD8" w:rsidRDefault="00605BD8" w:rsidP="00B34FCA">
      <w:pPr>
        <w:widowControl/>
      </w:pPr>
    </w:p>
    <w:p w14:paraId="3489789B" w14:textId="77777777" w:rsidR="00652E5E" w:rsidRDefault="00652E5E" w:rsidP="00B34FCA">
      <w:pPr>
        <w:widowControl/>
        <w:rPr>
          <w:b/>
          <w:u w:val="single"/>
        </w:rPr>
      </w:pPr>
      <w:r>
        <w:rPr>
          <w:b/>
          <w:u w:val="single"/>
        </w:rPr>
        <w:t>Recommendation</w:t>
      </w:r>
    </w:p>
    <w:p w14:paraId="3489789C" w14:textId="77777777" w:rsidR="00652E5E" w:rsidRDefault="00652E5E" w:rsidP="00B34FCA">
      <w:pPr>
        <w:widowControl/>
      </w:pPr>
    </w:p>
    <w:p w14:paraId="3489789D" w14:textId="77777777" w:rsidR="005F137C" w:rsidRDefault="00D567F6" w:rsidP="00B34FCA">
      <w:pPr>
        <w:pStyle w:val="BodyText2"/>
        <w:rPr>
          <w:szCs w:val="24"/>
        </w:rPr>
      </w:pPr>
      <w:r>
        <w:t>Charter schools are held to high standards of operation and expected to deliver an effective academic program.</w:t>
      </w:r>
      <w:r w:rsidR="002E2930">
        <w:t xml:space="preserve"> </w:t>
      </w:r>
      <w:r w:rsidR="002E2930">
        <w:rPr>
          <w:szCs w:val="24"/>
        </w:rPr>
        <w:t xml:space="preserve">Based upon the evidence described in the attached </w:t>
      </w:r>
      <w:r w:rsidR="00DC3D0E">
        <w:rPr>
          <w:szCs w:val="24"/>
        </w:rPr>
        <w:t>SOR</w:t>
      </w:r>
      <w:r w:rsidR="002E2930">
        <w:rPr>
          <w:szCs w:val="24"/>
        </w:rPr>
        <w:t xml:space="preserve"> and further summarized below, BGA had limited academic success during its first charter term</w:t>
      </w:r>
      <w:r w:rsidR="005F137C">
        <w:rPr>
          <w:szCs w:val="24"/>
        </w:rPr>
        <w:t>, but has demonstrated improvement between 2014 and 2015</w:t>
      </w:r>
      <w:r w:rsidR="002E2930">
        <w:rPr>
          <w:szCs w:val="24"/>
        </w:rPr>
        <w:t xml:space="preserve">. </w:t>
      </w:r>
      <w:r w:rsidR="005F137C">
        <w:rPr>
          <w:szCs w:val="24"/>
        </w:rPr>
        <w:t>The school, however, has faced and remedied multiple challenges in its first five years of operation.</w:t>
      </w:r>
      <w:r w:rsidR="0045774C">
        <w:rPr>
          <w:szCs w:val="24"/>
        </w:rPr>
        <w:t xml:space="preserve">  Not least of these is that the school, in many ways, has functioned as a turnaround effort in light of essentially having restarted the low-performing Odyssey High School.</w:t>
      </w:r>
      <w:r w:rsidR="005F137C">
        <w:rPr>
          <w:szCs w:val="24"/>
        </w:rPr>
        <w:t xml:space="preserve"> As shown in the school’s response to the </w:t>
      </w:r>
      <w:r w:rsidR="00DC3D0E">
        <w:rPr>
          <w:szCs w:val="24"/>
        </w:rPr>
        <w:t>SOR</w:t>
      </w:r>
      <w:r w:rsidR="005F137C">
        <w:rPr>
          <w:szCs w:val="24"/>
        </w:rPr>
        <w:t>, BGA has substantially better academic outcomes than the former Odyssey school – the school that BGA’s founding group agreed to operate as a Horace Mann III charter school. The school has met all of the conditions placed on its charter as part of probation in 2014</w:t>
      </w:r>
      <w:r w:rsidR="00AE7DD8">
        <w:rPr>
          <w:szCs w:val="24"/>
        </w:rPr>
        <w:t xml:space="preserve">, except for </w:t>
      </w:r>
      <w:r w:rsidR="006D2E21">
        <w:rPr>
          <w:szCs w:val="24"/>
        </w:rPr>
        <w:t xml:space="preserve">partially meeting </w:t>
      </w:r>
      <w:r w:rsidR="00AE7DD8">
        <w:rPr>
          <w:szCs w:val="24"/>
        </w:rPr>
        <w:t>the conditions related to academic improvement</w:t>
      </w:r>
      <w:r w:rsidR="005F137C">
        <w:rPr>
          <w:szCs w:val="24"/>
        </w:rPr>
        <w:t>. While academic performance is not yet acceptable in the aggregate, the school did demonstrate</w:t>
      </w:r>
      <w:r w:rsidR="00AE7DD8">
        <w:rPr>
          <w:szCs w:val="24"/>
        </w:rPr>
        <w:t xml:space="preserve"> some</w:t>
      </w:r>
      <w:r w:rsidR="005F137C">
        <w:rPr>
          <w:szCs w:val="24"/>
        </w:rPr>
        <w:t xml:space="preserve"> improvement from 2014 to 2015. </w:t>
      </w:r>
    </w:p>
    <w:p w14:paraId="3489789E" w14:textId="77777777" w:rsidR="005F137C" w:rsidRDefault="005F137C" w:rsidP="00B34FCA">
      <w:pPr>
        <w:pStyle w:val="BodyText2"/>
        <w:rPr>
          <w:szCs w:val="24"/>
        </w:rPr>
      </w:pPr>
    </w:p>
    <w:p w14:paraId="3489789F" w14:textId="77777777" w:rsidR="00944887" w:rsidRDefault="00652E5E" w:rsidP="00B34FCA">
      <w:pPr>
        <w:pStyle w:val="BodyText2"/>
        <w:rPr>
          <w:szCs w:val="24"/>
        </w:rPr>
      </w:pPr>
      <w:r>
        <w:lastRenderedPageBreak/>
        <w:t>Given this evidence, further de</w:t>
      </w:r>
      <w:r w:rsidR="0017711A">
        <w:t>tailed</w:t>
      </w:r>
      <w:r>
        <w:t xml:space="preserve"> in the attached </w:t>
      </w:r>
      <w:r w:rsidR="00DC3D0E">
        <w:t>SOR</w:t>
      </w:r>
      <w:r w:rsidR="005F137C">
        <w:t xml:space="preserve">, as well as the school’s response to the </w:t>
      </w:r>
      <w:r w:rsidR="00DC3D0E">
        <w:t>SOR</w:t>
      </w:r>
      <w:r>
        <w:t xml:space="preserve">, </w:t>
      </w:r>
      <w:r w:rsidR="00944887" w:rsidRPr="00642F22">
        <w:rPr>
          <w:szCs w:val="24"/>
        </w:rPr>
        <w:t xml:space="preserve">I recommend that the Board renew the school’s charter </w:t>
      </w:r>
      <w:r w:rsidR="00944887">
        <w:rPr>
          <w:szCs w:val="24"/>
        </w:rPr>
        <w:t>with continued probation, requiring significant and sustained academic improvement</w:t>
      </w:r>
      <w:r w:rsidR="004C4DF3">
        <w:rPr>
          <w:szCs w:val="24"/>
        </w:rPr>
        <w:t xml:space="preserve"> on the 2016 and 2017 state assessments</w:t>
      </w:r>
      <w:r w:rsidR="00944887">
        <w:rPr>
          <w:szCs w:val="24"/>
        </w:rPr>
        <w:t>. If academic results do not demonstrate continued improvement in ELA, mathematics, or science on 2016 assessments,</w:t>
      </w:r>
      <w:r w:rsidR="004C4DF3">
        <w:rPr>
          <w:szCs w:val="24"/>
        </w:rPr>
        <w:t xml:space="preserve"> however,</w:t>
      </w:r>
      <w:r w:rsidR="00944887">
        <w:rPr>
          <w:szCs w:val="24"/>
        </w:rPr>
        <w:t xml:space="preserve"> I will recommend revocation of the school’s charter effective June 30, 2017. I also recommend that </w:t>
      </w:r>
      <w:r w:rsidR="00F4021F">
        <w:rPr>
          <w:szCs w:val="24"/>
        </w:rPr>
        <w:t xml:space="preserve">two </w:t>
      </w:r>
      <w:r w:rsidR="00944887">
        <w:rPr>
          <w:szCs w:val="24"/>
        </w:rPr>
        <w:t xml:space="preserve">existing conditions be extended </w:t>
      </w:r>
      <w:r w:rsidR="00944887" w:rsidRPr="00642F22">
        <w:rPr>
          <w:szCs w:val="24"/>
        </w:rPr>
        <w:t xml:space="preserve">as part of the school’s probation and charter renewal. </w:t>
      </w:r>
    </w:p>
    <w:p w14:paraId="348978A0" w14:textId="77777777" w:rsidR="00F4021F" w:rsidRDefault="00F4021F" w:rsidP="00B34FCA">
      <w:pPr>
        <w:pStyle w:val="BodyText2"/>
        <w:rPr>
          <w:szCs w:val="24"/>
        </w:rPr>
      </w:pPr>
    </w:p>
    <w:p w14:paraId="348978A1" w14:textId="77777777" w:rsidR="00F4021F" w:rsidRPr="00642F22" w:rsidRDefault="00F4021F" w:rsidP="00B34FCA">
      <w:pPr>
        <w:pStyle w:val="ColorfulList-Accent11"/>
        <w:numPr>
          <w:ilvl w:val="0"/>
          <w:numId w:val="24"/>
        </w:numPr>
        <w:contextualSpacing/>
      </w:pPr>
      <w:r w:rsidRPr="00642F22">
        <w:t xml:space="preserve">Until further notice, </w:t>
      </w:r>
      <w:r>
        <w:t>B</w:t>
      </w:r>
      <w:r w:rsidR="00F521EC">
        <w:t xml:space="preserve">oston </w:t>
      </w:r>
      <w:r>
        <w:t>G</w:t>
      </w:r>
      <w:r w:rsidR="00F521EC">
        <w:t xml:space="preserve">reen </w:t>
      </w:r>
      <w:r>
        <w:t>A</w:t>
      </w:r>
      <w:r w:rsidR="00F521EC">
        <w:t>cademy Horace Mann Charter School</w:t>
      </w:r>
      <w:r w:rsidRPr="00642F22">
        <w:t xml:space="preserve"> must submit to the Department, at </w:t>
      </w:r>
      <w:hyperlink r:id="rId21" w:history="1">
        <w:r w:rsidRPr="00642F22">
          <w:rPr>
            <w:rStyle w:val="Hyperlink"/>
          </w:rPr>
          <w:t>charterschools@doe.mass.edu</w:t>
        </w:r>
      </w:hyperlink>
      <w:r w:rsidRPr="00642F22">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348978A2" w14:textId="77777777" w:rsidR="00F4021F" w:rsidRPr="00642F22" w:rsidRDefault="00F4021F" w:rsidP="00B34FCA">
      <w:pPr>
        <w:widowControl/>
        <w:ind w:left="360"/>
        <w:contextualSpacing/>
        <w:rPr>
          <w:szCs w:val="24"/>
        </w:rPr>
      </w:pPr>
    </w:p>
    <w:p w14:paraId="348978A3" w14:textId="77777777" w:rsidR="00F4021F" w:rsidRDefault="00F4021F" w:rsidP="00B34FCA">
      <w:pPr>
        <w:pStyle w:val="ColorfulList-Accent11"/>
        <w:numPr>
          <w:ilvl w:val="0"/>
          <w:numId w:val="24"/>
        </w:numPr>
      </w:pPr>
      <w:r w:rsidRPr="00642F22">
        <w:t>The school must maintain the established escrow account to pay for any potential closing, legal, and audit expenses associated with closure, should that occur.</w:t>
      </w:r>
    </w:p>
    <w:p w14:paraId="348978A4" w14:textId="77777777" w:rsidR="00F4021F" w:rsidRDefault="00F4021F" w:rsidP="00B34FCA">
      <w:pPr>
        <w:pStyle w:val="ColorfulList-Accent11"/>
        <w:ind w:left="0"/>
      </w:pPr>
    </w:p>
    <w:p w14:paraId="348978A5" w14:textId="77777777" w:rsidR="00F4021F" w:rsidRDefault="00F4021F" w:rsidP="00B34FCA">
      <w:pPr>
        <w:pStyle w:val="ColorfulList-Accent11"/>
        <w:numPr>
          <w:ilvl w:val="0"/>
          <w:numId w:val="24"/>
        </w:numPr>
      </w:pPr>
      <w:r w:rsidRPr="006B67B7">
        <w:rPr>
          <w:snapToGrid w:val="0"/>
        </w:rPr>
        <w:t xml:space="preserve">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w:t>
      </w:r>
      <w:r w:rsidR="002946E4">
        <w:rPr>
          <w:snapToGrid w:val="0"/>
        </w:rPr>
        <w:t xml:space="preserve">based on failure to meet this condition, rather than wait to see improvement by </w:t>
      </w:r>
      <w:r w:rsidRPr="006B67B7">
        <w:rPr>
          <w:snapToGrid w:val="0"/>
        </w:rPr>
        <w:t>December 31, 2017.</w:t>
      </w:r>
    </w:p>
    <w:p w14:paraId="348978A6" w14:textId="77777777" w:rsidR="00F4021F" w:rsidRPr="006B67B7" w:rsidRDefault="00F4021F" w:rsidP="00B34FCA">
      <w:pPr>
        <w:pStyle w:val="ColorfulList-Accent11"/>
      </w:pPr>
    </w:p>
    <w:p w14:paraId="348978A7" w14:textId="77777777" w:rsidR="00F4021F" w:rsidRPr="006B67B7" w:rsidRDefault="00F4021F" w:rsidP="00B34FCA">
      <w:pPr>
        <w:pStyle w:val="ColorfulList-Accent11"/>
        <w:numPr>
          <w:ilvl w:val="0"/>
          <w:numId w:val="24"/>
        </w:numPr>
      </w:pPr>
      <w:r w:rsidRPr="006B67B7">
        <w:rPr>
          <w:snapToGrid w:val="0"/>
        </w:rPr>
        <w:t>By December 31, 2017, the school must demonstrate continued significant and sustained academic improvement in mathematics, English language arts, and science.</w:t>
      </w:r>
      <w:r w:rsidR="00CA06B6">
        <w:rPr>
          <w:snapToGrid w:val="0"/>
        </w:rPr>
        <w:t xml:space="preserve"> Should the school fail to do so, </w:t>
      </w:r>
      <w:r w:rsidR="00CA06B6" w:rsidRPr="006B67B7">
        <w:rPr>
          <w:snapToGrid w:val="0"/>
        </w:rPr>
        <w:t xml:space="preserve">the Commissioner and the Board of Elementary and Secondary Education will consider revoking the school’s charter </w:t>
      </w:r>
      <w:r w:rsidR="00CA06B6">
        <w:rPr>
          <w:snapToGrid w:val="0"/>
        </w:rPr>
        <w:t xml:space="preserve">based on failure to meet this condition. </w:t>
      </w:r>
    </w:p>
    <w:p w14:paraId="348978A8" w14:textId="77777777" w:rsidR="0031714D" w:rsidRDefault="0031714D" w:rsidP="00B34FCA">
      <w:pPr>
        <w:widowControl/>
      </w:pPr>
    </w:p>
    <w:p w14:paraId="348978A9" w14:textId="77777777" w:rsidR="0031714D" w:rsidRDefault="0031714D" w:rsidP="00B34FCA">
      <w:pPr>
        <w:widowControl/>
        <w:jc w:val="center"/>
      </w:pPr>
      <w:r>
        <w:t>**********************</w:t>
      </w:r>
    </w:p>
    <w:p w14:paraId="348978AA" w14:textId="77777777" w:rsidR="0031714D" w:rsidRDefault="0031714D" w:rsidP="00B34FCA">
      <w:pPr>
        <w:widowControl/>
        <w:rPr>
          <w:b/>
        </w:rPr>
      </w:pPr>
    </w:p>
    <w:p w14:paraId="348978AB" w14:textId="77777777" w:rsidR="00494E83" w:rsidRDefault="00494E83" w:rsidP="00B34FCA">
      <w:pPr>
        <w:widowControl/>
        <w:rPr>
          <w:color w:val="000000"/>
        </w:rPr>
      </w:pPr>
      <w:r>
        <w:rPr>
          <w:color w:val="000000"/>
        </w:rPr>
        <w:t xml:space="preserve">If you have any questions regarding this </w:t>
      </w:r>
      <w:r w:rsidRPr="00494E83">
        <w:rPr>
          <w:color w:val="000000"/>
        </w:rPr>
        <w:t>recommendation</w:t>
      </w:r>
      <w:r>
        <w:rPr>
          <w:color w:val="000000"/>
        </w:rPr>
        <w:t xml:space="preserve"> or require additional information, please contact Cliff Chuang, Associate Commissioner (781-338-3222); Jeff Wulfson, Deputy Commissioner (781-338-6500); or me.</w:t>
      </w:r>
    </w:p>
    <w:p w14:paraId="348978AC" w14:textId="77777777" w:rsidR="00297A8B" w:rsidRDefault="00297A8B" w:rsidP="00B34FCA">
      <w:pPr>
        <w:widowControl/>
      </w:pPr>
    </w:p>
    <w:p w14:paraId="348978AD" w14:textId="77777777" w:rsidR="0031714D" w:rsidRDefault="0031714D" w:rsidP="00B34FCA">
      <w:pPr>
        <w:widowControl/>
      </w:pPr>
      <w:r>
        <w:t>Attachment</w:t>
      </w:r>
      <w:r w:rsidR="00EC3AEE">
        <w:t>s</w:t>
      </w:r>
      <w:r>
        <w:t>:</w:t>
      </w:r>
      <w:r w:rsidR="00297A8B">
        <w:tab/>
      </w:r>
      <w:r>
        <w:t>Motion</w:t>
      </w:r>
    </w:p>
    <w:p w14:paraId="348978AE" w14:textId="77777777" w:rsidR="0031714D" w:rsidRDefault="00D644E2" w:rsidP="00B34FCA">
      <w:pPr>
        <w:widowControl/>
      </w:pPr>
      <w:r>
        <w:tab/>
      </w:r>
      <w:r>
        <w:tab/>
      </w:r>
      <w:r w:rsidR="005F137C">
        <w:t xml:space="preserve">BGA’s </w:t>
      </w:r>
      <w:r>
        <w:t>Summary of Review</w:t>
      </w:r>
      <w:r w:rsidR="005F137C">
        <w:t xml:space="preserve"> with the school’s response</w:t>
      </w:r>
    </w:p>
    <w:p w14:paraId="348978AF" w14:textId="77777777" w:rsidR="00650297" w:rsidRDefault="00650297" w:rsidP="00417B03"/>
    <w:sectPr w:rsidR="00650297" w:rsidSect="00BE265B">
      <w:endnotePr>
        <w:numFmt w:val="decimal"/>
      </w:endnotePr>
      <w:type w:val="continuous"/>
      <w:pgSz w:w="12240" w:h="15840" w:code="1"/>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978BB" w14:textId="77777777" w:rsidR="004B59FE" w:rsidRDefault="004B59FE">
      <w:r>
        <w:separator/>
      </w:r>
    </w:p>
  </w:endnote>
  <w:endnote w:type="continuationSeparator" w:id="0">
    <w:p w14:paraId="348978BC" w14:textId="77777777" w:rsidR="004B59FE" w:rsidRDefault="004B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78BD" w14:textId="77777777" w:rsidR="00F521EC" w:rsidRDefault="00F521EC" w:rsidP="00642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978BE" w14:textId="77777777" w:rsidR="00F521EC" w:rsidRDefault="00F52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78BF" w14:textId="77777777" w:rsidR="00F521EC" w:rsidRDefault="00152D94">
    <w:pPr>
      <w:pStyle w:val="Footer"/>
      <w:jc w:val="center"/>
    </w:pPr>
    <w:r>
      <w:fldChar w:fldCharType="begin"/>
    </w:r>
    <w:r>
      <w:instrText xml:space="preserve"> PAGE   \* MERGEFORMAT </w:instrText>
    </w:r>
    <w:r>
      <w:fldChar w:fldCharType="separate"/>
    </w:r>
    <w:r>
      <w:rPr>
        <w:noProof/>
      </w:rPr>
      <w:t>11</w:t>
    </w:r>
    <w:r>
      <w:rPr>
        <w:noProof/>
      </w:rPr>
      <w:fldChar w:fldCharType="end"/>
    </w:r>
  </w:p>
  <w:p w14:paraId="348978C0" w14:textId="77777777" w:rsidR="00F521EC" w:rsidRDefault="00F521EC" w:rsidP="00E22E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78C1" w14:textId="77777777" w:rsidR="00F521EC" w:rsidRDefault="00152D94">
    <w:pPr>
      <w:pStyle w:val="Footer"/>
      <w:jc w:val="center"/>
    </w:pPr>
    <w:r>
      <w:fldChar w:fldCharType="begin"/>
    </w:r>
    <w:r>
      <w:instrText xml:space="preserve"> PAGE   \* MERGEFORMAT </w:instrText>
    </w:r>
    <w:r>
      <w:fldChar w:fldCharType="separate"/>
    </w:r>
    <w:r>
      <w:rPr>
        <w:noProof/>
      </w:rPr>
      <w:t>1</w:t>
    </w:r>
    <w:r>
      <w:rPr>
        <w:noProof/>
      </w:rPr>
      <w:fldChar w:fldCharType="end"/>
    </w:r>
  </w:p>
  <w:p w14:paraId="348978C2" w14:textId="77777777" w:rsidR="00F521EC" w:rsidRPr="00DD2AD0" w:rsidRDefault="00F5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78B9" w14:textId="77777777" w:rsidR="004B59FE" w:rsidRDefault="004B59FE">
      <w:r>
        <w:separator/>
      </w:r>
    </w:p>
  </w:footnote>
  <w:footnote w:type="continuationSeparator" w:id="0">
    <w:p w14:paraId="348978BA" w14:textId="77777777" w:rsidR="004B59FE" w:rsidRDefault="004B59FE">
      <w:r>
        <w:continuationSeparator/>
      </w:r>
    </w:p>
  </w:footnote>
  <w:footnote w:id="1">
    <w:p w14:paraId="348978C3" w14:textId="77777777" w:rsidR="00F521EC" w:rsidRDefault="00F521EC" w:rsidP="00E848D9">
      <w:pPr>
        <w:pStyle w:val="Default"/>
      </w:pPr>
      <w:r w:rsidRPr="00E848D9">
        <w:rPr>
          <w:rStyle w:val="FootnoteReference"/>
          <w:vertAlign w:val="superscript"/>
        </w:rPr>
        <w:footnoteRef/>
      </w:r>
      <w:r>
        <w:t xml:space="preserve"> </w:t>
      </w:r>
      <w:r w:rsidRPr="00E848D9">
        <w:rPr>
          <w:sz w:val="20"/>
          <w:szCs w:val="20"/>
        </w:rPr>
        <w:t xml:space="preserve">BGA’s lack of compliance included: lack of appropriate licensure for </w:t>
      </w:r>
      <w:r>
        <w:rPr>
          <w:sz w:val="20"/>
          <w:szCs w:val="20"/>
        </w:rPr>
        <w:t xml:space="preserve">two </w:t>
      </w:r>
      <w:r w:rsidRPr="00E848D9">
        <w:rPr>
          <w:sz w:val="20"/>
          <w:szCs w:val="20"/>
        </w:rPr>
        <w:t>special education staff; failure to request approval of board members for Commissioner approval prior to service, and failure to submit the 2012 end-of-year financial report or the 2013 financial audit in a timely manner.</w:t>
      </w:r>
      <w:r>
        <w:t xml:space="preserve"> </w:t>
      </w:r>
    </w:p>
    <w:p w14:paraId="348978C4" w14:textId="77777777" w:rsidR="00F521EC" w:rsidRDefault="00F521EC">
      <w:pPr>
        <w:pStyle w:val="FootnoteText"/>
      </w:pPr>
    </w:p>
  </w:footnote>
  <w:footnote w:id="2">
    <w:p w14:paraId="348978C5" w14:textId="77777777" w:rsidR="00F521EC" w:rsidRDefault="00F521EC" w:rsidP="00366EA4">
      <w:pPr>
        <w:rPr>
          <w:szCs w:val="24"/>
        </w:rPr>
      </w:pPr>
      <w:r w:rsidRPr="00366EA4">
        <w:rPr>
          <w:rStyle w:val="FootnoteReference"/>
          <w:vertAlign w:val="superscript"/>
        </w:rPr>
        <w:footnoteRef/>
      </w:r>
      <w:r>
        <w:t xml:space="preserve"> </w:t>
      </w:r>
      <w:r w:rsidRPr="00366EA4">
        <w:rPr>
          <w:sz w:val="20"/>
        </w:rPr>
        <w:t>In 2014, BGA served grades 9-12 and was compared to other high schools statewide for its Level and Percentile. In 2015, BGA served grades 6 and 9-12 and was classified as a middle-high school. Due to the change to BGA’s school type, it is difficult to determine the actual change in BGA’s percentile from 2014 to 2015. In 2014 and 2015</w:t>
      </w:r>
      <w:r>
        <w:rPr>
          <w:sz w:val="20"/>
        </w:rPr>
        <w:t>,</w:t>
      </w:r>
      <w:r w:rsidRPr="00366EA4">
        <w:rPr>
          <w:sz w:val="20"/>
        </w:rPr>
        <w:t xml:space="preserve"> BGA’s MCAS scores placed the school in Level 3. In 2014, BGA was in the 6</w:t>
      </w:r>
      <w:r w:rsidRPr="00366EA4">
        <w:rPr>
          <w:sz w:val="20"/>
          <w:vertAlign w:val="superscript"/>
        </w:rPr>
        <w:t>th</w:t>
      </w:r>
      <w:r w:rsidRPr="00366EA4">
        <w:rPr>
          <w:sz w:val="20"/>
        </w:rPr>
        <w:t xml:space="preserve"> percentile when compared to other high schools statewide. In 2015, due to the addition of 6</w:t>
      </w:r>
      <w:r w:rsidRPr="00366EA4">
        <w:rPr>
          <w:sz w:val="20"/>
          <w:vertAlign w:val="superscript"/>
        </w:rPr>
        <w:t>th</w:t>
      </w:r>
      <w:r w:rsidRPr="00366EA4">
        <w:rPr>
          <w:sz w:val="20"/>
        </w:rPr>
        <w:t xml:space="preserve"> grade in the 2014-2015 school year, the school is in the 11</w:t>
      </w:r>
      <w:r w:rsidRPr="00366EA4">
        <w:rPr>
          <w:sz w:val="20"/>
          <w:vertAlign w:val="superscript"/>
        </w:rPr>
        <w:t>th</w:t>
      </w:r>
      <w:r w:rsidRPr="00366EA4">
        <w:rPr>
          <w:sz w:val="20"/>
        </w:rPr>
        <w:t xml:space="preserve"> percentile when compared to other middle-high schools statewide.</w:t>
      </w:r>
      <w:r w:rsidRPr="00B36EB9">
        <w:rPr>
          <w:szCs w:val="24"/>
        </w:rPr>
        <w:t xml:space="preserve"> </w:t>
      </w:r>
    </w:p>
    <w:p w14:paraId="348978C6" w14:textId="77777777" w:rsidR="00F521EC" w:rsidRDefault="00F521EC">
      <w:pPr>
        <w:pStyle w:val="FootnoteText"/>
      </w:pPr>
    </w:p>
  </w:footnote>
  <w:footnote w:id="3">
    <w:p w14:paraId="348978C7" w14:textId="77777777" w:rsidR="00F521EC" w:rsidRDefault="00F521EC">
      <w:pPr>
        <w:pStyle w:val="FootnoteText"/>
      </w:pPr>
      <w:r w:rsidRPr="00725FAA">
        <w:rPr>
          <w:rStyle w:val="FootnoteReference"/>
          <w:vertAlign w:val="superscript"/>
        </w:rPr>
        <w:footnoteRef/>
      </w:r>
      <w:r w:rsidRPr="00725FAA">
        <w:rPr>
          <w:vertAlign w:val="superscript"/>
        </w:rPr>
        <w:t xml:space="preserve"> </w:t>
      </w:r>
      <w:r w:rsidRPr="00E848D9">
        <w:t xml:space="preserve">BGA’s lack of compliance included: lack of appropriate licensure for </w:t>
      </w:r>
      <w:r>
        <w:t xml:space="preserve">two </w:t>
      </w:r>
      <w:r w:rsidRPr="00E848D9">
        <w:t>special education staff; failure to request approval of board members for Commissioner approval prior to service, and failure to submit the 2012 end-of-year financial report or the 2013 financial audit in a timely manner.</w:t>
      </w:r>
      <w:r>
        <w:t xml:space="preserve"> These issues have been resolved.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8E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F0CCE"/>
    <w:multiLevelType w:val="hybridMultilevel"/>
    <w:tmpl w:val="F4C6E01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
    <w:nsid w:val="06674670"/>
    <w:multiLevelType w:val="hybridMultilevel"/>
    <w:tmpl w:val="39CA7C22"/>
    <w:lvl w:ilvl="0" w:tplc="A0DCB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B9706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594ADD"/>
    <w:multiLevelType w:val="hybridMultilevel"/>
    <w:tmpl w:val="3DC05A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E51539"/>
    <w:multiLevelType w:val="hybridMultilevel"/>
    <w:tmpl w:val="1688E0BE"/>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C87529"/>
    <w:multiLevelType w:val="hybridMultilevel"/>
    <w:tmpl w:val="D730FD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4A479B"/>
    <w:multiLevelType w:val="hybridMultilevel"/>
    <w:tmpl w:val="AA3C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C42BC"/>
    <w:multiLevelType w:val="hybridMultilevel"/>
    <w:tmpl w:val="C27A5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47523B"/>
    <w:multiLevelType w:val="hybridMultilevel"/>
    <w:tmpl w:val="BC8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B77DF"/>
    <w:multiLevelType w:val="hybridMultilevel"/>
    <w:tmpl w:val="D6C28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16F77"/>
    <w:multiLevelType w:val="hybridMultilevel"/>
    <w:tmpl w:val="C45C87CE"/>
    <w:lvl w:ilvl="0" w:tplc="65D4EC3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B140DDA"/>
    <w:multiLevelType w:val="hybridMultilevel"/>
    <w:tmpl w:val="086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37942"/>
    <w:multiLevelType w:val="hybridMultilevel"/>
    <w:tmpl w:val="440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21ACB"/>
    <w:multiLevelType w:val="hybridMultilevel"/>
    <w:tmpl w:val="2C82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B0D25"/>
    <w:multiLevelType w:val="hybridMultilevel"/>
    <w:tmpl w:val="0618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F5588"/>
    <w:multiLevelType w:val="hybridMultilevel"/>
    <w:tmpl w:val="5B4A9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5DDF72C3"/>
    <w:multiLevelType w:val="hybridMultilevel"/>
    <w:tmpl w:val="1448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E46F3"/>
    <w:multiLevelType w:val="hybridMultilevel"/>
    <w:tmpl w:val="4536A05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12849"/>
    <w:multiLevelType w:val="hybridMultilevel"/>
    <w:tmpl w:val="466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3"/>
  </w:num>
  <w:num w:numId="9">
    <w:abstractNumId w:val="4"/>
  </w:num>
  <w:num w:numId="10">
    <w:abstractNumId w:val="5"/>
  </w:num>
  <w:num w:numId="11">
    <w:abstractNumId w:val="21"/>
  </w:num>
  <w:num w:numId="12">
    <w:abstractNumId w:val="11"/>
  </w:num>
  <w:num w:numId="13">
    <w:abstractNumId w:val="19"/>
  </w:num>
  <w:num w:numId="14">
    <w:abstractNumId w:val="2"/>
  </w:num>
  <w:num w:numId="15">
    <w:abstractNumId w:val="1"/>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8"/>
  </w:num>
  <w:num w:numId="21">
    <w:abstractNumId w:val="17"/>
  </w:num>
  <w:num w:numId="22">
    <w:abstractNumId w:val="10"/>
  </w:num>
  <w:num w:numId="23">
    <w:abstractNumId w:val="22"/>
  </w:num>
  <w:num w:numId="24">
    <w:abstractNumId w:val="13"/>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10"/>
    <w:rsid w:val="00007EC8"/>
    <w:rsid w:val="000100FE"/>
    <w:rsid w:val="000117A5"/>
    <w:rsid w:val="00011E33"/>
    <w:rsid w:val="000126D0"/>
    <w:rsid w:val="00026265"/>
    <w:rsid w:val="00034054"/>
    <w:rsid w:val="00036D9F"/>
    <w:rsid w:val="000433F8"/>
    <w:rsid w:val="00044187"/>
    <w:rsid w:val="00046EC2"/>
    <w:rsid w:val="000540DB"/>
    <w:rsid w:val="00057CA4"/>
    <w:rsid w:val="00066865"/>
    <w:rsid w:val="00076DF6"/>
    <w:rsid w:val="00080753"/>
    <w:rsid w:val="000912B8"/>
    <w:rsid w:val="00097C64"/>
    <w:rsid w:val="000B012D"/>
    <w:rsid w:val="000B1B05"/>
    <w:rsid w:val="000B3B1E"/>
    <w:rsid w:val="000B664A"/>
    <w:rsid w:val="000C5495"/>
    <w:rsid w:val="000D4233"/>
    <w:rsid w:val="000E3991"/>
    <w:rsid w:val="000F0AC1"/>
    <w:rsid w:val="000F377A"/>
    <w:rsid w:val="001047AC"/>
    <w:rsid w:val="00106E54"/>
    <w:rsid w:val="00112014"/>
    <w:rsid w:val="00114B7E"/>
    <w:rsid w:val="001235F2"/>
    <w:rsid w:val="0012524E"/>
    <w:rsid w:val="001345B2"/>
    <w:rsid w:val="00141404"/>
    <w:rsid w:val="00152D94"/>
    <w:rsid w:val="00154DA6"/>
    <w:rsid w:val="0016402A"/>
    <w:rsid w:val="00167C94"/>
    <w:rsid w:val="001716AE"/>
    <w:rsid w:val="0017711A"/>
    <w:rsid w:val="00183D14"/>
    <w:rsid w:val="00186BCF"/>
    <w:rsid w:val="00190979"/>
    <w:rsid w:val="00191F24"/>
    <w:rsid w:val="0019520F"/>
    <w:rsid w:val="001A4D34"/>
    <w:rsid w:val="001A639F"/>
    <w:rsid w:val="001A6808"/>
    <w:rsid w:val="001B0B1F"/>
    <w:rsid w:val="001B463A"/>
    <w:rsid w:val="001C2FAD"/>
    <w:rsid w:val="001C3E92"/>
    <w:rsid w:val="001C4A2A"/>
    <w:rsid w:val="001D1B9A"/>
    <w:rsid w:val="001D68BA"/>
    <w:rsid w:val="001D6DE9"/>
    <w:rsid w:val="001E554F"/>
    <w:rsid w:val="001F38D3"/>
    <w:rsid w:val="00201172"/>
    <w:rsid w:val="00202D2C"/>
    <w:rsid w:val="00204ECE"/>
    <w:rsid w:val="0021015C"/>
    <w:rsid w:val="00210FA0"/>
    <w:rsid w:val="0021288E"/>
    <w:rsid w:val="00212B59"/>
    <w:rsid w:val="00212F18"/>
    <w:rsid w:val="0022510C"/>
    <w:rsid w:val="00230DB2"/>
    <w:rsid w:val="00252B33"/>
    <w:rsid w:val="00256CF5"/>
    <w:rsid w:val="0026029A"/>
    <w:rsid w:val="00264E34"/>
    <w:rsid w:val="00264F5B"/>
    <w:rsid w:val="002655C8"/>
    <w:rsid w:val="0026691C"/>
    <w:rsid w:val="00283057"/>
    <w:rsid w:val="00283132"/>
    <w:rsid w:val="00287588"/>
    <w:rsid w:val="002877B7"/>
    <w:rsid w:val="002946E4"/>
    <w:rsid w:val="00297A8B"/>
    <w:rsid w:val="002A3E22"/>
    <w:rsid w:val="002B2E6A"/>
    <w:rsid w:val="002B4B10"/>
    <w:rsid w:val="002B4E51"/>
    <w:rsid w:val="002C0CF9"/>
    <w:rsid w:val="002C218D"/>
    <w:rsid w:val="002C2872"/>
    <w:rsid w:val="002D0DC2"/>
    <w:rsid w:val="002D2B52"/>
    <w:rsid w:val="002D7155"/>
    <w:rsid w:val="002E0AA4"/>
    <w:rsid w:val="002E143F"/>
    <w:rsid w:val="002E2930"/>
    <w:rsid w:val="002E29BD"/>
    <w:rsid w:val="002F03CC"/>
    <w:rsid w:val="002F5424"/>
    <w:rsid w:val="002F60B8"/>
    <w:rsid w:val="0031714D"/>
    <w:rsid w:val="003344C8"/>
    <w:rsid w:val="00356BEF"/>
    <w:rsid w:val="00366EA4"/>
    <w:rsid w:val="00370476"/>
    <w:rsid w:val="00384899"/>
    <w:rsid w:val="003867D2"/>
    <w:rsid w:val="003953C8"/>
    <w:rsid w:val="00395DEA"/>
    <w:rsid w:val="003A5491"/>
    <w:rsid w:val="003B0112"/>
    <w:rsid w:val="003B344F"/>
    <w:rsid w:val="003B42F4"/>
    <w:rsid w:val="003B467D"/>
    <w:rsid w:val="003B6870"/>
    <w:rsid w:val="003C42E6"/>
    <w:rsid w:val="003C5C2B"/>
    <w:rsid w:val="003E4926"/>
    <w:rsid w:val="003E4DA2"/>
    <w:rsid w:val="003F0099"/>
    <w:rsid w:val="003F445F"/>
    <w:rsid w:val="003F6BB4"/>
    <w:rsid w:val="00403E5A"/>
    <w:rsid w:val="00407378"/>
    <w:rsid w:val="00407AFC"/>
    <w:rsid w:val="00410018"/>
    <w:rsid w:val="004151E5"/>
    <w:rsid w:val="004166FF"/>
    <w:rsid w:val="00417B03"/>
    <w:rsid w:val="00423E75"/>
    <w:rsid w:val="00426E55"/>
    <w:rsid w:val="00431956"/>
    <w:rsid w:val="004328A4"/>
    <w:rsid w:val="00435F62"/>
    <w:rsid w:val="00441BE9"/>
    <w:rsid w:val="00444F42"/>
    <w:rsid w:val="00446FDB"/>
    <w:rsid w:val="0045774C"/>
    <w:rsid w:val="00460A53"/>
    <w:rsid w:val="0048268E"/>
    <w:rsid w:val="0049459C"/>
    <w:rsid w:val="00494E83"/>
    <w:rsid w:val="00495C52"/>
    <w:rsid w:val="004A19CB"/>
    <w:rsid w:val="004A2128"/>
    <w:rsid w:val="004A48B5"/>
    <w:rsid w:val="004B59FE"/>
    <w:rsid w:val="004C304D"/>
    <w:rsid w:val="004C4DF3"/>
    <w:rsid w:val="004D6EB7"/>
    <w:rsid w:val="004E4246"/>
    <w:rsid w:val="004E557A"/>
    <w:rsid w:val="004F0B54"/>
    <w:rsid w:val="004F0CAE"/>
    <w:rsid w:val="004F5115"/>
    <w:rsid w:val="004F718D"/>
    <w:rsid w:val="00503DC1"/>
    <w:rsid w:val="00506997"/>
    <w:rsid w:val="00512BC7"/>
    <w:rsid w:val="00513448"/>
    <w:rsid w:val="00517CB7"/>
    <w:rsid w:val="00521093"/>
    <w:rsid w:val="00534E5F"/>
    <w:rsid w:val="005407C3"/>
    <w:rsid w:val="005430E2"/>
    <w:rsid w:val="00544EBB"/>
    <w:rsid w:val="0054732D"/>
    <w:rsid w:val="005544E4"/>
    <w:rsid w:val="00561EA0"/>
    <w:rsid w:val="00562C6C"/>
    <w:rsid w:val="00563581"/>
    <w:rsid w:val="00571666"/>
    <w:rsid w:val="005728BE"/>
    <w:rsid w:val="00594F1D"/>
    <w:rsid w:val="005A0392"/>
    <w:rsid w:val="005A0EF6"/>
    <w:rsid w:val="005B07AC"/>
    <w:rsid w:val="005B0AB3"/>
    <w:rsid w:val="005B4FC9"/>
    <w:rsid w:val="005C1D44"/>
    <w:rsid w:val="005C4107"/>
    <w:rsid w:val="005C4784"/>
    <w:rsid w:val="005C553F"/>
    <w:rsid w:val="005D4B8F"/>
    <w:rsid w:val="005E2317"/>
    <w:rsid w:val="005E3535"/>
    <w:rsid w:val="005F137C"/>
    <w:rsid w:val="005F376F"/>
    <w:rsid w:val="005F522C"/>
    <w:rsid w:val="005F73F1"/>
    <w:rsid w:val="006009DB"/>
    <w:rsid w:val="0060554E"/>
    <w:rsid w:val="00605BD8"/>
    <w:rsid w:val="00606D09"/>
    <w:rsid w:val="00613310"/>
    <w:rsid w:val="00613493"/>
    <w:rsid w:val="0062127B"/>
    <w:rsid w:val="00632672"/>
    <w:rsid w:val="00635070"/>
    <w:rsid w:val="00642033"/>
    <w:rsid w:val="0064533F"/>
    <w:rsid w:val="006475D3"/>
    <w:rsid w:val="00650297"/>
    <w:rsid w:val="00652E5E"/>
    <w:rsid w:val="00660AD1"/>
    <w:rsid w:val="00662AD0"/>
    <w:rsid w:val="00663337"/>
    <w:rsid w:val="006678EB"/>
    <w:rsid w:val="00667A24"/>
    <w:rsid w:val="006726DC"/>
    <w:rsid w:val="006C3699"/>
    <w:rsid w:val="006C5C7A"/>
    <w:rsid w:val="006D036A"/>
    <w:rsid w:val="006D2E21"/>
    <w:rsid w:val="006D31C6"/>
    <w:rsid w:val="006D6D3C"/>
    <w:rsid w:val="006D755E"/>
    <w:rsid w:val="006E0240"/>
    <w:rsid w:val="006E24D8"/>
    <w:rsid w:val="006F17B7"/>
    <w:rsid w:val="006F1DA6"/>
    <w:rsid w:val="006F7D25"/>
    <w:rsid w:val="00700360"/>
    <w:rsid w:val="007022A4"/>
    <w:rsid w:val="00717CC6"/>
    <w:rsid w:val="007253F9"/>
    <w:rsid w:val="00725D57"/>
    <w:rsid w:val="00725FAA"/>
    <w:rsid w:val="00726E1D"/>
    <w:rsid w:val="00730851"/>
    <w:rsid w:val="0073577B"/>
    <w:rsid w:val="00741F0F"/>
    <w:rsid w:val="00747D93"/>
    <w:rsid w:val="00752FBD"/>
    <w:rsid w:val="00761FD8"/>
    <w:rsid w:val="00762293"/>
    <w:rsid w:val="00764107"/>
    <w:rsid w:val="00767395"/>
    <w:rsid w:val="00770039"/>
    <w:rsid w:val="007732FB"/>
    <w:rsid w:val="00780317"/>
    <w:rsid w:val="00785B0B"/>
    <w:rsid w:val="00794618"/>
    <w:rsid w:val="00795A8E"/>
    <w:rsid w:val="007A44BE"/>
    <w:rsid w:val="007C0514"/>
    <w:rsid w:val="007C1650"/>
    <w:rsid w:val="007C2E05"/>
    <w:rsid w:val="007C3797"/>
    <w:rsid w:val="007C4D0F"/>
    <w:rsid w:val="007D111D"/>
    <w:rsid w:val="007E63F7"/>
    <w:rsid w:val="00801461"/>
    <w:rsid w:val="0081370F"/>
    <w:rsid w:val="00822984"/>
    <w:rsid w:val="0082597A"/>
    <w:rsid w:val="0083168A"/>
    <w:rsid w:val="008469C0"/>
    <w:rsid w:val="00847DB1"/>
    <w:rsid w:val="0086148E"/>
    <w:rsid w:val="00862E84"/>
    <w:rsid w:val="008679AF"/>
    <w:rsid w:val="00872C54"/>
    <w:rsid w:val="008736EC"/>
    <w:rsid w:val="0087679B"/>
    <w:rsid w:val="0088606D"/>
    <w:rsid w:val="00890B41"/>
    <w:rsid w:val="00893DAC"/>
    <w:rsid w:val="0089548D"/>
    <w:rsid w:val="008A3362"/>
    <w:rsid w:val="008B7BB1"/>
    <w:rsid w:val="008C2410"/>
    <w:rsid w:val="008C2910"/>
    <w:rsid w:val="008C42D6"/>
    <w:rsid w:val="008D3FAB"/>
    <w:rsid w:val="008D4770"/>
    <w:rsid w:val="008E1A9D"/>
    <w:rsid w:val="008E2452"/>
    <w:rsid w:val="008E7EFE"/>
    <w:rsid w:val="009031D2"/>
    <w:rsid w:val="00913EBB"/>
    <w:rsid w:val="0091566F"/>
    <w:rsid w:val="0091580C"/>
    <w:rsid w:val="00920502"/>
    <w:rsid w:val="00920F1D"/>
    <w:rsid w:val="00922718"/>
    <w:rsid w:val="009262A2"/>
    <w:rsid w:val="00926DB7"/>
    <w:rsid w:val="00931B65"/>
    <w:rsid w:val="009323AC"/>
    <w:rsid w:val="0093377B"/>
    <w:rsid w:val="00937148"/>
    <w:rsid w:val="00944887"/>
    <w:rsid w:val="00946B9B"/>
    <w:rsid w:val="009566B4"/>
    <w:rsid w:val="0096003F"/>
    <w:rsid w:val="00962391"/>
    <w:rsid w:val="0096373C"/>
    <w:rsid w:val="00965AA0"/>
    <w:rsid w:val="00965CB0"/>
    <w:rsid w:val="00972FD1"/>
    <w:rsid w:val="00996D5E"/>
    <w:rsid w:val="009B5F71"/>
    <w:rsid w:val="009C0828"/>
    <w:rsid w:val="009C1AA5"/>
    <w:rsid w:val="009D04BA"/>
    <w:rsid w:val="009E06E8"/>
    <w:rsid w:val="009E2A12"/>
    <w:rsid w:val="009E3201"/>
    <w:rsid w:val="009E5D67"/>
    <w:rsid w:val="009E781A"/>
    <w:rsid w:val="009F07C2"/>
    <w:rsid w:val="00A03567"/>
    <w:rsid w:val="00A03710"/>
    <w:rsid w:val="00A06EBC"/>
    <w:rsid w:val="00A10C08"/>
    <w:rsid w:val="00A14FE3"/>
    <w:rsid w:val="00A16B84"/>
    <w:rsid w:val="00A20194"/>
    <w:rsid w:val="00A378B1"/>
    <w:rsid w:val="00A438FD"/>
    <w:rsid w:val="00A463E8"/>
    <w:rsid w:val="00A4709E"/>
    <w:rsid w:val="00A5089D"/>
    <w:rsid w:val="00A5326B"/>
    <w:rsid w:val="00A5378F"/>
    <w:rsid w:val="00A559D2"/>
    <w:rsid w:val="00A56E39"/>
    <w:rsid w:val="00A62C29"/>
    <w:rsid w:val="00A644CD"/>
    <w:rsid w:val="00A65B92"/>
    <w:rsid w:val="00A7681B"/>
    <w:rsid w:val="00A81308"/>
    <w:rsid w:val="00A820B3"/>
    <w:rsid w:val="00A82763"/>
    <w:rsid w:val="00A941C3"/>
    <w:rsid w:val="00AA004D"/>
    <w:rsid w:val="00AA0435"/>
    <w:rsid w:val="00AA5B38"/>
    <w:rsid w:val="00AB1DA1"/>
    <w:rsid w:val="00AB28E7"/>
    <w:rsid w:val="00AB4092"/>
    <w:rsid w:val="00AC0FF0"/>
    <w:rsid w:val="00AC2EBE"/>
    <w:rsid w:val="00AD5FE3"/>
    <w:rsid w:val="00AE5F45"/>
    <w:rsid w:val="00AE7DD8"/>
    <w:rsid w:val="00AF07E6"/>
    <w:rsid w:val="00B01798"/>
    <w:rsid w:val="00B060CA"/>
    <w:rsid w:val="00B15E7C"/>
    <w:rsid w:val="00B201AC"/>
    <w:rsid w:val="00B25366"/>
    <w:rsid w:val="00B25654"/>
    <w:rsid w:val="00B26576"/>
    <w:rsid w:val="00B26F82"/>
    <w:rsid w:val="00B34968"/>
    <w:rsid w:val="00B34FCA"/>
    <w:rsid w:val="00B3675E"/>
    <w:rsid w:val="00B40922"/>
    <w:rsid w:val="00B57D2B"/>
    <w:rsid w:val="00B6544B"/>
    <w:rsid w:val="00B70385"/>
    <w:rsid w:val="00B71B7C"/>
    <w:rsid w:val="00B841C0"/>
    <w:rsid w:val="00BA63CF"/>
    <w:rsid w:val="00BA7CFA"/>
    <w:rsid w:val="00BB3B42"/>
    <w:rsid w:val="00BC22FC"/>
    <w:rsid w:val="00BC3755"/>
    <w:rsid w:val="00BC72D4"/>
    <w:rsid w:val="00BE265B"/>
    <w:rsid w:val="00BF63D0"/>
    <w:rsid w:val="00C06DBB"/>
    <w:rsid w:val="00C153A0"/>
    <w:rsid w:val="00C1638E"/>
    <w:rsid w:val="00C1643E"/>
    <w:rsid w:val="00C31624"/>
    <w:rsid w:val="00C3364E"/>
    <w:rsid w:val="00C336CD"/>
    <w:rsid w:val="00C34115"/>
    <w:rsid w:val="00C36778"/>
    <w:rsid w:val="00C400B7"/>
    <w:rsid w:val="00C5597C"/>
    <w:rsid w:val="00C6000B"/>
    <w:rsid w:val="00C6673D"/>
    <w:rsid w:val="00C75204"/>
    <w:rsid w:val="00C92584"/>
    <w:rsid w:val="00C927E0"/>
    <w:rsid w:val="00C9563E"/>
    <w:rsid w:val="00C969F1"/>
    <w:rsid w:val="00C974A6"/>
    <w:rsid w:val="00C97608"/>
    <w:rsid w:val="00CA06B6"/>
    <w:rsid w:val="00CA68B3"/>
    <w:rsid w:val="00CC3532"/>
    <w:rsid w:val="00CC36ED"/>
    <w:rsid w:val="00CD3462"/>
    <w:rsid w:val="00CE1FCB"/>
    <w:rsid w:val="00CF1991"/>
    <w:rsid w:val="00CF1D11"/>
    <w:rsid w:val="00D00856"/>
    <w:rsid w:val="00D06A6C"/>
    <w:rsid w:val="00D074B5"/>
    <w:rsid w:val="00D11D7E"/>
    <w:rsid w:val="00D12DF1"/>
    <w:rsid w:val="00D1782C"/>
    <w:rsid w:val="00D20AE3"/>
    <w:rsid w:val="00D2191B"/>
    <w:rsid w:val="00D304DF"/>
    <w:rsid w:val="00D31299"/>
    <w:rsid w:val="00D32672"/>
    <w:rsid w:val="00D35E4D"/>
    <w:rsid w:val="00D361F2"/>
    <w:rsid w:val="00D37C63"/>
    <w:rsid w:val="00D54B54"/>
    <w:rsid w:val="00D567F6"/>
    <w:rsid w:val="00D6195E"/>
    <w:rsid w:val="00D644E2"/>
    <w:rsid w:val="00D7101F"/>
    <w:rsid w:val="00D7355A"/>
    <w:rsid w:val="00D73B50"/>
    <w:rsid w:val="00D755CF"/>
    <w:rsid w:val="00D80A87"/>
    <w:rsid w:val="00D81BB1"/>
    <w:rsid w:val="00D83BBA"/>
    <w:rsid w:val="00D91B5E"/>
    <w:rsid w:val="00D93B46"/>
    <w:rsid w:val="00D96922"/>
    <w:rsid w:val="00DA31DF"/>
    <w:rsid w:val="00DA612F"/>
    <w:rsid w:val="00DA691A"/>
    <w:rsid w:val="00DB1C33"/>
    <w:rsid w:val="00DB22D5"/>
    <w:rsid w:val="00DB6311"/>
    <w:rsid w:val="00DC266A"/>
    <w:rsid w:val="00DC33B2"/>
    <w:rsid w:val="00DC3D0E"/>
    <w:rsid w:val="00DD107C"/>
    <w:rsid w:val="00DD2AD0"/>
    <w:rsid w:val="00DE0462"/>
    <w:rsid w:val="00DE0F16"/>
    <w:rsid w:val="00DE5820"/>
    <w:rsid w:val="00E0230F"/>
    <w:rsid w:val="00E04714"/>
    <w:rsid w:val="00E11144"/>
    <w:rsid w:val="00E15F0F"/>
    <w:rsid w:val="00E16FF1"/>
    <w:rsid w:val="00E212E4"/>
    <w:rsid w:val="00E22EDD"/>
    <w:rsid w:val="00E24621"/>
    <w:rsid w:val="00E27396"/>
    <w:rsid w:val="00E45E4C"/>
    <w:rsid w:val="00E52B79"/>
    <w:rsid w:val="00E548D1"/>
    <w:rsid w:val="00E6650E"/>
    <w:rsid w:val="00E7001B"/>
    <w:rsid w:val="00E73D63"/>
    <w:rsid w:val="00E769A7"/>
    <w:rsid w:val="00E77FAD"/>
    <w:rsid w:val="00E825F0"/>
    <w:rsid w:val="00E848D9"/>
    <w:rsid w:val="00E9235A"/>
    <w:rsid w:val="00E93479"/>
    <w:rsid w:val="00E942C4"/>
    <w:rsid w:val="00E958D9"/>
    <w:rsid w:val="00EA6F84"/>
    <w:rsid w:val="00EB236B"/>
    <w:rsid w:val="00EC3AEE"/>
    <w:rsid w:val="00EC5100"/>
    <w:rsid w:val="00EC6328"/>
    <w:rsid w:val="00ED250C"/>
    <w:rsid w:val="00ED3583"/>
    <w:rsid w:val="00ED66B5"/>
    <w:rsid w:val="00EE5A1B"/>
    <w:rsid w:val="00EF35BC"/>
    <w:rsid w:val="00EF50E1"/>
    <w:rsid w:val="00EF56FE"/>
    <w:rsid w:val="00F0158F"/>
    <w:rsid w:val="00F031AD"/>
    <w:rsid w:val="00F03787"/>
    <w:rsid w:val="00F14720"/>
    <w:rsid w:val="00F16D39"/>
    <w:rsid w:val="00F200F8"/>
    <w:rsid w:val="00F220BA"/>
    <w:rsid w:val="00F25840"/>
    <w:rsid w:val="00F265D5"/>
    <w:rsid w:val="00F27A54"/>
    <w:rsid w:val="00F4021F"/>
    <w:rsid w:val="00F420B5"/>
    <w:rsid w:val="00F521EC"/>
    <w:rsid w:val="00F60661"/>
    <w:rsid w:val="00F6492C"/>
    <w:rsid w:val="00F70A19"/>
    <w:rsid w:val="00F73119"/>
    <w:rsid w:val="00F76385"/>
    <w:rsid w:val="00F82140"/>
    <w:rsid w:val="00F8227E"/>
    <w:rsid w:val="00F830D0"/>
    <w:rsid w:val="00F835A6"/>
    <w:rsid w:val="00F87354"/>
    <w:rsid w:val="00F91BCA"/>
    <w:rsid w:val="00F93F2C"/>
    <w:rsid w:val="00F955BE"/>
    <w:rsid w:val="00F96E2D"/>
    <w:rsid w:val="00F96E9B"/>
    <w:rsid w:val="00FA0134"/>
    <w:rsid w:val="00FA10BA"/>
    <w:rsid w:val="00FB3D6A"/>
    <w:rsid w:val="00FC095E"/>
    <w:rsid w:val="00FC16EC"/>
    <w:rsid w:val="00FD1479"/>
    <w:rsid w:val="00FD514D"/>
    <w:rsid w:val="00FD5E05"/>
    <w:rsid w:val="00FD6460"/>
    <w:rsid w:val="00FD660C"/>
    <w:rsid w:val="00FE314F"/>
    <w:rsid w:val="00FE744F"/>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89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link w:val="BodyTextIndent"/>
    <w:rsid w:val="00A378B1"/>
    <w:rPr>
      <w:sz w:val="24"/>
      <w:szCs w:val="24"/>
    </w:rPr>
  </w:style>
  <w:style w:type="character" w:customStyle="1" w:styleId="FootnoteTextChar">
    <w:name w:val="Footnote Text Char"/>
    <w:link w:val="FootnoteText"/>
    <w:rsid w:val="00A82763"/>
    <w:rPr>
      <w:snapToGrid w:val="0"/>
    </w:rPr>
  </w:style>
  <w:style w:type="paragraph" w:customStyle="1" w:styleId="Finding">
    <w:name w:val="Finding"/>
    <w:basedOn w:val="Normal"/>
    <w:link w:val="FindingChar"/>
    <w:autoRedefine/>
    <w:rsid w:val="00D35E4D"/>
    <w:pPr>
      <w:keepNext/>
      <w:widowControl/>
    </w:pPr>
    <w:rPr>
      <w:i/>
      <w:snapToGrid/>
      <w:szCs w:val="24"/>
    </w:rPr>
  </w:style>
  <w:style w:type="character" w:customStyle="1" w:styleId="FindingChar">
    <w:name w:val="Finding Char"/>
    <w:link w:val="Finding"/>
    <w:rsid w:val="00D35E4D"/>
    <w:rPr>
      <w:i/>
      <w:sz w:val="24"/>
      <w:szCs w:val="24"/>
    </w:rPr>
  </w:style>
  <w:style w:type="paragraph" w:customStyle="1" w:styleId="Body">
    <w:name w:val="Body"/>
    <w:basedOn w:val="Normal"/>
    <w:link w:val="BodyChar"/>
    <w:uiPriority w:val="99"/>
    <w:rsid w:val="00A62C29"/>
    <w:pPr>
      <w:widowControl/>
      <w:spacing w:after="120"/>
    </w:pPr>
    <w:rPr>
      <w:snapToGrid/>
      <w:szCs w:val="24"/>
    </w:rPr>
  </w:style>
  <w:style w:type="character" w:customStyle="1" w:styleId="BodyChar">
    <w:name w:val="Body Char"/>
    <w:link w:val="Body"/>
    <w:uiPriority w:val="99"/>
    <w:rsid w:val="00A62C29"/>
    <w:rPr>
      <w:sz w:val="24"/>
      <w:szCs w:val="24"/>
    </w:rPr>
  </w:style>
  <w:style w:type="character" w:styleId="CommentReference">
    <w:name w:val="annotation reference"/>
    <w:rsid w:val="0031714D"/>
    <w:rPr>
      <w:sz w:val="16"/>
      <w:szCs w:val="16"/>
    </w:rPr>
  </w:style>
  <w:style w:type="paragraph" w:styleId="CommentText">
    <w:name w:val="annotation text"/>
    <w:basedOn w:val="Normal"/>
    <w:link w:val="CommentTextChar"/>
    <w:rsid w:val="0031714D"/>
    <w:rPr>
      <w:sz w:val="20"/>
    </w:rPr>
  </w:style>
  <w:style w:type="character" w:customStyle="1" w:styleId="FooterChar">
    <w:name w:val="Footer Char"/>
    <w:link w:val="Footer"/>
    <w:uiPriority w:val="99"/>
    <w:rsid w:val="00DD2AD0"/>
    <w:rPr>
      <w:snapToGrid w:val="0"/>
      <w:sz w:val="24"/>
    </w:rPr>
  </w:style>
  <w:style w:type="paragraph" w:customStyle="1" w:styleId="Default">
    <w:name w:val="Default"/>
    <w:rsid w:val="00007EC8"/>
    <w:pPr>
      <w:autoSpaceDE w:val="0"/>
      <w:autoSpaceDN w:val="0"/>
      <w:adjustRightInd w:val="0"/>
    </w:pPr>
    <w:rPr>
      <w:color w:val="000000"/>
      <w:sz w:val="24"/>
      <w:szCs w:val="24"/>
    </w:rPr>
  </w:style>
  <w:style w:type="paragraph" w:customStyle="1" w:styleId="ColorfulList-Accent11">
    <w:name w:val="Colorful List - Accent 11"/>
    <w:basedOn w:val="Normal"/>
    <w:uiPriority w:val="99"/>
    <w:qFormat/>
    <w:rsid w:val="00007EC8"/>
    <w:pPr>
      <w:widowControl/>
      <w:ind w:left="720"/>
    </w:pPr>
    <w:rPr>
      <w:snapToGrid/>
      <w:szCs w:val="24"/>
    </w:rPr>
  </w:style>
  <w:style w:type="character" w:styleId="Hyperlink">
    <w:name w:val="Hyperlink"/>
    <w:uiPriority w:val="99"/>
    <w:unhideWhenUsed/>
    <w:rsid w:val="00AD5FE3"/>
    <w:rPr>
      <w:color w:val="0000FF"/>
      <w:u w:val="single"/>
    </w:rPr>
  </w:style>
  <w:style w:type="paragraph" w:styleId="CommentSubject">
    <w:name w:val="annotation subject"/>
    <w:basedOn w:val="CommentText"/>
    <w:next w:val="CommentText"/>
    <w:link w:val="CommentSubjectChar"/>
    <w:rsid w:val="00446FDB"/>
    <w:rPr>
      <w:b/>
      <w:bCs/>
    </w:rPr>
  </w:style>
  <w:style w:type="character" w:customStyle="1" w:styleId="CommentTextChar">
    <w:name w:val="Comment Text Char"/>
    <w:link w:val="CommentText"/>
    <w:rsid w:val="00446FDB"/>
    <w:rPr>
      <w:snapToGrid w:val="0"/>
    </w:rPr>
  </w:style>
  <w:style w:type="character" w:customStyle="1" w:styleId="CommentSubjectChar">
    <w:name w:val="Comment Subject Char"/>
    <w:basedOn w:val="CommentTextChar"/>
    <w:link w:val="CommentSubject"/>
    <w:rsid w:val="00446FDB"/>
    <w:rPr>
      <w:snapToGrid w:val="0"/>
    </w:rPr>
  </w:style>
  <w:style w:type="paragraph" w:customStyle="1" w:styleId="ColorfulShading-Accent11">
    <w:name w:val="Colorful Shading - Accent 11"/>
    <w:hidden/>
    <w:uiPriority w:val="99"/>
    <w:semiHidden/>
    <w:rsid w:val="00446FDB"/>
    <w:rPr>
      <w:snapToGrid w:val="0"/>
      <w:sz w:val="24"/>
    </w:rPr>
  </w:style>
  <w:style w:type="character" w:styleId="FollowedHyperlink">
    <w:name w:val="FollowedHyperlink"/>
    <w:rsid w:val="006D6D3C"/>
    <w:rPr>
      <w:color w:val="800080"/>
      <w:u w:val="single"/>
    </w:rPr>
  </w:style>
  <w:style w:type="paragraph" w:customStyle="1" w:styleId="IndentedText">
    <w:name w:val="Indented Text"/>
    <w:basedOn w:val="Normal"/>
    <w:qFormat/>
    <w:rsid w:val="0019520F"/>
    <w:pPr>
      <w:widowControl/>
      <w:spacing w:after="120"/>
      <w:ind w:left="720"/>
      <w:jc w:val="both"/>
    </w:pPr>
    <w:rPr>
      <w:rFonts w:ascii="Cambria" w:hAnsi="Cambria"/>
      <w:snapToGrid/>
      <w:szCs w:val="24"/>
    </w:rPr>
  </w:style>
  <w:style w:type="character" w:customStyle="1" w:styleId="BodyText2Char">
    <w:name w:val="Body Text 2 Char"/>
    <w:link w:val="BodyText2"/>
    <w:rsid w:val="0094488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link w:val="BodyTextIndent"/>
    <w:rsid w:val="00A378B1"/>
    <w:rPr>
      <w:sz w:val="24"/>
      <w:szCs w:val="24"/>
    </w:rPr>
  </w:style>
  <w:style w:type="character" w:customStyle="1" w:styleId="FootnoteTextChar">
    <w:name w:val="Footnote Text Char"/>
    <w:link w:val="FootnoteText"/>
    <w:rsid w:val="00A82763"/>
    <w:rPr>
      <w:snapToGrid w:val="0"/>
    </w:rPr>
  </w:style>
  <w:style w:type="paragraph" w:customStyle="1" w:styleId="Finding">
    <w:name w:val="Finding"/>
    <w:basedOn w:val="Normal"/>
    <w:link w:val="FindingChar"/>
    <w:autoRedefine/>
    <w:rsid w:val="00D35E4D"/>
    <w:pPr>
      <w:keepNext/>
      <w:widowControl/>
    </w:pPr>
    <w:rPr>
      <w:i/>
      <w:snapToGrid/>
      <w:szCs w:val="24"/>
    </w:rPr>
  </w:style>
  <w:style w:type="character" w:customStyle="1" w:styleId="FindingChar">
    <w:name w:val="Finding Char"/>
    <w:link w:val="Finding"/>
    <w:rsid w:val="00D35E4D"/>
    <w:rPr>
      <w:i/>
      <w:sz w:val="24"/>
      <w:szCs w:val="24"/>
    </w:rPr>
  </w:style>
  <w:style w:type="paragraph" w:customStyle="1" w:styleId="Body">
    <w:name w:val="Body"/>
    <w:basedOn w:val="Normal"/>
    <w:link w:val="BodyChar"/>
    <w:uiPriority w:val="99"/>
    <w:rsid w:val="00A62C29"/>
    <w:pPr>
      <w:widowControl/>
      <w:spacing w:after="120"/>
    </w:pPr>
    <w:rPr>
      <w:snapToGrid/>
      <w:szCs w:val="24"/>
    </w:rPr>
  </w:style>
  <w:style w:type="character" w:customStyle="1" w:styleId="BodyChar">
    <w:name w:val="Body Char"/>
    <w:link w:val="Body"/>
    <w:uiPriority w:val="99"/>
    <w:rsid w:val="00A62C29"/>
    <w:rPr>
      <w:sz w:val="24"/>
      <w:szCs w:val="24"/>
    </w:rPr>
  </w:style>
  <w:style w:type="character" w:styleId="CommentReference">
    <w:name w:val="annotation reference"/>
    <w:rsid w:val="0031714D"/>
    <w:rPr>
      <w:sz w:val="16"/>
      <w:szCs w:val="16"/>
    </w:rPr>
  </w:style>
  <w:style w:type="paragraph" w:styleId="CommentText">
    <w:name w:val="annotation text"/>
    <w:basedOn w:val="Normal"/>
    <w:link w:val="CommentTextChar"/>
    <w:rsid w:val="0031714D"/>
    <w:rPr>
      <w:sz w:val="20"/>
    </w:rPr>
  </w:style>
  <w:style w:type="character" w:customStyle="1" w:styleId="FooterChar">
    <w:name w:val="Footer Char"/>
    <w:link w:val="Footer"/>
    <w:uiPriority w:val="99"/>
    <w:rsid w:val="00DD2AD0"/>
    <w:rPr>
      <w:snapToGrid w:val="0"/>
      <w:sz w:val="24"/>
    </w:rPr>
  </w:style>
  <w:style w:type="paragraph" w:customStyle="1" w:styleId="Default">
    <w:name w:val="Default"/>
    <w:rsid w:val="00007EC8"/>
    <w:pPr>
      <w:autoSpaceDE w:val="0"/>
      <w:autoSpaceDN w:val="0"/>
      <w:adjustRightInd w:val="0"/>
    </w:pPr>
    <w:rPr>
      <w:color w:val="000000"/>
      <w:sz w:val="24"/>
      <w:szCs w:val="24"/>
    </w:rPr>
  </w:style>
  <w:style w:type="paragraph" w:customStyle="1" w:styleId="ColorfulList-Accent11">
    <w:name w:val="Colorful List - Accent 11"/>
    <w:basedOn w:val="Normal"/>
    <w:uiPriority w:val="99"/>
    <w:qFormat/>
    <w:rsid w:val="00007EC8"/>
    <w:pPr>
      <w:widowControl/>
      <w:ind w:left="720"/>
    </w:pPr>
    <w:rPr>
      <w:snapToGrid/>
      <w:szCs w:val="24"/>
    </w:rPr>
  </w:style>
  <w:style w:type="character" w:styleId="Hyperlink">
    <w:name w:val="Hyperlink"/>
    <w:uiPriority w:val="99"/>
    <w:unhideWhenUsed/>
    <w:rsid w:val="00AD5FE3"/>
    <w:rPr>
      <w:color w:val="0000FF"/>
      <w:u w:val="single"/>
    </w:rPr>
  </w:style>
  <w:style w:type="paragraph" w:styleId="CommentSubject">
    <w:name w:val="annotation subject"/>
    <w:basedOn w:val="CommentText"/>
    <w:next w:val="CommentText"/>
    <w:link w:val="CommentSubjectChar"/>
    <w:rsid w:val="00446FDB"/>
    <w:rPr>
      <w:b/>
      <w:bCs/>
    </w:rPr>
  </w:style>
  <w:style w:type="character" w:customStyle="1" w:styleId="CommentTextChar">
    <w:name w:val="Comment Text Char"/>
    <w:link w:val="CommentText"/>
    <w:rsid w:val="00446FDB"/>
    <w:rPr>
      <w:snapToGrid w:val="0"/>
    </w:rPr>
  </w:style>
  <w:style w:type="character" w:customStyle="1" w:styleId="CommentSubjectChar">
    <w:name w:val="Comment Subject Char"/>
    <w:basedOn w:val="CommentTextChar"/>
    <w:link w:val="CommentSubject"/>
    <w:rsid w:val="00446FDB"/>
    <w:rPr>
      <w:snapToGrid w:val="0"/>
    </w:rPr>
  </w:style>
  <w:style w:type="paragraph" w:customStyle="1" w:styleId="ColorfulShading-Accent11">
    <w:name w:val="Colorful Shading - Accent 11"/>
    <w:hidden/>
    <w:uiPriority w:val="99"/>
    <w:semiHidden/>
    <w:rsid w:val="00446FDB"/>
    <w:rPr>
      <w:snapToGrid w:val="0"/>
      <w:sz w:val="24"/>
    </w:rPr>
  </w:style>
  <w:style w:type="character" w:styleId="FollowedHyperlink">
    <w:name w:val="FollowedHyperlink"/>
    <w:rsid w:val="006D6D3C"/>
    <w:rPr>
      <w:color w:val="800080"/>
      <w:u w:val="single"/>
    </w:rPr>
  </w:style>
  <w:style w:type="paragraph" w:customStyle="1" w:styleId="IndentedText">
    <w:name w:val="Indented Text"/>
    <w:basedOn w:val="Normal"/>
    <w:qFormat/>
    <w:rsid w:val="0019520F"/>
    <w:pPr>
      <w:widowControl/>
      <w:spacing w:after="120"/>
      <w:ind w:left="720"/>
      <w:jc w:val="both"/>
    </w:pPr>
    <w:rPr>
      <w:rFonts w:ascii="Cambria" w:hAnsi="Cambria"/>
      <w:snapToGrid/>
      <w:szCs w:val="24"/>
    </w:rPr>
  </w:style>
  <w:style w:type="character" w:customStyle="1" w:styleId="BodyText2Char">
    <w:name w:val="Body Text 2 Char"/>
    <w:link w:val="BodyText2"/>
    <w:rsid w:val="009448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1809">
      <w:bodyDiv w:val="1"/>
      <w:marLeft w:val="0"/>
      <w:marRight w:val="0"/>
      <w:marTop w:val="0"/>
      <w:marBottom w:val="0"/>
      <w:divBdr>
        <w:top w:val="none" w:sz="0" w:space="0" w:color="auto"/>
        <w:left w:val="none" w:sz="0" w:space="0" w:color="auto"/>
        <w:bottom w:val="none" w:sz="0" w:space="0" w:color="auto"/>
        <w:right w:val="none" w:sz="0" w:space="0" w:color="auto"/>
      </w:divBdr>
    </w:div>
    <w:div w:id="359361106">
      <w:bodyDiv w:val="1"/>
      <w:marLeft w:val="0"/>
      <w:marRight w:val="0"/>
      <w:marTop w:val="0"/>
      <w:marBottom w:val="0"/>
      <w:divBdr>
        <w:top w:val="none" w:sz="0" w:space="0" w:color="auto"/>
        <w:left w:val="none" w:sz="0" w:space="0" w:color="auto"/>
        <w:bottom w:val="none" w:sz="0" w:space="0" w:color="auto"/>
        <w:right w:val="none" w:sz="0" w:space="0" w:color="auto"/>
      </w:divBdr>
    </w:div>
    <w:div w:id="511066457">
      <w:bodyDiv w:val="1"/>
      <w:marLeft w:val="0"/>
      <w:marRight w:val="0"/>
      <w:marTop w:val="0"/>
      <w:marBottom w:val="0"/>
      <w:divBdr>
        <w:top w:val="none" w:sz="0" w:space="0" w:color="auto"/>
        <w:left w:val="none" w:sz="0" w:space="0" w:color="auto"/>
        <w:bottom w:val="none" w:sz="0" w:space="0" w:color="auto"/>
        <w:right w:val="none" w:sz="0" w:space="0" w:color="auto"/>
      </w:divBdr>
    </w:div>
    <w:div w:id="805896989">
      <w:bodyDiv w:val="1"/>
      <w:marLeft w:val="0"/>
      <w:marRight w:val="0"/>
      <w:marTop w:val="0"/>
      <w:marBottom w:val="0"/>
      <w:divBdr>
        <w:top w:val="none" w:sz="0" w:space="0" w:color="auto"/>
        <w:left w:val="none" w:sz="0" w:space="0" w:color="auto"/>
        <w:bottom w:val="none" w:sz="0" w:space="0" w:color="auto"/>
        <w:right w:val="none" w:sz="0" w:space="0" w:color="auto"/>
      </w:divBdr>
    </w:div>
    <w:div w:id="1323848838">
      <w:bodyDiv w:val="1"/>
      <w:marLeft w:val="0"/>
      <w:marRight w:val="0"/>
      <w:marTop w:val="0"/>
      <w:marBottom w:val="0"/>
      <w:divBdr>
        <w:top w:val="none" w:sz="0" w:space="0" w:color="auto"/>
        <w:left w:val="none" w:sz="0" w:space="0" w:color="auto"/>
        <w:bottom w:val="none" w:sz="0" w:space="0" w:color="auto"/>
        <w:right w:val="none" w:sz="0" w:space="0" w:color="auto"/>
      </w:divBdr>
    </w:div>
    <w:div w:id="1985770542">
      <w:bodyDiv w:val="1"/>
      <w:marLeft w:val="0"/>
      <w:marRight w:val="0"/>
      <w:marTop w:val="0"/>
      <w:marBottom w:val="0"/>
      <w:divBdr>
        <w:top w:val="none" w:sz="0" w:space="0" w:color="auto"/>
        <w:left w:val="none" w:sz="0" w:space="0" w:color="auto"/>
        <w:bottom w:val="none" w:sz="0" w:space="0" w:color="auto"/>
        <w:right w:val="none" w:sz="0" w:space="0" w:color="auto"/>
      </w:divBdr>
    </w:div>
    <w:div w:id="20389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charterschools@doe.mass.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DESE-231-22907</_dlc_DocId>
    <_dlc_DocIdUrl xmlns="733efe1c-5bbe-4968-87dc-d400e65c879f">
      <Url>https://sharepoint.doemass.org/ese/webteam/cps/_layouts/DocIdRedir.aspx?ID=DESE-231-22907</Url>
      <Description>DESE-231-22907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C1BC-489E-4C19-8952-DA4F169B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3A477-184E-49C4-A008-094596D68AE3}">
  <ds:schemaRefs>
    <ds:schemaRef ds:uri="http://schemas.microsoft.com/sharepoint/events"/>
  </ds:schemaRefs>
</ds:datastoreItem>
</file>

<file path=customXml/itemProps3.xml><?xml version="1.0" encoding="utf-8"?>
<ds:datastoreItem xmlns:ds="http://schemas.openxmlformats.org/officeDocument/2006/customXml" ds:itemID="{9058DC7C-5C7B-4225-8036-D3C884EC83EF}">
  <ds:schemaRefs>
    <ds:schemaRef ds:uri="http://schemas.microsoft.com/sharepoint/v3/contenttype/forms"/>
  </ds:schemaRefs>
</ds:datastoreItem>
</file>

<file path=customXml/itemProps4.xml><?xml version="1.0" encoding="utf-8"?>
<ds:datastoreItem xmlns:ds="http://schemas.openxmlformats.org/officeDocument/2006/customXml" ds:itemID="{BE8B9580-5D6B-4EE5-8C76-969EDBB6F90E}">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0a4e05da-b9bc-4326-ad73-01ef31b95567"/>
    <ds:schemaRef ds:uri="http://schemas.microsoft.com/office/infopath/2007/PartnerControls"/>
    <ds:schemaRef ds:uri="733efe1c-5bbe-4968-87dc-d400e65c879f"/>
    <ds:schemaRef ds:uri="http://purl.org/dc/dcmitype/"/>
  </ds:schemaRefs>
</ds:datastoreItem>
</file>

<file path=customXml/itemProps5.xml><?xml version="1.0" encoding="utf-8"?>
<ds:datastoreItem xmlns:ds="http://schemas.openxmlformats.org/officeDocument/2006/customXml" ds:itemID="{03075AD7-291E-4367-AA8C-62B05B8E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BESE Memo,BGA Renewal and Probation, Feb 2016 Alt text</vt:lpstr>
    </vt:vector>
  </TitlesOfParts>
  <LinksUpToDate>false</LinksUpToDate>
  <CharactersWithSpaces>23688</CharactersWithSpaces>
  <SharedDoc>false</SharedDoc>
  <HLinks>
    <vt:vector size="12" baseType="variant">
      <vt:variant>
        <vt:i4>327783</vt:i4>
      </vt:variant>
      <vt:variant>
        <vt:i4>3</vt:i4>
      </vt:variant>
      <vt:variant>
        <vt:i4>0</vt:i4>
      </vt:variant>
      <vt:variant>
        <vt:i4>5</vt:i4>
      </vt:variant>
      <vt:variant>
        <vt:lpwstr>mailto:charterschools@doe.mass.edu</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Memo,BGA Renewal and Probation, Feb 2016</dc:title>
  <dc:subject>Boston Renaissance ROP</dc:subject>
  <dc:creator/>
  <cp:lastModifiedBy/>
  <cp:revision>1</cp:revision>
  <cp:lastPrinted>2011-12-02T16:56:00Z</cp:lastPrinted>
  <dcterms:created xsi:type="dcterms:W3CDTF">2016-02-17T22:02:00Z</dcterms:created>
  <dcterms:modified xsi:type="dcterms:W3CDTF">2016-02-17T22:02:00Z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307d4446-ffc3-4a6b-a643-ea4e1258e6b1</vt:lpwstr>
  </property>
  <property fmtid="{D5CDD505-2E9C-101B-9397-08002B2CF9AE}" pid="4" name="metadate">
    <vt:lpwstr>Feb 17 2016</vt:lpwstr>
  </property>
</Properties>
</file>