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D8065" w14:textId="77777777" w:rsidR="00AF2EBD" w:rsidRPr="00A67C1E" w:rsidRDefault="00AF2EBD" w:rsidP="00A67C1E">
      <w:pPr>
        <w:pStyle w:val="Heading2"/>
        <w:spacing w:before="0" w:beforeAutospacing="0" w:after="0" w:afterAutospacing="0"/>
        <w:jc w:val="left"/>
        <w:rPr>
          <w:rFonts w:ascii="Calibri" w:hAnsi="Calibri"/>
          <w:sz w:val="22"/>
          <w:szCs w:val="22"/>
        </w:rPr>
      </w:pPr>
      <w:bookmarkStart w:id="0" w:name="_GoBack"/>
      <w:bookmarkEnd w:id="0"/>
      <w:r w:rsidRPr="00A67C1E">
        <w:rPr>
          <w:rFonts w:ascii="Calibri" w:hAnsi="Calibri"/>
          <w:sz w:val="22"/>
          <w:szCs w:val="22"/>
        </w:rPr>
        <w:t>Introduction</w:t>
      </w:r>
    </w:p>
    <w:p w14:paraId="170D8066" w14:textId="77777777" w:rsidR="00647854" w:rsidRPr="00A67C1E" w:rsidRDefault="00647854" w:rsidP="00A67C1E">
      <w:pPr>
        <w:spacing w:before="0" w:after="0" w:line="240" w:lineRule="auto"/>
        <w:rPr>
          <w:rFonts w:ascii="Calibri" w:hAnsi="Calibri" w:cs="Arial"/>
          <w:sz w:val="22"/>
        </w:rPr>
      </w:pPr>
      <w:r w:rsidRPr="00A67C1E">
        <w:rPr>
          <w:rFonts w:ascii="Calibri" w:hAnsi="Calibri" w:cs="Arial"/>
          <w:sz w:val="22"/>
        </w:rPr>
        <w:t xml:space="preserve">On June 28, 2011, the Board of Elementary and Secondary Education adopted </w:t>
      </w:r>
      <w:hyperlink r:id="rId13" w:history="1">
        <w:r w:rsidRPr="00A67C1E">
          <w:rPr>
            <w:rStyle w:val="Hyperlink"/>
            <w:rFonts w:ascii="Calibri" w:hAnsi="Calibri" w:cs="Arial"/>
            <w:sz w:val="22"/>
          </w:rPr>
          <w:t>regulations</w:t>
        </w:r>
      </w:hyperlink>
      <w:r w:rsidRPr="00A67C1E">
        <w:rPr>
          <w:rFonts w:ascii="Calibri" w:hAnsi="Calibri" w:cs="Arial"/>
          <w:sz w:val="22"/>
        </w:rPr>
        <w:t xml:space="preserve"> for the evaluation of Massachusetts educators</w:t>
      </w:r>
      <w:r w:rsidR="001C452C">
        <w:rPr>
          <w:rFonts w:ascii="Calibri" w:hAnsi="Calibri" w:cs="Arial"/>
          <w:sz w:val="22"/>
        </w:rPr>
        <w:t>, informed by recommendations from a 40 member task force comprised of practitioners, association and union leaders, and policy experts.</w:t>
      </w:r>
      <w:r w:rsidRPr="00A67C1E">
        <w:rPr>
          <w:rFonts w:ascii="Calibri" w:hAnsi="Calibri" w:cs="Arial"/>
          <w:sz w:val="22"/>
        </w:rPr>
        <w:t xml:space="preserve"> The Massachusetts Educator Evaluation Framework is designed to: </w:t>
      </w:r>
    </w:p>
    <w:p w14:paraId="170D8067" w14:textId="77777777" w:rsidR="00647854" w:rsidRPr="00A67C1E" w:rsidRDefault="00647854" w:rsidP="00A67C1E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Calibri" w:hAnsi="Calibri" w:cs="Arial"/>
        </w:rPr>
      </w:pPr>
      <w:r w:rsidRPr="00A67C1E">
        <w:rPr>
          <w:rFonts w:ascii="Calibri" w:hAnsi="Calibri" w:cs="Arial"/>
          <w:sz w:val="22"/>
        </w:rPr>
        <w:t xml:space="preserve">Promote growth and development of leaders and teachers, </w:t>
      </w:r>
    </w:p>
    <w:p w14:paraId="170D8068" w14:textId="77777777" w:rsidR="00647854" w:rsidRPr="00A67C1E" w:rsidRDefault="00647854" w:rsidP="00A67C1E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Calibri" w:hAnsi="Calibri" w:cs="Arial"/>
        </w:rPr>
      </w:pPr>
      <w:r w:rsidRPr="00A67C1E">
        <w:rPr>
          <w:rFonts w:ascii="Calibri" w:hAnsi="Calibri" w:cs="Arial"/>
          <w:sz w:val="22"/>
        </w:rPr>
        <w:t>Place student learning at the center, using multiple measures of student learning, growth and achievement,</w:t>
      </w:r>
    </w:p>
    <w:p w14:paraId="170D8069" w14:textId="77777777" w:rsidR="00647854" w:rsidRPr="00A67C1E" w:rsidRDefault="00647854" w:rsidP="00A67C1E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Calibri" w:hAnsi="Calibri" w:cs="Arial"/>
        </w:rPr>
      </w:pPr>
      <w:r w:rsidRPr="00A67C1E">
        <w:rPr>
          <w:rFonts w:ascii="Calibri" w:hAnsi="Calibri" w:cs="Arial"/>
          <w:sz w:val="22"/>
        </w:rPr>
        <w:t>Recognize excellence in teaching and leading,</w:t>
      </w:r>
    </w:p>
    <w:p w14:paraId="170D806A" w14:textId="77777777" w:rsidR="00647854" w:rsidRPr="00A67C1E" w:rsidRDefault="00647854" w:rsidP="00A67C1E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Calibri" w:hAnsi="Calibri" w:cs="Arial"/>
        </w:rPr>
      </w:pPr>
      <w:r w:rsidRPr="00A67C1E">
        <w:rPr>
          <w:rFonts w:ascii="Calibri" w:hAnsi="Calibri" w:cs="Arial"/>
          <w:sz w:val="22"/>
        </w:rPr>
        <w:t>Set a high bar for professional teaching status, and</w:t>
      </w:r>
    </w:p>
    <w:p w14:paraId="170D806B" w14:textId="77777777" w:rsidR="00647854" w:rsidRPr="00A67C1E" w:rsidRDefault="00647854" w:rsidP="00A67C1E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Calibri" w:hAnsi="Calibri" w:cs="Arial"/>
        </w:rPr>
      </w:pPr>
      <w:r w:rsidRPr="00A67C1E">
        <w:rPr>
          <w:rFonts w:ascii="Calibri" w:hAnsi="Calibri" w:cs="Arial"/>
          <w:sz w:val="22"/>
        </w:rPr>
        <w:t>Shorten timelines for improvement.</w:t>
      </w:r>
    </w:p>
    <w:p w14:paraId="170D806C" w14:textId="77777777" w:rsidR="00A67C1E" w:rsidRDefault="00A67C1E" w:rsidP="00A67C1E">
      <w:pPr>
        <w:pStyle w:val="Heading2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70D806D" w14:textId="77777777" w:rsidR="007F69E0" w:rsidRPr="00A67C1E" w:rsidRDefault="007F69E0" w:rsidP="00A67C1E">
      <w:pPr>
        <w:pStyle w:val="Heading2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67C1E">
        <w:rPr>
          <w:rFonts w:ascii="Calibri" w:hAnsi="Calibri"/>
          <w:sz w:val="22"/>
          <w:szCs w:val="22"/>
        </w:rPr>
        <w:t>Two Ratings</w:t>
      </w:r>
    </w:p>
    <w:p w14:paraId="170D806E" w14:textId="77777777" w:rsidR="00A9168D" w:rsidRPr="00A67C1E" w:rsidRDefault="00713D08" w:rsidP="001C452C">
      <w:pPr>
        <w:spacing w:before="0" w:after="0" w:line="240" w:lineRule="auto"/>
        <w:rPr>
          <w:rFonts w:ascii="Calibri" w:hAnsi="Calibri" w:cs="Arial"/>
          <w:sz w:val="22"/>
        </w:rPr>
      </w:pPr>
      <w:r w:rsidRPr="00A67C1E">
        <w:rPr>
          <w:rFonts w:ascii="Calibri" w:hAnsi="Calibri" w:cs="Arial"/>
          <w:sz w:val="22"/>
        </w:rPr>
        <w:t xml:space="preserve">All </w:t>
      </w:r>
      <w:r w:rsidR="007909B5" w:rsidRPr="00A67C1E">
        <w:rPr>
          <w:rFonts w:ascii="Calibri" w:hAnsi="Calibri" w:cs="Arial"/>
          <w:sz w:val="22"/>
        </w:rPr>
        <w:t xml:space="preserve">Massachusetts </w:t>
      </w:r>
      <w:r w:rsidRPr="00A67C1E">
        <w:rPr>
          <w:rFonts w:ascii="Calibri" w:hAnsi="Calibri" w:cs="Arial"/>
          <w:sz w:val="22"/>
        </w:rPr>
        <w:t xml:space="preserve">educators </w:t>
      </w:r>
      <w:r w:rsidR="00EC4F64">
        <w:rPr>
          <w:rFonts w:ascii="Calibri" w:hAnsi="Calibri" w:cs="Arial"/>
          <w:sz w:val="22"/>
        </w:rPr>
        <w:t xml:space="preserve">will </w:t>
      </w:r>
      <w:r w:rsidRPr="00A67C1E">
        <w:rPr>
          <w:rFonts w:ascii="Calibri" w:hAnsi="Calibri" w:cs="Arial"/>
          <w:sz w:val="22"/>
        </w:rPr>
        <w:t xml:space="preserve">receive </w:t>
      </w:r>
      <w:r w:rsidR="00A9168D" w:rsidRPr="00A67C1E">
        <w:rPr>
          <w:rFonts w:ascii="Calibri" w:hAnsi="Calibri" w:cs="Arial"/>
          <w:sz w:val="22"/>
        </w:rPr>
        <w:t xml:space="preserve">two independent but linked ratings </w:t>
      </w:r>
      <w:r w:rsidR="007B0036" w:rsidRPr="00A67C1E">
        <w:rPr>
          <w:rFonts w:ascii="Calibri" w:hAnsi="Calibri" w:cs="Arial"/>
          <w:sz w:val="22"/>
        </w:rPr>
        <w:t>that</w:t>
      </w:r>
      <w:r w:rsidRPr="00A67C1E">
        <w:rPr>
          <w:rFonts w:ascii="Calibri" w:hAnsi="Calibri" w:cs="Arial"/>
          <w:sz w:val="22"/>
        </w:rPr>
        <w:t xml:space="preserve"> focus on the critical intersection of practice and impact</w:t>
      </w:r>
      <w:r w:rsidR="007909B5" w:rsidRPr="00A67C1E">
        <w:rPr>
          <w:rFonts w:ascii="Calibri" w:hAnsi="Calibri" w:cs="Arial"/>
          <w:sz w:val="22"/>
        </w:rPr>
        <w:t>,</w:t>
      </w:r>
      <w:r w:rsidR="00647854" w:rsidRPr="00A67C1E">
        <w:rPr>
          <w:rFonts w:ascii="Calibri" w:hAnsi="Calibri" w:cs="Arial"/>
          <w:sz w:val="22"/>
        </w:rPr>
        <w:t xml:space="preserve"> while creating</w:t>
      </w:r>
      <w:r w:rsidR="00A9168D" w:rsidRPr="00A67C1E">
        <w:rPr>
          <w:rFonts w:ascii="Calibri" w:hAnsi="Calibri" w:cs="Arial"/>
          <w:sz w:val="22"/>
        </w:rPr>
        <w:t xml:space="preserve"> a </w:t>
      </w:r>
      <w:r w:rsidR="00F51FD8">
        <w:rPr>
          <w:rFonts w:ascii="Calibri" w:hAnsi="Calibri" w:cs="Arial"/>
          <w:sz w:val="22"/>
        </w:rPr>
        <w:t>comprehensive</w:t>
      </w:r>
      <w:r w:rsidR="00A9168D" w:rsidRPr="00A67C1E">
        <w:rPr>
          <w:rFonts w:ascii="Calibri" w:hAnsi="Calibri" w:cs="Arial"/>
          <w:sz w:val="22"/>
        </w:rPr>
        <w:t xml:space="preserve"> picture of educator performance</w:t>
      </w:r>
      <w:r w:rsidR="00067403" w:rsidRPr="00A67C1E">
        <w:rPr>
          <w:rFonts w:ascii="Calibri" w:hAnsi="Calibri" w:cs="Arial"/>
          <w:sz w:val="22"/>
        </w:rPr>
        <w:t xml:space="preserve">. 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770"/>
        <w:gridCol w:w="4770"/>
      </w:tblGrid>
      <w:tr w:rsidR="001E5C53" w:rsidRPr="001C452C" w14:paraId="170D8072" w14:textId="77777777" w:rsidTr="00C86498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F79646"/>
            </w:tcBorders>
            <w:shd w:val="clear" w:color="auto" w:fill="auto"/>
          </w:tcPr>
          <w:p w14:paraId="170D806F" w14:textId="77777777" w:rsidR="00704204" w:rsidRPr="00C86498" w:rsidRDefault="00704204" w:rsidP="00C86498">
            <w:pPr>
              <w:spacing w:before="0" w:after="0" w:line="240" w:lineRule="auto"/>
              <w:jc w:val="center"/>
              <w:rPr>
                <w:rFonts w:ascii="Calibri" w:hAnsi="Calibri" w:cs="Arial"/>
                <w:b/>
                <w:bCs/>
                <w:color w:val="FFFFFF"/>
                <w:sz w:val="19"/>
                <w:szCs w:val="19"/>
              </w:rPr>
            </w:pPr>
          </w:p>
        </w:tc>
        <w:tc>
          <w:tcPr>
            <w:tcW w:w="477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170D8070" w14:textId="77777777" w:rsidR="00E76F62" w:rsidRPr="00C86498" w:rsidRDefault="00704204" w:rsidP="00C86498">
            <w:pPr>
              <w:spacing w:before="0" w:after="0" w:line="240" w:lineRule="auto"/>
              <w:jc w:val="center"/>
              <w:rPr>
                <w:rFonts w:ascii="Calibri" w:hAnsi="Calibri" w:cs="Arial"/>
                <w:b/>
                <w:bCs/>
                <w:color w:val="FFFFFF"/>
                <w:sz w:val="19"/>
                <w:szCs w:val="19"/>
              </w:rPr>
            </w:pPr>
            <w:r w:rsidRPr="00C86498">
              <w:rPr>
                <w:rFonts w:ascii="Calibri" w:hAnsi="Calibri" w:cs="Arial"/>
                <w:b/>
                <w:bCs/>
                <w:color w:val="FFFFFF"/>
                <w:sz w:val="19"/>
                <w:szCs w:val="19"/>
              </w:rPr>
              <w:t>Summative Performance Rating</w:t>
            </w:r>
          </w:p>
        </w:tc>
        <w:tc>
          <w:tcPr>
            <w:tcW w:w="477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4F81BD"/>
          </w:tcPr>
          <w:p w14:paraId="170D8071" w14:textId="77777777" w:rsidR="00E76F62" w:rsidRPr="00C86498" w:rsidRDefault="00704204" w:rsidP="00C86498">
            <w:pPr>
              <w:spacing w:before="0" w:after="0" w:line="240" w:lineRule="auto"/>
              <w:jc w:val="center"/>
              <w:rPr>
                <w:rFonts w:ascii="Calibri" w:hAnsi="Calibri" w:cs="Arial"/>
                <w:b/>
                <w:bCs/>
                <w:color w:val="FFFFFF"/>
                <w:sz w:val="19"/>
                <w:szCs w:val="19"/>
              </w:rPr>
            </w:pPr>
            <w:r w:rsidRPr="00C86498">
              <w:rPr>
                <w:rFonts w:ascii="Calibri" w:hAnsi="Calibri" w:cs="Arial"/>
                <w:b/>
                <w:bCs/>
                <w:color w:val="FFFFFF"/>
                <w:sz w:val="19"/>
                <w:szCs w:val="19"/>
              </w:rPr>
              <w:t>Student Impact Rating</w:t>
            </w:r>
          </w:p>
        </w:tc>
      </w:tr>
      <w:tr w:rsidR="001E5C53" w:rsidRPr="001C452C" w14:paraId="170D8076" w14:textId="77777777" w:rsidTr="00C86498">
        <w:trPr>
          <w:trHeight w:val="1655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F79646"/>
            </w:tcBorders>
            <w:vAlign w:val="center"/>
          </w:tcPr>
          <w:p w14:paraId="170D8073" w14:textId="77777777" w:rsidR="00E76F62" w:rsidRPr="00C86498" w:rsidRDefault="00704204" w:rsidP="00C86498">
            <w:pPr>
              <w:spacing w:before="0" w:after="0" w:line="240" w:lineRule="auto"/>
              <w:jc w:val="right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 w:rsidRPr="00C86498">
              <w:rPr>
                <w:rFonts w:ascii="Calibri" w:hAnsi="Calibri" w:cs="Arial"/>
                <w:b/>
                <w:bCs/>
                <w:sz w:val="19"/>
                <w:szCs w:val="19"/>
              </w:rPr>
              <w:t>Purpose</w:t>
            </w:r>
          </w:p>
        </w:tc>
        <w:tc>
          <w:tcPr>
            <w:tcW w:w="477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70D8074" w14:textId="77777777" w:rsidR="00704204" w:rsidRPr="00C86498" w:rsidRDefault="00704204" w:rsidP="00C86498">
            <w:pPr>
              <w:spacing w:before="0" w:after="0" w:line="240" w:lineRule="auto"/>
              <w:rPr>
                <w:rFonts w:ascii="Calibri" w:hAnsi="Calibri" w:cs="Arial"/>
                <w:b/>
                <w:sz w:val="19"/>
                <w:szCs w:val="19"/>
              </w:rPr>
            </w:pPr>
            <w:r w:rsidRPr="00C86498">
              <w:rPr>
                <w:rFonts w:ascii="Calibri" w:hAnsi="Calibri" w:cs="Arial"/>
                <w:sz w:val="19"/>
                <w:szCs w:val="19"/>
              </w:rPr>
              <w:t xml:space="preserve">The </w:t>
            </w:r>
            <w:r w:rsidR="00E46598" w:rsidRPr="00C86498">
              <w:rPr>
                <w:rFonts w:ascii="Calibri" w:hAnsi="Calibri" w:cs="Arial"/>
                <w:b/>
                <w:sz w:val="19"/>
                <w:szCs w:val="19"/>
              </w:rPr>
              <w:t>Summative Performance Rating</w:t>
            </w:r>
            <w:r w:rsidRPr="00C86498">
              <w:rPr>
                <w:rFonts w:ascii="Calibri" w:hAnsi="Calibri" w:cs="Arial"/>
                <w:sz w:val="19"/>
                <w:szCs w:val="19"/>
              </w:rPr>
              <w:t xml:space="preserve"> assesses an educator's practice against four </w:t>
            </w:r>
            <w:hyperlink r:id="rId14" w:history="1">
              <w:r w:rsidRPr="00C86498">
                <w:rPr>
                  <w:rStyle w:val="Hyperlink"/>
                  <w:rFonts w:ascii="Calibri" w:hAnsi="Calibri" w:cs="Arial"/>
                  <w:sz w:val="19"/>
                  <w:szCs w:val="19"/>
                </w:rPr>
                <w:t>Standards of Effective Teachin</w:t>
              </w:r>
              <w:r w:rsidR="00C453C8" w:rsidRPr="00C86498">
                <w:rPr>
                  <w:rStyle w:val="Hyperlink"/>
                  <w:rFonts w:ascii="Calibri" w:hAnsi="Calibri" w:cs="Arial"/>
                  <w:sz w:val="19"/>
                  <w:szCs w:val="19"/>
                </w:rPr>
                <w:t>g Practice</w:t>
              </w:r>
            </w:hyperlink>
            <w:r w:rsidRPr="00C86498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="00C453C8" w:rsidRPr="00C86498">
              <w:rPr>
                <w:rFonts w:ascii="Calibri" w:hAnsi="Calibri" w:cs="Arial"/>
                <w:sz w:val="19"/>
                <w:szCs w:val="19"/>
              </w:rPr>
              <w:t xml:space="preserve">in the case of teacher evaluation and four </w:t>
            </w:r>
            <w:hyperlink r:id="rId15" w:history="1">
              <w:r w:rsidR="00C453C8" w:rsidRPr="00C86498">
                <w:rPr>
                  <w:rStyle w:val="Hyperlink"/>
                  <w:rFonts w:ascii="Calibri" w:hAnsi="Calibri" w:cs="Arial"/>
                  <w:sz w:val="19"/>
                  <w:szCs w:val="19"/>
                </w:rPr>
                <w:t>Standards of Effective A</w:t>
              </w:r>
              <w:r w:rsidRPr="00C86498">
                <w:rPr>
                  <w:rStyle w:val="Hyperlink"/>
                  <w:rFonts w:ascii="Calibri" w:hAnsi="Calibri" w:cs="Arial"/>
                  <w:sz w:val="19"/>
                  <w:szCs w:val="19"/>
                </w:rPr>
                <w:t>dministrator Leadership Practice</w:t>
              </w:r>
            </w:hyperlink>
            <w:r w:rsidR="00C453C8" w:rsidRPr="00C86498">
              <w:rPr>
                <w:rFonts w:ascii="Calibri" w:hAnsi="Calibri"/>
                <w:sz w:val="19"/>
                <w:szCs w:val="19"/>
              </w:rPr>
              <w:t xml:space="preserve"> in the case of administrator evaluation. These standards are defined in the regulations. </w:t>
            </w:r>
            <w:r w:rsidR="00C453C8" w:rsidRPr="00C86498">
              <w:rPr>
                <w:rFonts w:ascii="Calibri" w:hAnsi="Calibri" w:cs="Arial"/>
                <w:sz w:val="19"/>
                <w:szCs w:val="19"/>
              </w:rPr>
              <w:t>The</w:t>
            </w:r>
            <w:r w:rsidRPr="00C86498">
              <w:rPr>
                <w:rFonts w:ascii="Calibri" w:hAnsi="Calibri" w:cs="Arial"/>
                <w:sz w:val="19"/>
                <w:szCs w:val="19"/>
              </w:rPr>
              <w:t xml:space="preserve"> educator's progress toward attainment of his/her professional practice and student learning goals</w:t>
            </w:r>
            <w:r w:rsidR="00C453C8" w:rsidRPr="00C86498">
              <w:rPr>
                <w:rFonts w:ascii="Calibri" w:hAnsi="Calibri" w:cs="Arial"/>
                <w:sz w:val="19"/>
                <w:szCs w:val="19"/>
              </w:rPr>
              <w:t xml:space="preserve"> also factor</w:t>
            </w:r>
            <w:r w:rsidR="00F51FD8">
              <w:rPr>
                <w:rFonts w:ascii="Calibri" w:hAnsi="Calibri" w:cs="Arial"/>
                <w:sz w:val="19"/>
                <w:szCs w:val="19"/>
              </w:rPr>
              <w:t>s</w:t>
            </w:r>
            <w:r w:rsidR="00C453C8" w:rsidRPr="00C86498">
              <w:rPr>
                <w:rFonts w:ascii="Calibri" w:hAnsi="Calibri" w:cs="Arial"/>
                <w:sz w:val="19"/>
                <w:szCs w:val="19"/>
              </w:rPr>
              <w:t xml:space="preserve"> into this rating</w:t>
            </w:r>
            <w:r w:rsidRPr="00C86498">
              <w:rPr>
                <w:rFonts w:ascii="Calibri" w:hAnsi="Calibri" w:cs="Arial"/>
                <w:sz w:val="19"/>
                <w:szCs w:val="19"/>
              </w:rPr>
              <w:t xml:space="preserve">. </w:t>
            </w:r>
          </w:p>
        </w:tc>
        <w:tc>
          <w:tcPr>
            <w:tcW w:w="477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70D8075" w14:textId="1CC54CD6" w:rsidR="00704204" w:rsidRPr="00C86498" w:rsidRDefault="00704204" w:rsidP="00C86498">
            <w:pPr>
              <w:spacing w:before="0"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C86498">
              <w:rPr>
                <w:rFonts w:ascii="Calibri" w:hAnsi="Calibri" w:cs="Arial"/>
                <w:sz w:val="19"/>
                <w:szCs w:val="19"/>
              </w:rPr>
              <w:t xml:space="preserve">The </w:t>
            </w:r>
            <w:r w:rsidRPr="00C86498">
              <w:rPr>
                <w:rFonts w:ascii="Calibri" w:hAnsi="Calibri" w:cs="Arial"/>
                <w:b/>
                <w:sz w:val="19"/>
                <w:szCs w:val="19"/>
              </w:rPr>
              <w:t xml:space="preserve">Student Impact Rating </w:t>
            </w:r>
            <w:r w:rsidRPr="00C86498">
              <w:rPr>
                <w:rFonts w:ascii="Calibri" w:hAnsi="Calibri" w:cs="Arial"/>
                <w:sz w:val="19"/>
                <w:szCs w:val="19"/>
              </w:rPr>
              <w:t xml:space="preserve">is a determination of an educator’s impact on student learning, informed by patterns and trends in student learning, growth, and/or achievement. This rating is based on results from statewide growth measures, where available, and </w:t>
            </w:r>
            <w:r w:rsidR="00C453C8" w:rsidRPr="00C86498">
              <w:rPr>
                <w:rFonts w:ascii="Calibri" w:hAnsi="Calibri" w:cs="Arial"/>
                <w:sz w:val="19"/>
                <w:szCs w:val="19"/>
              </w:rPr>
              <w:t xml:space="preserve">other measures selected at the local level referred to as </w:t>
            </w:r>
            <w:hyperlink r:id="rId16" w:history="1">
              <w:r w:rsidRPr="00096825">
                <w:rPr>
                  <w:rStyle w:val="Hyperlink"/>
                  <w:rFonts w:ascii="Calibri" w:hAnsi="Calibri" w:cs="Arial"/>
                  <w:sz w:val="19"/>
                  <w:szCs w:val="19"/>
                </w:rPr>
                <w:t>district-determined measures (</w:t>
              </w:r>
            </w:hyperlink>
            <w:r w:rsidRPr="00C86498">
              <w:rPr>
                <w:rFonts w:ascii="Calibri" w:hAnsi="Calibri" w:cs="Arial"/>
                <w:sz w:val="19"/>
                <w:szCs w:val="19"/>
              </w:rPr>
              <w:t xml:space="preserve">DDMs). </w:t>
            </w:r>
            <w:r w:rsidR="00C453C8" w:rsidRPr="00C86498">
              <w:rPr>
                <w:rFonts w:ascii="Calibri" w:hAnsi="Calibri" w:cs="Arial"/>
                <w:sz w:val="19"/>
                <w:szCs w:val="19"/>
              </w:rPr>
              <w:t xml:space="preserve">The regulations and Department guidance on DDMs recommend use of a broad range of assessment types, including portfolio assessment and capstone projects. </w:t>
            </w:r>
          </w:p>
        </w:tc>
      </w:tr>
      <w:tr w:rsidR="001E5C53" w:rsidRPr="001C452C" w14:paraId="170D807F" w14:textId="77777777" w:rsidTr="00C86498">
        <w:trPr>
          <w:trHeight w:val="1763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F79646"/>
            </w:tcBorders>
            <w:vAlign w:val="center"/>
          </w:tcPr>
          <w:p w14:paraId="170D8077" w14:textId="77777777" w:rsidR="00E76F62" w:rsidRPr="00C86498" w:rsidRDefault="00704204" w:rsidP="00C86498">
            <w:pPr>
              <w:spacing w:before="0" w:after="0" w:line="240" w:lineRule="auto"/>
              <w:jc w:val="right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 w:rsidRPr="00C86498">
              <w:rPr>
                <w:rFonts w:ascii="Calibri" w:hAnsi="Calibri" w:cs="Arial"/>
                <w:b/>
                <w:bCs/>
                <w:sz w:val="19"/>
                <w:szCs w:val="19"/>
              </w:rPr>
              <w:t>Evidence</w:t>
            </w:r>
          </w:p>
        </w:tc>
        <w:tc>
          <w:tcPr>
            <w:tcW w:w="477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70D8078" w14:textId="77777777" w:rsidR="00704204" w:rsidRPr="00C86498" w:rsidRDefault="00C453C8" w:rsidP="00C86498">
            <w:pPr>
              <w:spacing w:before="0" w:after="0" w:line="240" w:lineRule="auto"/>
              <w:rPr>
                <w:rFonts w:ascii="Calibri" w:hAnsi="Calibri" w:cs="Arial"/>
                <w:b/>
                <w:sz w:val="19"/>
                <w:szCs w:val="19"/>
              </w:rPr>
            </w:pPr>
            <w:r w:rsidRPr="00C86498">
              <w:rPr>
                <w:rFonts w:ascii="Calibri" w:hAnsi="Calibri" w:cs="Arial"/>
                <w:sz w:val="19"/>
                <w:szCs w:val="19"/>
              </w:rPr>
              <w:t>The regulations specify three types of evidence:</w:t>
            </w:r>
          </w:p>
          <w:p w14:paraId="170D8079" w14:textId="77777777" w:rsidR="00704204" w:rsidRPr="00C86498" w:rsidRDefault="00704204" w:rsidP="00C86498">
            <w:pPr>
              <w:pStyle w:val="ListParagraph"/>
              <w:numPr>
                <w:ilvl w:val="0"/>
                <w:numId w:val="35"/>
              </w:numPr>
              <w:spacing w:before="0"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C86498">
              <w:rPr>
                <w:rFonts w:ascii="Calibri" w:hAnsi="Calibri" w:cs="Arial"/>
                <w:i/>
                <w:sz w:val="19"/>
                <w:szCs w:val="19"/>
              </w:rPr>
              <w:t>Products of practice (observations &amp; artifacts)</w:t>
            </w:r>
          </w:p>
          <w:p w14:paraId="170D807A" w14:textId="77777777" w:rsidR="00704204" w:rsidRPr="00C86498" w:rsidRDefault="00704204" w:rsidP="00C86498">
            <w:pPr>
              <w:pStyle w:val="ListParagraph"/>
              <w:numPr>
                <w:ilvl w:val="0"/>
                <w:numId w:val="35"/>
              </w:numPr>
              <w:spacing w:before="0"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C86498">
              <w:rPr>
                <w:rFonts w:ascii="Calibri" w:hAnsi="Calibri" w:cs="Arial"/>
                <w:i/>
                <w:sz w:val="19"/>
                <w:szCs w:val="19"/>
              </w:rPr>
              <w:t>Multiple measures of student learning</w:t>
            </w:r>
          </w:p>
          <w:p w14:paraId="170D807B" w14:textId="77777777" w:rsidR="00E76F62" w:rsidRPr="00C86498" w:rsidRDefault="00704204" w:rsidP="00C86498">
            <w:pPr>
              <w:pStyle w:val="ListParagraph"/>
              <w:numPr>
                <w:ilvl w:val="0"/>
                <w:numId w:val="35"/>
              </w:numPr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C86498">
              <w:rPr>
                <w:rFonts w:ascii="Calibri" w:hAnsi="Calibri" w:cs="Arial"/>
                <w:i/>
                <w:sz w:val="19"/>
                <w:szCs w:val="19"/>
              </w:rPr>
              <w:t>Student and staff feedback</w:t>
            </w:r>
          </w:p>
        </w:tc>
        <w:tc>
          <w:tcPr>
            <w:tcW w:w="477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70D807C" w14:textId="77777777" w:rsidR="00704204" w:rsidRPr="00C86498" w:rsidRDefault="00704204" w:rsidP="00C86498">
            <w:pPr>
              <w:spacing w:before="0" w:after="0" w:line="240" w:lineRule="auto"/>
              <w:rPr>
                <w:rFonts w:ascii="Calibri" w:eastAsia="Times New Roman" w:hAnsi="Calibri"/>
                <w:noProof/>
                <w:sz w:val="19"/>
                <w:szCs w:val="19"/>
              </w:rPr>
            </w:pPr>
            <w:r w:rsidRPr="00C86498">
              <w:rPr>
                <w:rFonts w:ascii="Calibri" w:eastAsia="Times New Roman" w:hAnsi="Calibri"/>
                <w:noProof/>
                <w:sz w:val="19"/>
                <w:szCs w:val="19"/>
              </w:rPr>
              <w:t xml:space="preserve">Annual data for each educator from at least two measures </w:t>
            </w:r>
            <w:r w:rsidR="00EC4F64">
              <w:rPr>
                <w:rFonts w:ascii="Calibri" w:eastAsia="Times New Roman" w:hAnsi="Calibri"/>
                <w:noProof/>
                <w:sz w:val="19"/>
                <w:szCs w:val="19"/>
              </w:rPr>
              <w:t xml:space="preserve">collected from at least two years </w:t>
            </w:r>
            <w:r w:rsidRPr="00C86498">
              <w:rPr>
                <w:rFonts w:ascii="Calibri" w:eastAsia="Times New Roman" w:hAnsi="Calibri"/>
                <w:noProof/>
                <w:sz w:val="19"/>
                <w:szCs w:val="19"/>
              </w:rPr>
              <w:t>to establish patterns and trends.</w:t>
            </w:r>
          </w:p>
          <w:p w14:paraId="170D807D" w14:textId="77777777" w:rsidR="00704204" w:rsidRPr="00C86498" w:rsidRDefault="00704204" w:rsidP="00C86498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  <w:ind w:left="252" w:hanging="252"/>
              <w:contextualSpacing w:val="0"/>
              <w:rPr>
                <w:rFonts w:ascii="Calibri" w:eastAsia="Times New Roman" w:hAnsi="Calibri"/>
                <w:noProof/>
                <w:sz w:val="19"/>
                <w:szCs w:val="19"/>
              </w:rPr>
            </w:pPr>
            <w:r w:rsidRPr="00C86498">
              <w:rPr>
                <w:rFonts w:ascii="Calibri" w:eastAsia="Times New Roman" w:hAnsi="Calibri"/>
                <w:i/>
                <w:noProof/>
                <w:sz w:val="19"/>
                <w:szCs w:val="19"/>
              </w:rPr>
              <w:t>Patterns</w:t>
            </w:r>
            <w:r w:rsidRPr="00C86498">
              <w:rPr>
                <w:rFonts w:ascii="Calibri" w:eastAsia="Times New Roman" w:hAnsi="Calibri"/>
                <w:noProof/>
                <w:sz w:val="19"/>
                <w:szCs w:val="19"/>
              </w:rPr>
              <w:t xml:space="preserve"> refer to results from at least two different measures of student learning, growth and achievement. </w:t>
            </w:r>
          </w:p>
          <w:p w14:paraId="170D807E" w14:textId="77777777" w:rsidR="00E76F62" w:rsidRPr="00C86498" w:rsidRDefault="00704204" w:rsidP="00C86498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  <w:ind w:left="252" w:hanging="252"/>
              <w:contextualSpacing w:val="0"/>
              <w:rPr>
                <w:rFonts w:ascii="Calibri" w:hAnsi="Calibri" w:cs="Arial"/>
                <w:sz w:val="19"/>
                <w:szCs w:val="19"/>
              </w:rPr>
            </w:pPr>
            <w:r w:rsidRPr="00C86498">
              <w:rPr>
                <w:rFonts w:ascii="Calibri" w:eastAsia="Times New Roman" w:hAnsi="Calibri"/>
                <w:i/>
                <w:noProof/>
                <w:sz w:val="19"/>
                <w:szCs w:val="19"/>
              </w:rPr>
              <w:t>Trends</w:t>
            </w:r>
            <w:r w:rsidRPr="00C86498">
              <w:rPr>
                <w:rFonts w:ascii="Calibri" w:eastAsia="Times New Roman" w:hAnsi="Calibri"/>
                <w:noProof/>
                <w:sz w:val="19"/>
                <w:szCs w:val="19"/>
              </w:rPr>
              <w:t xml:space="preserve"> refer to results from at least two years. </w:t>
            </w:r>
          </w:p>
        </w:tc>
      </w:tr>
      <w:tr w:rsidR="001E5C53" w:rsidRPr="001C452C" w14:paraId="170D8083" w14:textId="77777777" w:rsidTr="00C86498">
        <w:trPr>
          <w:trHeight w:val="143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F79646"/>
            </w:tcBorders>
            <w:vAlign w:val="center"/>
          </w:tcPr>
          <w:p w14:paraId="170D8080" w14:textId="77777777" w:rsidR="00A67C1E" w:rsidRPr="00C86498" w:rsidRDefault="00A67C1E" w:rsidP="00C86498">
            <w:pPr>
              <w:spacing w:before="0" w:after="0" w:line="240" w:lineRule="auto"/>
              <w:jc w:val="right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 w:rsidRPr="00C86498">
              <w:rPr>
                <w:rFonts w:ascii="Calibri" w:hAnsi="Calibri" w:cs="Arial"/>
                <w:b/>
                <w:bCs/>
                <w:sz w:val="19"/>
                <w:szCs w:val="19"/>
              </w:rPr>
              <w:t>Local Flexibility</w:t>
            </w:r>
          </w:p>
        </w:tc>
        <w:tc>
          <w:tcPr>
            <w:tcW w:w="477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70D8081" w14:textId="77777777" w:rsidR="00A67C1E" w:rsidRPr="00C86498" w:rsidRDefault="00A67C1E" w:rsidP="00C86498">
            <w:pPr>
              <w:spacing w:before="0"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C86498">
              <w:rPr>
                <w:rFonts w:ascii="Calibri" w:hAnsi="Calibri" w:cs="Arial"/>
                <w:sz w:val="19"/>
                <w:szCs w:val="19"/>
              </w:rPr>
              <w:t>Districts select the evaluation tools (e.g., performance rubrics)</w:t>
            </w:r>
            <w:r w:rsidRPr="00C86498">
              <w:rPr>
                <w:rStyle w:val="FootnoteReference"/>
                <w:rFonts w:ascii="Calibri" w:hAnsi="Calibri"/>
                <w:sz w:val="19"/>
                <w:szCs w:val="19"/>
              </w:rPr>
              <w:footnoteReference w:id="1"/>
            </w:r>
            <w:r w:rsidRPr="00C86498">
              <w:rPr>
                <w:rFonts w:ascii="Calibri" w:hAnsi="Calibri" w:cs="Arial"/>
                <w:sz w:val="19"/>
                <w:szCs w:val="19"/>
              </w:rPr>
              <w:t xml:space="preserve">, establish timelines, determine the type and frequency of observations, set expectations for evidence collection (e.g., when/how/how much to collect). </w:t>
            </w:r>
          </w:p>
        </w:tc>
        <w:tc>
          <w:tcPr>
            <w:tcW w:w="477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70D8082" w14:textId="52E6F189" w:rsidR="00A67C1E" w:rsidRPr="00C86498" w:rsidRDefault="00F95744" w:rsidP="005D259A">
            <w:pPr>
              <w:spacing w:before="0" w:after="0" w:line="240" w:lineRule="auto"/>
              <w:rPr>
                <w:rFonts w:ascii="Calibri" w:eastAsia="Times New Roman" w:hAnsi="Calibri"/>
                <w:noProof/>
                <w:sz w:val="19"/>
                <w:szCs w:val="19"/>
              </w:rPr>
            </w:pPr>
            <w:r w:rsidRPr="00C86498">
              <w:rPr>
                <w:rFonts w:ascii="Calibri" w:eastAsia="Times New Roman" w:hAnsi="Calibri"/>
                <w:noProof/>
                <w:sz w:val="19"/>
                <w:szCs w:val="19"/>
              </w:rPr>
              <w:t xml:space="preserve">Districts select the DDMs that will be used to ensure that measures are well-aligned to local curricula and provide meaningful information to educators about student performance. </w:t>
            </w:r>
            <w:r w:rsidR="005D259A">
              <w:rPr>
                <w:rFonts w:ascii="Calibri" w:eastAsia="Times New Roman" w:hAnsi="Calibri"/>
                <w:noProof/>
                <w:sz w:val="19"/>
                <w:szCs w:val="19"/>
              </w:rPr>
              <w:t>In March 2015</w:t>
            </w:r>
            <w:r w:rsidRPr="00C86498">
              <w:rPr>
                <w:rFonts w:ascii="Calibri" w:eastAsia="Times New Roman" w:hAnsi="Calibri"/>
                <w:noProof/>
                <w:sz w:val="19"/>
                <w:szCs w:val="19"/>
              </w:rPr>
              <w:t>, after consultation with stakeholder</w:t>
            </w:r>
            <w:r w:rsidR="0095143E" w:rsidRPr="00C86498">
              <w:rPr>
                <w:rFonts w:ascii="Calibri" w:eastAsia="Times New Roman" w:hAnsi="Calibri"/>
                <w:noProof/>
                <w:sz w:val="19"/>
                <w:szCs w:val="19"/>
              </w:rPr>
              <w:t>s</w:t>
            </w:r>
            <w:r w:rsidRPr="00C86498">
              <w:rPr>
                <w:rFonts w:ascii="Calibri" w:eastAsia="Times New Roman" w:hAnsi="Calibri"/>
                <w:noProof/>
                <w:sz w:val="19"/>
                <w:szCs w:val="19"/>
              </w:rPr>
              <w:t xml:space="preserve">, the Department announced the availability of greater flexibility through the </w:t>
            </w:r>
            <w:hyperlink r:id="rId17" w:history="1">
              <w:r w:rsidRPr="00C86498">
                <w:rPr>
                  <w:rStyle w:val="Hyperlink"/>
                  <w:rFonts w:ascii="Calibri" w:eastAsia="Times New Roman" w:hAnsi="Calibri"/>
                  <w:noProof/>
                  <w:sz w:val="19"/>
                  <w:szCs w:val="19"/>
                </w:rPr>
                <w:t>Alternative Pathways Proposal</w:t>
              </w:r>
            </w:hyperlink>
            <w:r w:rsidRPr="00C86498">
              <w:rPr>
                <w:rFonts w:ascii="Calibri" w:eastAsia="Times New Roman" w:hAnsi="Calibri"/>
                <w:noProof/>
                <w:sz w:val="19"/>
                <w:szCs w:val="19"/>
              </w:rPr>
              <w:t xml:space="preserve">. </w:t>
            </w:r>
          </w:p>
        </w:tc>
      </w:tr>
      <w:tr w:rsidR="001E5C53" w:rsidRPr="001C452C" w14:paraId="170D8089" w14:textId="77777777" w:rsidTr="00C86498">
        <w:trPr>
          <w:trHeight w:val="872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F79646"/>
            </w:tcBorders>
            <w:vAlign w:val="center"/>
          </w:tcPr>
          <w:p w14:paraId="170D8084" w14:textId="77777777" w:rsidR="00E76F62" w:rsidRPr="00C86498" w:rsidRDefault="00704204" w:rsidP="00C86498">
            <w:pPr>
              <w:spacing w:before="0" w:after="0" w:line="240" w:lineRule="auto"/>
              <w:jc w:val="right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 w:rsidRPr="00C86498">
              <w:rPr>
                <w:rFonts w:ascii="Calibri" w:hAnsi="Calibri" w:cs="Arial"/>
                <w:b/>
                <w:bCs/>
                <w:sz w:val="19"/>
                <w:szCs w:val="19"/>
              </w:rPr>
              <w:t>Rating Categories</w:t>
            </w:r>
          </w:p>
        </w:tc>
        <w:tc>
          <w:tcPr>
            <w:tcW w:w="477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70D8085" w14:textId="77777777" w:rsidR="00704204" w:rsidRPr="00C86498" w:rsidRDefault="00704204" w:rsidP="00C86498">
            <w:pPr>
              <w:spacing w:before="0" w:after="0" w:line="240" w:lineRule="auto"/>
              <w:rPr>
                <w:rFonts w:ascii="Calibri" w:hAnsi="Calibri" w:cs="Arial"/>
                <w:bCs/>
                <w:sz w:val="19"/>
                <w:szCs w:val="19"/>
              </w:rPr>
            </w:pPr>
            <w:r w:rsidRPr="00C86498">
              <w:rPr>
                <w:rFonts w:ascii="Calibri" w:hAnsi="Calibri" w:cs="Arial"/>
                <w:sz w:val="19"/>
                <w:szCs w:val="19"/>
              </w:rPr>
              <w:t xml:space="preserve">Educators </w:t>
            </w:r>
            <w:r w:rsidRPr="00F51FD8">
              <w:rPr>
                <w:rFonts w:ascii="Calibri" w:hAnsi="Calibri" w:cs="Arial"/>
                <w:sz w:val="19"/>
                <w:szCs w:val="19"/>
              </w:rPr>
              <w:t>earn</w:t>
            </w:r>
            <w:r w:rsidRPr="00C86498">
              <w:rPr>
                <w:rFonts w:ascii="Calibri" w:hAnsi="Calibri" w:cs="Arial"/>
                <w:sz w:val="19"/>
                <w:szCs w:val="19"/>
              </w:rPr>
              <w:t xml:space="preserve"> ratings </w:t>
            </w:r>
            <w:r w:rsidR="00C453C8" w:rsidRPr="00C86498">
              <w:rPr>
                <w:rFonts w:ascii="Calibri" w:hAnsi="Calibri" w:cs="Arial"/>
                <w:sz w:val="19"/>
                <w:szCs w:val="19"/>
              </w:rPr>
              <w:t>on</w:t>
            </w:r>
            <w:r w:rsidRPr="00C86498">
              <w:rPr>
                <w:rFonts w:ascii="Calibri" w:hAnsi="Calibri" w:cs="Arial"/>
                <w:sz w:val="19"/>
                <w:szCs w:val="19"/>
              </w:rPr>
              <w:t xml:space="preserve"> each </w:t>
            </w:r>
            <w:r w:rsidR="00C453C8" w:rsidRPr="00C86498">
              <w:rPr>
                <w:rFonts w:ascii="Calibri" w:hAnsi="Calibri" w:cs="Arial"/>
                <w:sz w:val="19"/>
                <w:szCs w:val="19"/>
              </w:rPr>
              <w:t xml:space="preserve">of the four </w:t>
            </w:r>
            <w:r w:rsidR="005D259A">
              <w:rPr>
                <w:rFonts w:ascii="Calibri" w:hAnsi="Calibri" w:cs="Arial"/>
                <w:sz w:val="19"/>
                <w:szCs w:val="19"/>
              </w:rPr>
              <w:t>s</w:t>
            </w:r>
            <w:r w:rsidRPr="00C86498">
              <w:rPr>
                <w:rFonts w:ascii="Calibri" w:hAnsi="Calibri" w:cs="Arial"/>
                <w:sz w:val="19"/>
                <w:szCs w:val="19"/>
              </w:rPr>
              <w:t>tandard</w:t>
            </w:r>
            <w:r w:rsidR="005D259A">
              <w:rPr>
                <w:rFonts w:ascii="Calibri" w:hAnsi="Calibri" w:cs="Arial"/>
                <w:sz w:val="19"/>
                <w:szCs w:val="19"/>
              </w:rPr>
              <w:t>s</w:t>
            </w:r>
            <w:r w:rsidR="00C453C8" w:rsidRPr="00C86498">
              <w:rPr>
                <w:rFonts w:ascii="Calibri" w:hAnsi="Calibri" w:cs="Arial"/>
                <w:sz w:val="19"/>
                <w:szCs w:val="19"/>
              </w:rPr>
              <w:t xml:space="preserve"> that contribute to </w:t>
            </w:r>
            <w:r w:rsidRPr="00C86498">
              <w:rPr>
                <w:rFonts w:ascii="Calibri" w:hAnsi="Calibri" w:cs="Arial"/>
                <w:sz w:val="19"/>
                <w:szCs w:val="19"/>
              </w:rPr>
              <w:t>an overall rating</w:t>
            </w:r>
            <w:r w:rsidR="00C453C8" w:rsidRPr="00C86498">
              <w:rPr>
                <w:rFonts w:ascii="Calibri" w:hAnsi="Calibri" w:cs="Arial"/>
                <w:sz w:val="19"/>
                <w:szCs w:val="19"/>
              </w:rPr>
              <w:t xml:space="preserve"> of:</w:t>
            </w:r>
          </w:p>
          <w:p w14:paraId="170D8086" w14:textId="77777777" w:rsidR="00704204" w:rsidRPr="00C86498" w:rsidRDefault="00704204" w:rsidP="00C86498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C86498">
              <w:rPr>
                <w:rFonts w:ascii="Calibri" w:hAnsi="Calibri" w:cs="Arial"/>
                <w:b/>
                <w:i/>
                <w:sz w:val="19"/>
                <w:szCs w:val="19"/>
              </w:rPr>
              <w:t>Exemplary, Proficient, Needs Improvement</w:t>
            </w:r>
            <w:r w:rsidRPr="00C86498">
              <w:rPr>
                <w:rFonts w:ascii="Calibri" w:hAnsi="Calibri" w:cs="Arial"/>
                <w:i/>
                <w:sz w:val="19"/>
                <w:szCs w:val="19"/>
              </w:rPr>
              <w:t xml:space="preserve">, or </w:t>
            </w:r>
            <w:r w:rsidRPr="00C86498">
              <w:rPr>
                <w:rFonts w:ascii="Calibri" w:hAnsi="Calibri" w:cs="Arial"/>
                <w:b/>
                <w:i/>
                <w:sz w:val="19"/>
                <w:szCs w:val="19"/>
              </w:rPr>
              <w:t>Unsatisfactory</w:t>
            </w:r>
            <w:r w:rsidRPr="00C86498">
              <w:rPr>
                <w:rFonts w:ascii="Calibri" w:hAnsi="Calibri" w:cs="Arial"/>
                <w:sz w:val="19"/>
                <w:szCs w:val="19"/>
              </w:rPr>
              <w:t>.</w:t>
            </w:r>
          </w:p>
        </w:tc>
        <w:tc>
          <w:tcPr>
            <w:tcW w:w="477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70D8087" w14:textId="77777777" w:rsidR="00704204" w:rsidRPr="00C86498" w:rsidRDefault="00704204" w:rsidP="00C86498">
            <w:pPr>
              <w:spacing w:before="0" w:after="0" w:line="240" w:lineRule="auto"/>
              <w:rPr>
                <w:rFonts w:ascii="Calibri" w:eastAsia="Times New Roman" w:hAnsi="Calibri"/>
                <w:noProof/>
                <w:sz w:val="19"/>
                <w:szCs w:val="19"/>
              </w:rPr>
            </w:pPr>
            <w:r w:rsidRPr="00C86498">
              <w:rPr>
                <w:rFonts w:ascii="Calibri" w:eastAsia="Times New Roman" w:hAnsi="Calibri"/>
                <w:noProof/>
                <w:sz w:val="19"/>
                <w:szCs w:val="19"/>
              </w:rPr>
              <w:t xml:space="preserve">Educators </w:t>
            </w:r>
            <w:r w:rsidR="00F51FD8">
              <w:rPr>
                <w:rFonts w:ascii="Calibri" w:eastAsia="Times New Roman" w:hAnsi="Calibri"/>
                <w:noProof/>
                <w:sz w:val="19"/>
                <w:szCs w:val="19"/>
              </w:rPr>
              <w:t>earn</w:t>
            </w:r>
            <w:r w:rsidR="00F51FD8" w:rsidRPr="00C86498">
              <w:rPr>
                <w:rFonts w:ascii="Calibri" w:eastAsia="Times New Roman" w:hAnsi="Calibri"/>
                <w:noProof/>
                <w:sz w:val="19"/>
                <w:szCs w:val="19"/>
              </w:rPr>
              <w:t xml:space="preserve"> </w:t>
            </w:r>
            <w:r w:rsidRPr="00C86498">
              <w:rPr>
                <w:rFonts w:ascii="Calibri" w:eastAsia="Times New Roman" w:hAnsi="Calibri"/>
                <w:noProof/>
                <w:sz w:val="19"/>
                <w:szCs w:val="19"/>
              </w:rPr>
              <w:t>one of three possible impact ratings:</w:t>
            </w:r>
          </w:p>
          <w:p w14:paraId="170D8088" w14:textId="77777777" w:rsidR="00704204" w:rsidRPr="00C86498" w:rsidRDefault="00704204" w:rsidP="00C86498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C86498">
              <w:rPr>
                <w:rFonts w:ascii="Calibri" w:eastAsia="Times New Roman" w:hAnsi="Calibri"/>
                <w:b/>
                <w:i/>
                <w:noProof/>
                <w:sz w:val="19"/>
                <w:szCs w:val="19"/>
              </w:rPr>
              <w:t xml:space="preserve">High, Moderate, </w:t>
            </w:r>
            <w:r w:rsidRPr="00C86498">
              <w:rPr>
                <w:rFonts w:ascii="Calibri" w:eastAsia="Times New Roman" w:hAnsi="Calibri"/>
                <w:noProof/>
                <w:sz w:val="19"/>
                <w:szCs w:val="19"/>
              </w:rPr>
              <w:t>or</w:t>
            </w:r>
            <w:r w:rsidRPr="00C86498">
              <w:rPr>
                <w:rFonts w:ascii="Calibri" w:eastAsia="Times New Roman" w:hAnsi="Calibri"/>
                <w:i/>
                <w:noProof/>
                <w:sz w:val="19"/>
                <w:szCs w:val="19"/>
              </w:rPr>
              <w:t xml:space="preserve"> </w:t>
            </w:r>
            <w:r w:rsidRPr="00C86498">
              <w:rPr>
                <w:rFonts w:ascii="Calibri" w:eastAsia="Times New Roman" w:hAnsi="Calibri"/>
                <w:b/>
                <w:i/>
                <w:noProof/>
                <w:sz w:val="19"/>
                <w:szCs w:val="19"/>
              </w:rPr>
              <w:t>Low</w:t>
            </w:r>
            <w:r w:rsidRPr="00C86498">
              <w:rPr>
                <w:rFonts w:ascii="Calibri" w:eastAsia="Times New Roman" w:hAnsi="Calibri"/>
                <w:noProof/>
                <w:sz w:val="19"/>
                <w:szCs w:val="19"/>
              </w:rPr>
              <w:t xml:space="preserve">. </w:t>
            </w:r>
          </w:p>
        </w:tc>
      </w:tr>
      <w:tr w:rsidR="001E5C53" w:rsidRPr="001C452C" w14:paraId="170D808D" w14:textId="77777777" w:rsidTr="00C86498">
        <w:trPr>
          <w:trHeight w:val="872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F79646"/>
            </w:tcBorders>
            <w:vAlign w:val="center"/>
          </w:tcPr>
          <w:p w14:paraId="170D808A" w14:textId="77777777" w:rsidR="00F95744" w:rsidRPr="00C86498" w:rsidRDefault="00F95744" w:rsidP="00C86498">
            <w:pPr>
              <w:spacing w:before="0" w:after="0" w:line="240" w:lineRule="auto"/>
              <w:jc w:val="right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 w:rsidRPr="00C86498">
              <w:rPr>
                <w:rFonts w:ascii="Calibri" w:hAnsi="Calibri" w:cs="Arial"/>
                <w:b/>
                <w:bCs/>
                <w:sz w:val="19"/>
                <w:szCs w:val="19"/>
              </w:rPr>
              <w:t>Timeline</w:t>
            </w:r>
          </w:p>
        </w:tc>
        <w:tc>
          <w:tcPr>
            <w:tcW w:w="477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70D808B" w14:textId="77777777" w:rsidR="00F95744" w:rsidRPr="00C86498" w:rsidRDefault="00F95744" w:rsidP="00C86498">
            <w:pPr>
              <w:spacing w:before="0"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C86498">
              <w:rPr>
                <w:rFonts w:ascii="Calibri" w:hAnsi="Calibri" w:cs="Arial"/>
                <w:sz w:val="19"/>
                <w:szCs w:val="19"/>
              </w:rPr>
              <w:t xml:space="preserve">Districts that participated in Race-to-the-Top began implementation in 2012-13. All other districts began in 2013-14. </w:t>
            </w:r>
          </w:p>
        </w:tc>
        <w:tc>
          <w:tcPr>
            <w:tcW w:w="477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70D808C" w14:textId="77777777" w:rsidR="00F95744" w:rsidRPr="00C86498" w:rsidRDefault="00F95744" w:rsidP="00D219A5">
            <w:pPr>
              <w:spacing w:before="0" w:after="0" w:line="240" w:lineRule="auto"/>
              <w:rPr>
                <w:rFonts w:ascii="Calibri" w:eastAsia="Times New Roman" w:hAnsi="Calibri"/>
                <w:noProof/>
                <w:sz w:val="19"/>
                <w:szCs w:val="19"/>
              </w:rPr>
            </w:pPr>
            <w:r w:rsidRPr="00C86498">
              <w:rPr>
                <w:rFonts w:ascii="Calibri" w:eastAsia="Times New Roman" w:hAnsi="Calibri"/>
                <w:noProof/>
                <w:sz w:val="19"/>
                <w:szCs w:val="19"/>
              </w:rPr>
              <w:t xml:space="preserve">The regulations called for rollout to begin in 2013-14. The Department provided extensions to reserve additional time for piloting, where necessary. Approximately 40 districts are on schedule to report ratings following </w:t>
            </w:r>
            <w:r w:rsidR="00D219A5">
              <w:rPr>
                <w:rFonts w:ascii="Calibri" w:eastAsia="Times New Roman" w:hAnsi="Calibri"/>
                <w:noProof/>
                <w:sz w:val="19"/>
                <w:szCs w:val="19"/>
              </w:rPr>
              <w:t xml:space="preserve">the </w:t>
            </w:r>
            <w:r w:rsidR="00D219A5">
              <w:rPr>
                <w:rFonts w:ascii="Calibri" w:eastAsia="Times New Roman" w:hAnsi="Calibri"/>
                <w:noProof/>
                <w:sz w:val="19"/>
                <w:szCs w:val="19"/>
              </w:rPr>
              <w:lastRenderedPageBreak/>
              <w:t>2015-16</w:t>
            </w:r>
            <w:r w:rsidRPr="00C86498">
              <w:rPr>
                <w:rFonts w:ascii="Calibri" w:eastAsia="Times New Roman" w:hAnsi="Calibri"/>
                <w:noProof/>
                <w:sz w:val="19"/>
                <w:szCs w:val="19"/>
              </w:rPr>
              <w:t xml:space="preserve"> school year. All districts will report ratings for all educator</w:t>
            </w:r>
            <w:r w:rsidR="000C41B0">
              <w:rPr>
                <w:rFonts w:ascii="Calibri" w:eastAsia="Times New Roman" w:hAnsi="Calibri"/>
                <w:noProof/>
                <w:sz w:val="19"/>
                <w:szCs w:val="19"/>
              </w:rPr>
              <w:t>s</w:t>
            </w:r>
            <w:r w:rsidRPr="00C86498">
              <w:rPr>
                <w:rFonts w:ascii="Calibri" w:eastAsia="Times New Roman" w:hAnsi="Calibri"/>
                <w:noProof/>
                <w:sz w:val="19"/>
                <w:szCs w:val="19"/>
              </w:rPr>
              <w:t xml:space="preserve"> by 2017-18. </w:t>
            </w:r>
          </w:p>
        </w:tc>
      </w:tr>
    </w:tbl>
    <w:p w14:paraId="170D808E" w14:textId="77777777" w:rsidR="00A54194" w:rsidRDefault="007F69E0" w:rsidP="001C452C">
      <w:pPr>
        <w:spacing w:before="0" w:after="0" w:line="240" w:lineRule="auto"/>
        <w:rPr>
          <w:rFonts w:ascii="Calibri" w:hAnsi="Calibri" w:cs="Arial"/>
          <w:sz w:val="22"/>
        </w:rPr>
      </w:pPr>
      <w:r w:rsidRPr="00F95744">
        <w:rPr>
          <w:rFonts w:ascii="Calibri" w:hAnsi="Calibri" w:cs="Arial"/>
          <w:sz w:val="22"/>
        </w:rPr>
        <w:lastRenderedPageBreak/>
        <w:t>The Summative Performance Rating and Student Impact Rating are used together to determine the type and length of an educator’s</w:t>
      </w:r>
      <w:r w:rsidRPr="00F95744">
        <w:rPr>
          <w:rFonts w:ascii="Calibri" w:hAnsi="Calibri"/>
          <w:sz w:val="22"/>
        </w:rPr>
        <w:t xml:space="preserve"> </w:t>
      </w:r>
      <w:hyperlink r:id="rId18" w:history="1">
        <w:r w:rsidRPr="00F95744">
          <w:rPr>
            <w:rStyle w:val="Hyperlink"/>
            <w:rFonts w:ascii="Calibri" w:hAnsi="Calibri"/>
            <w:sz w:val="22"/>
          </w:rPr>
          <w:t>Educator Plan</w:t>
        </w:r>
      </w:hyperlink>
      <w:r w:rsidR="00655959" w:rsidRPr="00F95744">
        <w:rPr>
          <w:rFonts w:ascii="Calibri" w:hAnsi="Calibri"/>
          <w:sz w:val="22"/>
        </w:rPr>
        <w:t xml:space="preserve"> based on the table below</w:t>
      </w:r>
      <w:r w:rsidR="00D921FA" w:rsidRPr="00F95744">
        <w:rPr>
          <w:rFonts w:ascii="Calibri" w:hAnsi="Calibri" w:cs="Arial"/>
          <w:sz w:val="22"/>
        </w:rPr>
        <w:t>.</w:t>
      </w:r>
    </w:p>
    <w:p w14:paraId="170D808F" w14:textId="77777777" w:rsidR="00026F77" w:rsidRDefault="00026F77" w:rsidP="00026F77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The Summative Performance Rating determines the </w:t>
      </w:r>
      <w:r>
        <w:rPr>
          <w:rFonts w:ascii="Calibri" w:hAnsi="Calibri" w:cs="Arial"/>
          <w:i/>
          <w:sz w:val="22"/>
        </w:rPr>
        <w:t xml:space="preserve">type </w:t>
      </w:r>
      <w:r>
        <w:rPr>
          <w:rFonts w:ascii="Calibri" w:hAnsi="Calibri" w:cs="Arial"/>
          <w:sz w:val="22"/>
        </w:rPr>
        <w:t xml:space="preserve">of Educator Plan the educator completes for </w:t>
      </w:r>
      <w:r w:rsidR="00EE248A">
        <w:rPr>
          <w:rFonts w:ascii="Calibri" w:hAnsi="Calibri" w:cs="Arial"/>
          <w:sz w:val="22"/>
        </w:rPr>
        <w:t>her</w:t>
      </w:r>
      <w:r>
        <w:rPr>
          <w:rFonts w:ascii="Calibri" w:hAnsi="Calibri" w:cs="Arial"/>
          <w:sz w:val="22"/>
        </w:rPr>
        <w:t>/h</w:t>
      </w:r>
      <w:r w:rsidR="00EE248A">
        <w:rPr>
          <w:rFonts w:ascii="Calibri" w:hAnsi="Calibri" w:cs="Arial"/>
          <w:sz w:val="22"/>
        </w:rPr>
        <w:t>is</w:t>
      </w:r>
      <w:r>
        <w:rPr>
          <w:rFonts w:ascii="Calibri" w:hAnsi="Calibri" w:cs="Arial"/>
          <w:sz w:val="22"/>
        </w:rPr>
        <w:t xml:space="preserve"> next cycle.</w:t>
      </w:r>
    </w:p>
    <w:p w14:paraId="170D8090" w14:textId="77777777" w:rsidR="00026F77" w:rsidRPr="00026F77" w:rsidRDefault="00026F77" w:rsidP="00026F77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The Student Impact Rating determines the </w:t>
      </w:r>
      <w:r w:rsidRPr="00026F77">
        <w:rPr>
          <w:rFonts w:ascii="Calibri" w:hAnsi="Calibri" w:cs="Arial"/>
          <w:i/>
          <w:sz w:val="22"/>
        </w:rPr>
        <w:t>length</w:t>
      </w:r>
      <w:r>
        <w:rPr>
          <w:rFonts w:ascii="Calibri" w:hAnsi="Calibri" w:cs="Arial"/>
          <w:sz w:val="22"/>
        </w:rPr>
        <w:t xml:space="preserve"> of the Educator Plan (1</w:t>
      </w:r>
      <w:r w:rsidR="005D259A">
        <w:rPr>
          <w:rFonts w:ascii="Calibri" w:hAnsi="Calibri" w:cs="Arial"/>
          <w:sz w:val="22"/>
        </w:rPr>
        <w:t xml:space="preserve"> year or 2 </w:t>
      </w:r>
      <w:r>
        <w:rPr>
          <w:rFonts w:ascii="Calibri" w:hAnsi="Calibri" w:cs="Arial"/>
          <w:sz w:val="22"/>
        </w:rPr>
        <w:t xml:space="preserve">years) for educators who earn Exemplary or Proficient ratings. </w:t>
      </w:r>
    </w:p>
    <w:tbl>
      <w:tblPr>
        <w:tblpPr w:leftFromText="180" w:rightFromText="180" w:vertAnchor="text" w:horzAnchor="margin" w:tblpXSpec="center" w:tblpY="214"/>
        <w:tblW w:w="59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424"/>
        <w:gridCol w:w="1359"/>
        <w:gridCol w:w="21"/>
        <w:gridCol w:w="1380"/>
        <w:gridCol w:w="1380"/>
      </w:tblGrid>
      <w:tr w:rsidR="007F69E0" w:rsidRPr="00517170" w14:paraId="170D8096" w14:textId="77777777" w:rsidTr="00DF3533">
        <w:trPr>
          <w:cantSplit/>
          <w:trHeight w:val="202"/>
        </w:trPr>
        <w:tc>
          <w:tcPr>
            <w:tcW w:w="432" w:type="dxa"/>
            <w:vMerge w:val="restart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170D8091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24"/>
              </w:rPr>
            </w:pPr>
            <w:r w:rsidRPr="00517170"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24"/>
              </w:rPr>
              <w:t>Performance Rating</w:t>
            </w:r>
          </w:p>
        </w:tc>
        <w:tc>
          <w:tcPr>
            <w:tcW w:w="1424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D8092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outlineLvl w:val="0"/>
              <w:rPr>
                <w:rFonts w:ascii="Calibri" w:eastAsia="Times New Roman" w:hAnsi="Calibri" w:cs="Arial"/>
                <w:bCs/>
                <w:sz w:val="18"/>
                <w:szCs w:val="24"/>
              </w:rPr>
            </w:pPr>
            <w:r w:rsidRPr="00517170">
              <w:rPr>
                <w:rFonts w:ascii="Calibri" w:eastAsia="Times New Roman" w:hAnsi="Calibri" w:cs="Arial"/>
                <w:bCs/>
                <w:sz w:val="18"/>
                <w:szCs w:val="24"/>
              </w:rPr>
              <w:t xml:space="preserve">Exemplary </w:t>
            </w:r>
          </w:p>
        </w:tc>
        <w:tc>
          <w:tcPr>
            <w:tcW w:w="1359" w:type="dxa"/>
            <w:vMerge w:val="restart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B6F69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D8093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sz w:val="18"/>
                <w:szCs w:val="24"/>
              </w:rPr>
            </w:pPr>
            <w:r w:rsidRPr="00517170">
              <w:rPr>
                <w:rFonts w:ascii="Calibri" w:eastAsia="Times New Roman" w:hAnsi="Calibri" w:cs="Arial"/>
                <w:bCs/>
                <w:sz w:val="18"/>
                <w:szCs w:val="24"/>
              </w:rPr>
              <w:t>1-yr                  Self-Directed Growth Plan</w:t>
            </w:r>
          </w:p>
        </w:tc>
        <w:tc>
          <w:tcPr>
            <w:tcW w:w="2781" w:type="dxa"/>
            <w:gridSpan w:val="3"/>
            <w:vMerge w:val="restart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D8094" w14:textId="77777777" w:rsidR="00517170" w:rsidRDefault="0051717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sz w:val="18"/>
                <w:szCs w:val="24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24"/>
              </w:rPr>
              <w:t xml:space="preserve">2-yr </w:t>
            </w:r>
          </w:p>
          <w:p w14:paraId="170D8095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sz w:val="18"/>
                <w:szCs w:val="24"/>
              </w:rPr>
            </w:pPr>
            <w:r w:rsidRPr="00517170">
              <w:rPr>
                <w:rFonts w:ascii="Calibri" w:eastAsia="Times New Roman" w:hAnsi="Calibri" w:cs="Arial"/>
                <w:bCs/>
                <w:sz w:val="18"/>
                <w:szCs w:val="24"/>
              </w:rPr>
              <w:t xml:space="preserve">Self-Directed </w:t>
            </w:r>
            <w:r w:rsidR="00517170">
              <w:rPr>
                <w:rFonts w:ascii="Calibri" w:eastAsia="Times New Roman" w:hAnsi="Calibri" w:cs="Arial"/>
                <w:bCs/>
                <w:sz w:val="18"/>
                <w:szCs w:val="24"/>
              </w:rPr>
              <w:t>Gr</w:t>
            </w:r>
            <w:r w:rsidRPr="00517170">
              <w:rPr>
                <w:rFonts w:ascii="Calibri" w:eastAsia="Times New Roman" w:hAnsi="Calibri" w:cs="Arial"/>
                <w:bCs/>
                <w:sz w:val="18"/>
                <w:szCs w:val="24"/>
              </w:rPr>
              <w:t>owth Plan</w:t>
            </w:r>
          </w:p>
        </w:tc>
      </w:tr>
      <w:tr w:rsidR="007F69E0" w:rsidRPr="00517170" w14:paraId="170D809B" w14:textId="77777777" w:rsidTr="00DF3533">
        <w:trPr>
          <w:trHeight w:val="202"/>
        </w:trPr>
        <w:tc>
          <w:tcPr>
            <w:tcW w:w="432" w:type="dxa"/>
            <w:vMerge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F79646"/>
            <w:vAlign w:val="center"/>
            <w:hideMark/>
          </w:tcPr>
          <w:p w14:paraId="170D8097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4386"/>
                <w:sz w:val="18"/>
                <w:szCs w:val="24"/>
              </w:rPr>
            </w:pPr>
          </w:p>
        </w:tc>
        <w:tc>
          <w:tcPr>
            <w:tcW w:w="1424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D8098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outlineLvl w:val="0"/>
              <w:rPr>
                <w:rFonts w:ascii="Calibri" w:eastAsia="Times New Roman" w:hAnsi="Calibri" w:cs="Arial"/>
                <w:bCs/>
                <w:sz w:val="18"/>
                <w:szCs w:val="24"/>
              </w:rPr>
            </w:pPr>
            <w:r w:rsidRPr="00517170">
              <w:rPr>
                <w:rFonts w:ascii="Calibri" w:eastAsia="Times New Roman" w:hAnsi="Calibri" w:cs="Arial"/>
                <w:bCs/>
                <w:sz w:val="18"/>
                <w:szCs w:val="24"/>
              </w:rPr>
              <w:t xml:space="preserve">Proficient </w:t>
            </w:r>
          </w:p>
        </w:tc>
        <w:tc>
          <w:tcPr>
            <w:tcW w:w="1359" w:type="dxa"/>
            <w:vMerge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B6F692"/>
            <w:vAlign w:val="center"/>
            <w:hideMark/>
          </w:tcPr>
          <w:p w14:paraId="170D8099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sz w:val="18"/>
                <w:szCs w:val="24"/>
              </w:rPr>
            </w:pPr>
          </w:p>
        </w:tc>
        <w:tc>
          <w:tcPr>
            <w:tcW w:w="2781" w:type="dxa"/>
            <w:gridSpan w:val="3"/>
            <w:vMerge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00B050"/>
            <w:vAlign w:val="center"/>
            <w:hideMark/>
          </w:tcPr>
          <w:p w14:paraId="170D809A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sz w:val="18"/>
                <w:szCs w:val="24"/>
              </w:rPr>
            </w:pPr>
          </w:p>
        </w:tc>
      </w:tr>
      <w:tr w:rsidR="007F69E0" w:rsidRPr="00517170" w14:paraId="170D809F" w14:textId="77777777" w:rsidTr="00DF3533">
        <w:trPr>
          <w:trHeight w:val="202"/>
        </w:trPr>
        <w:tc>
          <w:tcPr>
            <w:tcW w:w="432" w:type="dxa"/>
            <w:vMerge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F79646"/>
            <w:vAlign w:val="center"/>
            <w:hideMark/>
          </w:tcPr>
          <w:p w14:paraId="170D809C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4386"/>
                <w:sz w:val="18"/>
                <w:szCs w:val="24"/>
              </w:rPr>
            </w:pPr>
          </w:p>
        </w:tc>
        <w:tc>
          <w:tcPr>
            <w:tcW w:w="1424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D809D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outlineLvl w:val="0"/>
              <w:rPr>
                <w:rFonts w:ascii="Calibri" w:eastAsia="Times New Roman" w:hAnsi="Calibri" w:cs="Arial"/>
                <w:bCs/>
                <w:sz w:val="18"/>
                <w:szCs w:val="24"/>
              </w:rPr>
            </w:pPr>
            <w:r w:rsidRPr="00517170">
              <w:rPr>
                <w:rFonts w:ascii="Calibri" w:eastAsia="Times New Roman" w:hAnsi="Calibri" w:cs="Arial"/>
                <w:bCs/>
                <w:sz w:val="18"/>
                <w:szCs w:val="24"/>
              </w:rPr>
              <w:t>Needs</w:t>
            </w:r>
            <w:r w:rsidR="00517170">
              <w:rPr>
                <w:rFonts w:ascii="Calibri" w:eastAsia="Times New Roman" w:hAnsi="Calibri" w:cs="Arial"/>
                <w:bCs/>
                <w:sz w:val="18"/>
                <w:szCs w:val="24"/>
              </w:rPr>
              <w:t xml:space="preserve"> </w:t>
            </w:r>
            <w:r w:rsidRPr="00517170">
              <w:rPr>
                <w:rFonts w:ascii="Calibri" w:eastAsia="Times New Roman" w:hAnsi="Calibri" w:cs="Arial"/>
                <w:bCs/>
                <w:sz w:val="18"/>
                <w:szCs w:val="24"/>
              </w:rPr>
              <w:t>Imp</w:t>
            </w:r>
            <w:r w:rsidR="00517170">
              <w:rPr>
                <w:rFonts w:ascii="Calibri" w:eastAsia="Times New Roman" w:hAnsi="Calibri" w:cs="Arial"/>
                <w:bCs/>
                <w:sz w:val="18"/>
                <w:szCs w:val="24"/>
              </w:rPr>
              <w:t>.</w:t>
            </w:r>
            <w:r w:rsidRPr="00517170">
              <w:rPr>
                <w:rFonts w:ascii="Calibri" w:eastAsia="Times New Roman" w:hAnsi="Calibri" w:cs="Arial"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D809E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sz w:val="18"/>
                <w:szCs w:val="24"/>
              </w:rPr>
            </w:pPr>
            <w:r w:rsidRPr="00517170">
              <w:rPr>
                <w:rFonts w:ascii="Calibri" w:eastAsia="Times New Roman" w:hAnsi="Calibri" w:cs="Arial"/>
                <w:bCs/>
                <w:sz w:val="18"/>
                <w:szCs w:val="24"/>
              </w:rPr>
              <w:t>Directed Growth Plan</w:t>
            </w:r>
          </w:p>
        </w:tc>
      </w:tr>
      <w:tr w:rsidR="007F69E0" w:rsidRPr="00517170" w14:paraId="170D80A3" w14:textId="77777777" w:rsidTr="00DF3533">
        <w:trPr>
          <w:trHeight w:val="202"/>
        </w:trPr>
        <w:tc>
          <w:tcPr>
            <w:tcW w:w="432" w:type="dxa"/>
            <w:vMerge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F79646"/>
            <w:vAlign w:val="center"/>
            <w:hideMark/>
          </w:tcPr>
          <w:p w14:paraId="170D80A0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4386"/>
                <w:sz w:val="18"/>
                <w:szCs w:val="24"/>
              </w:rPr>
            </w:pPr>
          </w:p>
        </w:tc>
        <w:tc>
          <w:tcPr>
            <w:tcW w:w="1424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D80A1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outlineLvl w:val="0"/>
              <w:rPr>
                <w:rFonts w:ascii="Calibri" w:eastAsia="Times New Roman" w:hAnsi="Calibri" w:cs="Arial"/>
                <w:bCs/>
                <w:sz w:val="18"/>
                <w:szCs w:val="24"/>
              </w:rPr>
            </w:pPr>
            <w:r w:rsidRPr="00517170">
              <w:rPr>
                <w:rFonts w:ascii="Calibri" w:eastAsia="Times New Roman" w:hAnsi="Calibri" w:cs="Arial"/>
                <w:bCs/>
                <w:sz w:val="18"/>
                <w:szCs w:val="24"/>
              </w:rPr>
              <w:t xml:space="preserve">Unsatisfactory </w:t>
            </w:r>
          </w:p>
        </w:tc>
        <w:tc>
          <w:tcPr>
            <w:tcW w:w="4140" w:type="dxa"/>
            <w:gridSpan w:val="4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D80A2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sz w:val="18"/>
                <w:szCs w:val="24"/>
              </w:rPr>
            </w:pPr>
            <w:r w:rsidRPr="00517170">
              <w:rPr>
                <w:rFonts w:ascii="Calibri" w:eastAsia="Times New Roman" w:hAnsi="Calibri" w:cs="Arial"/>
                <w:bCs/>
                <w:sz w:val="18"/>
                <w:szCs w:val="24"/>
              </w:rPr>
              <w:t>Improvement Plan</w:t>
            </w:r>
          </w:p>
        </w:tc>
      </w:tr>
      <w:tr w:rsidR="007F69E0" w:rsidRPr="00517170" w14:paraId="170D80A8" w14:textId="77777777" w:rsidTr="00DF3533">
        <w:trPr>
          <w:trHeight w:val="82"/>
        </w:trPr>
        <w:tc>
          <w:tcPr>
            <w:tcW w:w="1856" w:type="dxa"/>
            <w:gridSpan w:val="2"/>
            <w:vMerge w:val="restart"/>
            <w:tcBorders>
              <w:top w:val="single" w:sz="8" w:space="0" w:color="0D1969"/>
              <w:right w:val="single" w:sz="8" w:space="0" w:color="0D196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70D80A4" w14:textId="77777777" w:rsidR="007F69E0" w:rsidRPr="00517170" w:rsidRDefault="007F69E0" w:rsidP="001C452C">
            <w:pPr>
              <w:keepNext/>
              <w:keepLines/>
              <w:tabs>
                <w:tab w:val="left" w:pos="180"/>
              </w:tabs>
              <w:spacing w:before="0" w:after="0" w:line="240" w:lineRule="auto"/>
              <w:ind w:left="180"/>
              <w:contextualSpacing/>
              <w:outlineLvl w:val="0"/>
              <w:rPr>
                <w:rFonts w:ascii="Calibri" w:eastAsia="Times New Roman" w:hAnsi="Calibri" w:cs="Arial"/>
                <w:bCs/>
                <w:sz w:val="18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D80A5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sz w:val="18"/>
                <w:szCs w:val="24"/>
              </w:rPr>
            </w:pPr>
            <w:r w:rsidRPr="00517170">
              <w:rPr>
                <w:rFonts w:ascii="Calibri" w:eastAsia="Times New Roman" w:hAnsi="Calibri" w:cs="Arial"/>
                <w:bCs/>
                <w:sz w:val="18"/>
                <w:szCs w:val="24"/>
              </w:rPr>
              <w:t>Low</w:t>
            </w:r>
          </w:p>
        </w:tc>
        <w:tc>
          <w:tcPr>
            <w:tcW w:w="138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D80A6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sz w:val="18"/>
                <w:szCs w:val="24"/>
              </w:rPr>
            </w:pPr>
            <w:r w:rsidRPr="00517170">
              <w:rPr>
                <w:rFonts w:ascii="Calibri" w:eastAsia="Times New Roman" w:hAnsi="Calibri" w:cs="Arial"/>
                <w:bCs/>
                <w:sz w:val="18"/>
                <w:szCs w:val="24"/>
              </w:rPr>
              <w:t>Moderate</w:t>
            </w:r>
          </w:p>
        </w:tc>
        <w:tc>
          <w:tcPr>
            <w:tcW w:w="138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D80A7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sz w:val="18"/>
                <w:szCs w:val="24"/>
              </w:rPr>
            </w:pPr>
            <w:r w:rsidRPr="00517170">
              <w:rPr>
                <w:rFonts w:ascii="Calibri" w:eastAsia="Times New Roman" w:hAnsi="Calibri" w:cs="Arial"/>
                <w:bCs/>
                <w:sz w:val="18"/>
                <w:szCs w:val="24"/>
              </w:rPr>
              <w:t>High</w:t>
            </w:r>
          </w:p>
        </w:tc>
      </w:tr>
      <w:tr w:rsidR="007F69E0" w:rsidRPr="00517170" w14:paraId="170D80AB" w14:textId="77777777" w:rsidTr="00DF3533">
        <w:trPr>
          <w:trHeight w:val="54"/>
        </w:trPr>
        <w:tc>
          <w:tcPr>
            <w:tcW w:w="1856" w:type="dxa"/>
            <w:gridSpan w:val="2"/>
            <w:vMerge/>
            <w:tcBorders>
              <w:top w:val="single" w:sz="8" w:space="0" w:color="0D1969"/>
              <w:right w:val="single" w:sz="8" w:space="0" w:color="0D1969"/>
            </w:tcBorders>
            <w:vAlign w:val="center"/>
            <w:hideMark/>
          </w:tcPr>
          <w:p w14:paraId="170D80A9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4386"/>
                <w:sz w:val="18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D80AA" w14:textId="77777777" w:rsidR="007F69E0" w:rsidRPr="00517170" w:rsidRDefault="007F69E0" w:rsidP="001C452C">
            <w:pPr>
              <w:keepNext/>
              <w:keepLines/>
              <w:tabs>
                <w:tab w:val="left" w:pos="450"/>
              </w:tabs>
              <w:spacing w:before="0"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24"/>
              </w:rPr>
            </w:pPr>
            <w:r w:rsidRPr="00517170"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24"/>
              </w:rPr>
              <w:t>Impact Rating</w:t>
            </w:r>
          </w:p>
        </w:tc>
      </w:tr>
    </w:tbl>
    <w:p w14:paraId="170D80AC" w14:textId="77777777" w:rsidR="00D921FA" w:rsidRPr="0071437D" w:rsidRDefault="00D921FA" w:rsidP="001C452C">
      <w:pPr>
        <w:spacing w:before="0" w:after="0" w:line="240" w:lineRule="auto"/>
        <w:rPr>
          <w:rFonts w:cs="Arial"/>
          <w:szCs w:val="20"/>
        </w:rPr>
      </w:pPr>
    </w:p>
    <w:p w14:paraId="170D80AD" w14:textId="77777777" w:rsidR="00C16496" w:rsidRDefault="00C16496" w:rsidP="001C452C">
      <w:pPr>
        <w:pStyle w:val="Heading2"/>
        <w:spacing w:before="0" w:beforeAutospacing="0" w:after="0" w:afterAutospacing="0"/>
        <w:jc w:val="left"/>
      </w:pPr>
    </w:p>
    <w:p w14:paraId="170D80AE" w14:textId="77777777" w:rsidR="00C16496" w:rsidRDefault="00C16496" w:rsidP="001C452C">
      <w:pPr>
        <w:pStyle w:val="Heading2"/>
        <w:spacing w:before="0" w:beforeAutospacing="0" w:after="0" w:afterAutospacing="0"/>
        <w:jc w:val="left"/>
      </w:pPr>
    </w:p>
    <w:p w14:paraId="170D80AF" w14:textId="77777777" w:rsidR="00C85C85" w:rsidRDefault="00C85C85" w:rsidP="001C452C">
      <w:pPr>
        <w:pStyle w:val="Heading2"/>
        <w:spacing w:before="0" w:beforeAutospacing="0" w:after="0" w:afterAutospacing="0"/>
        <w:jc w:val="left"/>
      </w:pPr>
    </w:p>
    <w:p w14:paraId="170D80B0" w14:textId="77777777" w:rsidR="00C85C85" w:rsidRDefault="00C85C85" w:rsidP="001C452C">
      <w:pPr>
        <w:pStyle w:val="Heading2"/>
        <w:spacing w:before="0" w:beforeAutospacing="0" w:after="0" w:afterAutospacing="0"/>
        <w:jc w:val="left"/>
      </w:pPr>
    </w:p>
    <w:p w14:paraId="170D80B1" w14:textId="77777777" w:rsidR="00C85C85" w:rsidRDefault="00C85C85" w:rsidP="001C452C">
      <w:pPr>
        <w:pStyle w:val="Heading2"/>
        <w:spacing w:before="0" w:beforeAutospacing="0" w:after="0" w:afterAutospacing="0"/>
        <w:jc w:val="left"/>
      </w:pPr>
    </w:p>
    <w:p w14:paraId="170D80B2" w14:textId="77777777" w:rsidR="00C85C85" w:rsidRDefault="00C85C85" w:rsidP="001C452C">
      <w:pPr>
        <w:pStyle w:val="Heading2"/>
        <w:spacing w:before="0" w:beforeAutospacing="0" w:after="0" w:afterAutospacing="0"/>
        <w:jc w:val="left"/>
      </w:pPr>
    </w:p>
    <w:p w14:paraId="170D80B3" w14:textId="77777777" w:rsidR="00E76F62" w:rsidRDefault="00E76F62" w:rsidP="001C452C">
      <w:pPr>
        <w:spacing w:before="0" w:after="0" w:line="240" w:lineRule="auto"/>
      </w:pPr>
    </w:p>
    <w:p w14:paraId="170D80B4" w14:textId="77777777" w:rsidR="001C452C" w:rsidRDefault="001C452C" w:rsidP="001C452C">
      <w:pPr>
        <w:pStyle w:val="Heading2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70D80B5" w14:textId="77777777" w:rsidR="00026F77" w:rsidRDefault="003D00A2" w:rsidP="001C452C">
      <w:pPr>
        <w:pStyle w:val="Heading2"/>
        <w:spacing w:before="0" w:beforeAutospacing="0" w:after="0" w:afterAutospacing="0"/>
        <w:rPr>
          <w:rFonts w:ascii="Calibri" w:eastAsia="Calibri" w:hAnsi="Calibri" w:cs="Arial"/>
          <w:b w:val="0"/>
          <w:bCs w:val="0"/>
          <w:iCs w:val="0"/>
          <w:color w:val="auto"/>
          <w:sz w:val="22"/>
          <w:szCs w:val="22"/>
        </w:rPr>
      </w:pPr>
      <w:r w:rsidRPr="003D00A2">
        <w:rPr>
          <w:rFonts w:ascii="Calibri" w:eastAsia="Calibri" w:hAnsi="Calibri" w:cs="Arial"/>
          <w:b w:val="0"/>
          <w:bCs w:val="0"/>
          <w:iCs w:val="0"/>
          <w:color w:val="auto"/>
          <w:sz w:val="22"/>
          <w:szCs w:val="22"/>
        </w:rPr>
        <w:t xml:space="preserve">The </w:t>
      </w:r>
      <w:r w:rsidR="00D219A5">
        <w:rPr>
          <w:rFonts w:ascii="Calibri" w:eastAsia="Calibri" w:hAnsi="Calibri" w:cs="Arial"/>
          <w:b w:val="0"/>
          <w:bCs w:val="0"/>
          <w:iCs w:val="0"/>
          <w:color w:val="auto"/>
          <w:sz w:val="22"/>
          <w:szCs w:val="22"/>
        </w:rPr>
        <w:t>two</w:t>
      </w:r>
      <w:r w:rsidRPr="003D00A2">
        <w:rPr>
          <w:rFonts w:ascii="Calibri" w:eastAsia="Calibri" w:hAnsi="Calibri" w:cs="Arial"/>
          <w:b w:val="0"/>
          <w:bCs w:val="0"/>
          <w:iCs w:val="0"/>
          <w:color w:val="auto"/>
          <w:sz w:val="22"/>
          <w:szCs w:val="22"/>
        </w:rPr>
        <w:t xml:space="preserve"> </w:t>
      </w:r>
      <w:r>
        <w:rPr>
          <w:rFonts w:ascii="Calibri" w:eastAsia="Calibri" w:hAnsi="Calibri" w:cs="Arial"/>
          <w:b w:val="0"/>
          <w:bCs w:val="0"/>
          <w:iCs w:val="0"/>
          <w:color w:val="auto"/>
          <w:sz w:val="22"/>
          <w:szCs w:val="22"/>
        </w:rPr>
        <w:t>ratings allow educators and evaluators to investigate discrepancies between conclusions about educator practice (Summative Performance Rating) and conclusions about educator impact on student learning (Student Impact Rating). Th</w:t>
      </w:r>
      <w:r w:rsidR="00D219A5">
        <w:rPr>
          <w:rFonts w:ascii="Calibri" w:eastAsia="Calibri" w:hAnsi="Calibri" w:cs="Arial"/>
          <w:b w:val="0"/>
          <w:bCs w:val="0"/>
          <w:iCs w:val="0"/>
          <w:color w:val="auto"/>
          <w:sz w:val="22"/>
          <w:szCs w:val="22"/>
        </w:rPr>
        <w:t>e two ratings</w:t>
      </w:r>
      <w:r>
        <w:rPr>
          <w:rFonts w:ascii="Calibri" w:eastAsia="Calibri" w:hAnsi="Calibri" w:cs="Arial"/>
          <w:b w:val="0"/>
          <w:bCs w:val="0"/>
          <w:iCs w:val="0"/>
          <w:color w:val="auto"/>
          <w:sz w:val="22"/>
          <w:szCs w:val="22"/>
        </w:rPr>
        <w:t xml:space="preserve"> also allow district leaders to look across schools to gauge the health of the overall system (e.g., “is there a relationship between what educators are doing with students and how students are performing?”).  </w:t>
      </w:r>
    </w:p>
    <w:p w14:paraId="170D80B6" w14:textId="77777777" w:rsidR="003D00A2" w:rsidRDefault="003D00A2" w:rsidP="001C452C">
      <w:pPr>
        <w:pStyle w:val="Heading2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70D80B7" w14:textId="77777777" w:rsidR="001C452C" w:rsidRPr="00A67C1E" w:rsidRDefault="001C452C" w:rsidP="001C452C">
      <w:pPr>
        <w:pStyle w:val="Heading2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Professional Judgment</w:t>
      </w:r>
    </w:p>
    <w:p w14:paraId="170D80B8" w14:textId="77777777" w:rsidR="00926775" w:rsidRDefault="00926775" w:rsidP="00926775">
      <w:pPr>
        <w:spacing w:before="0" w:after="0" w:line="240" w:lineRule="auto"/>
        <w:rPr>
          <w:rFonts w:ascii="Calibri" w:hAnsi="Calibri" w:cs="Arial"/>
          <w:sz w:val="22"/>
        </w:rPr>
      </w:pPr>
      <w:r w:rsidRPr="00113359">
        <w:rPr>
          <w:rFonts w:ascii="Calibri" w:hAnsi="Calibri" w:cs="Arial"/>
          <w:sz w:val="22"/>
        </w:rPr>
        <w:t>The processes associated with both ratings are grounded in three main steps:</w:t>
      </w:r>
    </w:p>
    <w:p w14:paraId="170D80B9" w14:textId="77777777" w:rsidR="00926775" w:rsidRDefault="00926775" w:rsidP="00926775">
      <w:pPr>
        <w:pStyle w:val="ListParagraph"/>
        <w:numPr>
          <w:ilvl w:val="0"/>
          <w:numId w:val="40"/>
        </w:numPr>
        <w:spacing w:before="0" w:after="0" w:line="240" w:lineRule="auto"/>
        <w:rPr>
          <w:rFonts w:ascii="Calibri" w:hAnsi="Calibri" w:cs="Arial"/>
          <w:sz w:val="22"/>
        </w:rPr>
      </w:pPr>
      <w:r w:rsidRPr="00113359">
        <w:rPr>
          <w:rFonts w:ascii="Calibri" w:hAnsi="Calibri" w:cs="Arial"/>
          <w:sz w:val="22"/>
        </w:rPr>
        <w:t>Educators and evaluators collect evidence</w:t>
      </w:r>
    </w:p>
    <w:p w14:paraId="170D80BA" w14:textId="77777777" w:rsidR="00926775" w:rsidRDefault="00926775" w:rsidP="00926775">
      <w:pPr>
        <w:pStyle w:val="ListParagraph"/>
        <w:numPr>
          <w:ilvl w:val="0"/>
          <w:numId w:val="40"/>
        </w:numPr>
        <w:spacing w:before="0" w:after="0" w:line="240" w:lineRule="auto"/>
        <w:rPr>
          <w:rFonts w:ascii="Calibri" w:hAnsi="Calibri" w:cs="Arial"/>
          <w:sz w:val="22"/>
        </w:rPr>
      </w:pPr>
      <w:r w:rsidRPr="00113359">
        <w:rPr>
          <w:rFonts w:ascii="Calibri" w:hAnsi="Calibri" w:cs="Arial"/>
          <w:sz w:val="22"/>
        </w:rPr>
        <w:t>E</w:t>
      </w:r>
      <w:r w:rsidR="00A357B2">
        <w:rPr>
          <w:rFonts w:ascii="Calibri" w:hAnsi="Calibri" w:cs="Arial"/>
          <w:sz w:val="22"/>
        </w:rPr>
        <w:t>ducators and evaluators</w:t>
      </w:r>
      <w:r w:rsidRPr="00113359">
        <w:rPr>
          <w:rFonts w:ascii="Calibri" w:hAnsi="Calibri" w:cs="Arial"/>
          <w:sz w:val="22"/>
        </w:rPr>
        <w:t xml:space="preserve"> analyze the evidence </w:t>
      </w:r>
    </w:p>
    <w:p w14:paraId="170D80BB" w14:textId="77777777" w:rsidR="00926775" w:rsidRPr="00113359" w:rsidRDefault="00926775" w:rsidP="00926775">
      <w:pPr>
        <w:pStyle w:val="ListParagraph"/>
        <w:numPr>
          <w:ilvl w:val="0"/>
          <w:numId w:val="40"/>
        </w:numPr>
        <w:spacing w:before="0" w:after="0" w:line="240" w:lineRule="auto"/>
        <w:rPr>
          <w:rFonts w:ascii="Calibri" w:hAnsi="Calibri" w:cs="Arial"/>
          <w:sz w:val="22"/>
        </w:rPr>
      </w:pPr>
      <w:r w:rsidRPr="00113359">
        <w:rPr>
          <w:rFonts w:ascii="Calibri" w:hAnsi="Calibri" w:cs="Arial"/>
          <w:sz w:val="22"/>
        </w:rPr>
        <w:t>Evaluators apply professional judgment to the body of evidence and determine</w:t>
      </w:r>
      <w:r>
        <w:rPr>
          <w:rFonts w:ascii="Calibri" w:hAnsi="Calibri" w:cs="Arial"/>
          <w:sz w:val="22"/>
        </w:rPr>
        <w:t xml:space="preserve"> </w:t>
      </w:r>
      <w:r w:rsidRPr="00113359">
        <w:rPr>
          <w:rFonts w:ascii="Calibri" w:hAnsi="Calibri" w:cs="Arial"/>
          <w:sz w:val="22"/>
        </w:rPr>
        <w:t>a rating</w:t>
      </w:r>
    </w:p>
    <w:p w14:paraId="170D80BC" w14:textId="77777777" w:rsidR="00926775" w:rsidRDefault="00926775" w:rsidP="00926775">
      <w:pPr>
        <w:spacing w:before="0" w:after="0" w:line="240" w:lineRule="auto"/>
        <w:rPr>
          <w:rFonts w:ascii="Calibri" w:hAnsi="Calibri" w:cs="Arial"/>
          <w:sz w:val="22"/>
        </w:rPr>
      </w:pPr>
    </w:p>
    <w:p w14:paraId="170D80BD" w14:textId="77777777" w:rsidR="00926775" w:rsidRDefault="00926775" w:rsidP="00926775">
      <w:pPr>
        <w:spacing w:before="0" w:after="0"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Unlike evaluation systems found in many states, the MA Framework does not use formulas or algorithms, but rather honors the professional judgment of evaluators and educators in considering a robust body of evidence. </w:t>
      </w:r>
      <w:r w:rsidR="003D00A2">
        <w:rPr>
          <w:rFonts w:ascii="Calibri" w:hAnsi="Calibri" w:cs="Arial"/>
          <w:sz w:val="22"/>
        </w:rPr>
        <w:t xml:space="preserve">All evidence of educator effectiveness, including statewide growth measures and DDMs, </w:t>
      </w:r>
      <w:r w:rsidR="005D259A">
        <w:rPr>
          <w:rFonts w:ascii="Calibri" w:hAnsi="Calibri" w:cs="Arial"/>
          <w:sz w:val="22"/>
        </w:rPr>
        <w:t xml:space="preserve">can be placed in context </w:t>
      </w:r>
      <w:r w:rsidR="003D00A2">
        <w:rPr>
          <w:rFonts w:ascii="Calibri" w:hAnsi="Calibri" w:cs="Arial"/>
          <w:sz w:val="22"/>
        </w:rPr>
        <w:t xml:space="preserve">before it is used to inform an educator’s Summative Performance Rating or Student Impact Rating. </w:t>
      </w:r>
    </w:p>
    <w:p w14:paraId="170D80BE" w14:textId="77777777" w:rsidR="003D00A2" w:rsidRDefault="003D00A2" w:rsidP="00926775">
      <w:pPr>
        <w:spacing w:before="0" w:after="0" w:line="240" w:lineRule="auto"/>
        <w:rPr>
          <w:rFonts w:ascii="Calibri" w:hAnsi="Calibri" w:cs="Arial"/>
          <w:sz w:val="22"/>
        </w:rPr>
      </w:pPr>
    </w:p>
    <w:p w14:paraId="170D80BF" w14:textId="77777777" w:rsidR="003D00A2" w:rsidRPr="00A67C1E" w:rsidRDefault="003D00A2" w:rsidP="003D00A2">
      <w:pPr>
        <w:pStyle w:val="Heading2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States</w:t>
      </w:r>
    </w:p>
    <w:p w14:paraId="170D80C0" w14:textId="77777777" w:rsidR="00727F82" w:rsidRDefault="003D00A2" w:rsidP="003D00A2">
      <w:pPr>
        <w:spacing w:before="0" w:after="0"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Most states use a numeric approach to educator evaluation that requires the translation of educator inputs and student outcomes into scores that are formulaically combined to determine a rating. The MA Framework is holistic. There are no number</w:t>
      </w:r>
      <w:r w:rsidR="00727F82">
        <w:rPr>
          <w:rFonts w:ascii="Calibri" w:hAnsi="Calibri" w:cs="Arial"/>
          <w:sz w:val="22"/>
        </w:rPr>
        <w:t xml:space="preserve">s involved in deriving ratings. </w:t>
      </w:r>
      <w:r>
        <w:rPr>
          <w:rFonts w:ascii="Calibri" w:hAnsi="Calibri" w:cs="Arial"/>
          <w:sz w:val="22"/>
        </w:rPr>
        <w:t xml:space="preserve">According to the Center on Great Teachers and Leaders’ </w:t>
      </w:r>
      <w:hyperlink r:id="rId19" w:history="1">
        <w:r w:rsidR="004A348F" w:rsidRPr="00727F82">
          <w:rPr>
            <w:rStyle w:val="Hyperlink"/>
            <w:rFonts w:ascii="Calibri" w:hAnsi="Calibri" w:cs="Arial"/>
            <w:sz w:val="22"/>
          </w:rPr>
          <w:t>Database on State Teacher and Principal Evaluation Policies</w:t>
        </w:r>
      </w:hyperlink>
      <w:r w:rsidR="00727F82">
        <w:rPr>
          <w:rFonts w:ascii="Calibri" w:hAnsi="Calibri" w:cs="Arial"/>
          <w:sz w:val="22"/>
        </w:rPr>
        <w:t>, o</w:t>
      </w:r>
      <w:r>
        <w:rPr>
          <w:rFonts w:ascii="Calibri" w:hAnsi="Calibri" w:cs="Arial"/>
          <w:sz w:val="22"/>
        </w:rPr>
        <w:t xml:space="preserve">ver half of </w:t>
      </w:r>
      <w:r w:rsidR="00727F82">
        <w:rPr>
          <w:rFonts w:ascii="Calibri" w:hAnsi="Calibri" w:cs="Arial"/>
          <w:sz w:val="22"/>
        </w:rPr>
        <w:t xml:space="preserve">the </w:t>
      </w:r>
      <w:proofErr w:type="spellStart"/>
      <w:r>
        <w:rPr>
          <w:rFonts w:ascii="Calibri" w:hAnsi="Calibri" w:cs="Arial"/>
          <w:sz w:val="22"/>
        </w:rPr>
        <w:t>states</w:t>
      </w:r>
      <w:proofErr w:type="spellEnd"/>
      <w:r>
        <w:rPr>
          <w:rFonts w:ascii="Calibri" w:hAnsi="Calibri" w:cs="Arial"/>
          <w:sz w:val="22"/>
        </w:rPr>
        <w:t xml:space="preserve"> </w:t>
      </w:r>
      <w:r w:rsidR="00727F82">
        <w:rPr>
          <w:rFonts w:ascii="Calibri" w:hAnsi="Calibri" w:cs="Arial"/>
          <w:sz w:val="22"/>
        </w:rPr>
        <w:t>factor</w:t>
      </w:r>
      <w:r>
        <w:rPr>
          <w:rFonts w:ascii="Calibri" w:hAnsi="Calibri" w:cs="Arial"/>
          <w:sz w:val="22"/>
        </w:rPr>
        <w:t xml:space="preserve"> </w:t>
      </w:r>
      <w:r w:rsidR="00727F82">
        <w:rPr>
          <w:rFonts w:ascii="Calibri" w:hAnsi="Calibri" w:cs="Arial"/>
          <w:sz w:val="22"/>
        </w:rPr>
        <w:t xml:space="preserve">student performance data as at least 25% of a teacher’s evaluation rating, with 17 states weighting student growth measures at 50%. The MA Framework, by contrast, does not assign weights or numeric values to measures of impact. Rather, it uses the Student Impact Rating as a check on the Summative Performance Rating in an effort to drive conversations about </w:t>
      </w:r>
      <w:r w:rsidR="00DF3533">
        <w:rPr>
          <w:rFonts w:ascii="Calibri" w:hAnsi="Calibri" w:cs="Arial"/>
          <w:sz w:val="22"/>
        </w:rPr>
        <w:t xml:space="preserve">how educator practice </w:t>
      </w:r>
      <w:r w:rsidR="005D259A">
        <w:rPr>
          <w:rFonts w:ascii="Calibri" w:hAnsi="Calibri" w:cs="Arial"/>
          <w:sz w:val="22"/>
        </w:rPr>
        <w:t>contributes to</w:t>
      </w:r>
      <w:r w:rsidR="00DF3533">
        <w:rPr>
          <w:rFonts w:ascii="Calibri" w:hAnsi="Calibri" w:cs="Arial"/>
          <w:sz w:val="22"/>
        </w:rPr>
        <w:t xml:space="preserve"> </w:t>
      </w:r>
      <w:r w:rsidR="00727F82">
        <w:rPr>
          <w:rFonts w:ascii="Calibri" w:hAnsi="Calibri" w:cs="Arial"/>
          <w:sz w:val="22"/>
        </w:rPr>
        <w:t xml:space="preserve">student learning. </w:t>
      </w:r>
    </w:p>
    <w:p w14:paraId="170D80C1" w14:textId="77777777" w:rsidR="00727F82" w:rsidRDefault="00727F82" w:rsidP="003D00A2">
      <w:pPr>
        <w:spacing w:before="0" w:after="0" w:line="240" w:lineRule="auto"/>
        <w:rPr>
          <w:rFonts w:ascii="Calibri" w:hAnsi="Calibri" w:cs="Arial"/>
          <w:sz w:val="22"/>
        </w:rPr>
      </w:pPr>
    </w:p>
    <w:p w14:paraId="170D80C2" w14:textId="77777777" w:rsidR="00727F82" w:rsidRPr="00A67C1E" w:rsidRDefault="00727F82" w:rsidP="00727F82">
      <w:pPr>
        <w:pStyle w:val="Heading2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Conclusion</w:t>
      </w:r>
    </w:p>
    <w:p w14:paraId="170D80C3" w14:textId="77777777" w:rsidR="003D00A2" w:rsidRDefault="001E5C53" w:rsidP="003D00A2">
      <w:pPr>
        <w:spacing w:before="0" w:after="0"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lastRenderedPageBreak/>
        <w:t xml:space="preserve">The two ratings, the Summative Performance Rating and the Student Impact Rating, are both critical to the Educator Evaluation Framework. </w:t>
      </w:r>
      <w:r w:rsidR="00727F82">
        <w:rPr>
          <w:rFonts w:ascii="Calibri" w:hAnsi="Calibri" w:cs="Arial"/>
          <w:sz w:val="22"/>
        </w:rPr>
        <w:t xml:space="preserve">Absent the Student Impact Rating the MA Framework is incomplete. The Summative Performance Rating alone focuses primarily on teacher inputs. </w:t>
      </w:r>
      <w:r w:rsidR="009A0B66">
        <w:rPr>
          <w:rFonts w:ascii="Calibri" w:hAnsi="Calibri" w:cs="Arial"/>
          <w:sz w:val="22"/>
        </w:rPr>
        <w:t>The</w:t>
      </w:r>
      <w:r w:rsidR="00727F82">
        <w:rPr>
          <w:rFonts w:ascii="Calibri" w:hAnsi="Calibri" w:cs="Arial"/>
          <w:sz w:val="22"/>
        </w:rPr>
        <w:t xml:space="preserve"> Student Impact Rating </w:t>
      </w:r>
      <w:r w:rsidR="009A0B66">
        <w:rPr>
          <w:rFonts w:ascii="Calibri" w:hAnsi="Calibri" w:cs="Arial"/>
          <w:sz w:val="22"/>
        </w:rPr>
        <w:t xml:space="preserve">highlights the importance </w:t>
      </w:r>
      <w:r w:rsidR="00727F82">
        <w:rPr>
          <w:rFonts w:ascii="Calibri" w:hAnsi="Calibri" w:cs="Arial"/>
          <w:sz w:val="22"/>
        </w:rPr>
        <w:t xml:space="preserve">of keeping student learning at the center of the evaluation process. </w:t>
      </w:r>
    </w:p>
    <w:sectPr w:rsidR="003D00A2" w:rsidSect="00A67C1E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1440" w:right="1080" w:bottom="990" w:left="1080" w:header="720" w:footer="432" w:gutter="0"/>
      <w:pgNumType w:start="1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4404C" w14:textId="77777777" w:rsidR="00076C6A" w:rsidRDefault="00076C6A" w:rsidP="00850C9A">
      <w:pPr>
        <w:spacing w:after="0" w:line="240" w:lineRule="auto"/>
      </w:pPr>
      <w:r>
        <w:separator/>
      </w:r>
    </w:p>
  </w:endnote>
  <w:endnote w:type="continuationSeparator" w:id="0">
    <w:p w14:paraId="0A5AB89C" w14:textId="77777777" w:rsidR="00076C6A" w:rsidRDefault="00076C6A" w:rsidP="0085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D80C9" w14:textId="77777777" w:rsidR="00A11F79" w:rsidRDefault="00A11F79" w:rsidP="00C86498">
    <w:pPr>
      <w:pStyle w:val="Footer"/>
      <w:tabs>
        <w:tab w:val="clear" w:pos="4680"/>
        <w:tab w:val="clear" w:pos="9360"/>
        <w:tab w:val="center" w:pos="5040"/>
        <w:tab w:val="right" w:pos="10080"/>
      </w:tabs>
    </w:pPr>
    <w:r>
      <w:t xml:space="preserve">Page </w:t>
    </w:r>
    <w:r w:rsidR="005724BE">
      <w:fldChar w:fldCharType="begin"/>
    </w:r>
    <w:r w:rsidR="005724BE">
      <w:instrText xml:space="preserve"> PAGE  \* Arabic  \* MERGEFORMAT </w:instrText>
    </w:r>
    <w:r w:rsidR="005724BE">
      <w:fldChar w:fldCharType="separate"/>
    </w:r>
    <w:r w:rsidR="005724BE">
      <w:rPr>
        <w:noProof/>
      </w:rPr>
      <w:t>2</w:t>
    </w:r>
    <w:r w:rsidR="005724BE">
      <w:rPr>
        <w:noProof/>
      </w:rPr>
      <w:fldChar w:fldCharType="end"/>
    </w:r>
    <w:r>
      <w:t xml:space="preserve"> of </w:t>
    </w:r>
    <w:r w:rsidR="00076C6A">
      <w:fldChar w:fldCharType="begin"/>
    </w:r>
    <w:r w:rsidR="00076C6A">
      <w:instrText xml:space="preserve"> NUMPAGES  \</w:instrText>
    </w:r>
    <w:r w:rsidR="00076C6A">
      <w:instrText xml:space="preserve">* Arabic  \* MERGEFORMAT </w:instrText>
    </w:r>
    <w:r w:rsidR="00076C6A">
      <w:fldChar w:fldCharType="separate"/>
    </w:r>
    <w:r w:rsidR="005724BE">
      <w:rPr>
        <w:noProof/>
      </w:rPr>
      <w:t>2</w:t>
    </w:r>
    <w:r w:rsidR="00076C6A">
      <w:rPr>
        <w:noProof/>
      </w:rPr>
      <w:fldChar w:fldCharType="end"/>
    </w:r>
    <w:r>
      <w:tab/>
    </w:r>
    <w:r>
      <w:tab/>
      <w:t>May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D80CD" w14:textId="77777777" w:rsidR="00A11F79" w:rsidRPr="00541981" w:rsidRDefault="00A11F79" w:rsidP="00541981">
    <w:pPr>
      <w:pStyle w:val="Footer"/>
      <w:jc w:val="center"/>
    </w:pPr>
    <w: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CFE53" w14:textId="77777777" w:rsidR="00076C6A" w:rsidRDefault="00076C6A" w:rsidP="00850C9A">
      <w:pPr>
        <w:spacing w:after="0" w:line="240" w:lineRule="auto"/>
      </w:pPr>
      <w:r>
        <w:separator/>
      </w:r>
    </w:p>
  </w:footnote>
  <w:footnote w:type="continuationSeparator" w:id="0">
    <w:p w14:paraId="0B599B16" w14:textId="77777777" w:rsidR="00076C6A" w:rsidRDefault="00076C6A" w:rsidP="00850C9A">
      <w:pPr>
        <w:spacing w:after="0" w:line="240" w:lineRule="auto"/>
      </w:pPr>
      <w:r>
        <w:continuationSeparator/>
      </w:r>
    </w:p>
  </w:footnote>
  <w:footnote w:id="1">
    <w:p w14:paraId="170D80D6" w14:textId="77777777" w:rsidR="00A11F79" w:rsidRPr="00DF3533" w:rsidRDefault="00A11F79">
      <w:pPr>
        <w:pStyle w:val="FootnoteText"/>
        <w:rPr>
          <w:rFonts w:ascii="Calibri" w:hAnsi="Calibri"/>
        </w:rPr>
      </w:pPr>
      <w:r w:rsidRPr="00DF3533">
        <w:rPr>
          <w:rStyle w:val="FootnoteReference"/>
          <w:rFonts w:ascii="Calibri" w:hAnsi="Calibri"/>
        </w:rPr>
        <w:footnoteRef/>
      </w:r>
      <w:r w:rsidRPr="00DF3533">
        <w:rPr>
          <w:rFonts w:ascii="Calibri" w:hAnsi="Calibri"/>
        </w:rPr>
        <w:t xml:space="preserve"> Nearly all districts adopted or adapted </w:t>
      </w:r>
      <w:hyperlink r:id="rId1" w:history="1">
        <w:r w:rsidRPr="00DF3533">
          <w:rPr>
            <w:rStyle w:val="Hyperlink"/>
            <w:rFonts w:ascii="Calibri" w:hAnsi="Calibri"/>
          </w:rPr>
          <w:t>ESE’s Model System</w:t>
        </w:r>
      </w:hyperlink>
      <w:r w:rsidRPr="00DF3533">
        <w:rPr>
          <w:rFonts w:ascii="Calibri" w:hAnsi="Calibri"/>
        </w:rPr>
        <w:t xml:space="preserve">, including the four </w:t>
      </w:r>
      <w:hyperlink r:id="rId2" w:history="1">
        <w:r w:rsidRPr="00DF3533">
          <w:rPr>
            <w:rStyle w:val="Hyperlink"/>
            <w:rFonts w:ascii="Calibri" w:hAnsi="Calibri"/>
          </w:rPr>
          <w:t>model performance rubrics</w:t>
        </w:r>
      </w:hyperlink>
      <w:r w:rsidRPr="00DF3533">
        <w:rPr>
          <w:rFonts w:ascii="Calibri" w:hAnsi="Calibri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D80C8" w14:textId="77777777" w:rsidR="00A11F79" w:rsidRPr="002C5D70" w:rsidRDefault="00D219A5" w:rsidP="007F69E0">
    <w:pPr>
      <w:pStyle w:val="Heading1"/>
      <w:spacing w:before="360"/>
      <w:jc w:val="center"/>
    </w:pPr>
    <w:r>
      <w:rPr>
        <w:b w:val="0"/>
        <w:bCs w:val="0"/>
        <w:noProof/>
      </w:rPr>
      <w:drawing>
        <wp:anchor distT="0" distB="0" distL="114300" distR="114300" simplePos="0" relativeHeight="251658240" behindDoc="1" locked="0" layoutInCell="1" allowOverlap="1" wp14:anchorId="170D80CE" wp14:editId="170D80CF">
          <wp:simplePos x="0" y="0"/>
          <wp:positionH relativeFrom="column">
            <wp:posOffset>-407670</wp:posOffset>
          </wp:positionH>
          <wp:positionV relativeFrom="paragraph">
            <wp:posOffset>-304800</wp:posOffset>
          </wp:positionV>
          <wp:extent cx="1038860" cy="495300"/>
          <wp:effectExtent l="19050" t="0" r="8890" b="0"/>
          <wp:wrapTight wrapText="bothSides">
            <wp:wrapPolygon edited="0">
              <wp:start x="1584" y="831"/>
              <wp:lineTo x="-396" y="3323"/>
              <wp:lineTo x="1188" y="17446"/>
              <wp:lineTo x="3961" y="17446"/>
              <wp:lineTo x="15447" y="17446"/>
              <wp:lineTo x="21785" y="16615"/>
              <wp:lineTo x="21785" y="6646"/>
              <wp:lineTo x="3565" y="831"/>
              <wp:lineTo x="1584" y="831"/>
            </wp:wrapPolygon>
          </wp:wrapTight>
          <wp:docPr id="4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bCs w:val="0"/>
        <w:noProof/>
      </w:rPr>
      <w:drawing>
        <wp:anchor distT="0" distB="0" distL="114300" distR="114300" simplePos="0" relativeHeight="251659264" behindDoc="1" locked="0" layoutInCell="1" allowOverlap="1" wp14:anchorId="170D80D0" wp14:editId="170D80D1">
          <wp:simplePos x="0" y="0"/>
          <wp:positionH relativeFrom="column">
            <wp:posOffset>5553075</wp:posOffset>
          </wp:positionH>
          <wp:positionV relativeFrom="paragraph">
            <wp:posOffset>-304800</wp:posOffset>
          </wp:positionV>
          <wp:extent cx="1047750" cy="419100"/>
          <wp:effectExtent l="19050" t="0" r="0" b="0"/>
          <wp:wrapTight wrapText="bothSides">
            <wp:wrapPolygon edited="0">
              <wp:start x="-393" y="5891"/>
              <wp:lineTo x="0" y="18655"/>
              <wp:lineTo x="3142" y="18655"/>
              <wp:lineTo x="21600" y="17673"/>
              <wp:lineTo x="21600" y="5891"/>
              <wp:lineTo x="3142" y="5891"/>
              <wp:lineTo x="-393" y="5891"/>
            </wp:wrapPolygon>
          </wp:wrapTight>
          <wp:docPr id="3" name="Picture 6" descr="Educator Effectiven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ducator Effectiveness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7436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1F79">
      <w:t>Summary of the MA Educator Evaluation Framework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D80CA" w14:textId="77777777" w:rsidR="00A11F79" w:rsidRDefault="00D219A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70D80D2" wp14:editId="170D80D3">
          <wp:simplePos x="0" y="0"/>
          <wp:positionH relativeFrom="column">
            <wp:posOffset>5524500</wp:posOffset>
          </wp:positionH>
          <wp:positionV relativeFrom="paragraph">
            <wp:posOffset>36195</wp:posOffset>
          </wp:positionV>
          <wp:extent cx="1047750" cy="419100"/>
          <wp:effectExtent l="19050" t="0" r="0" b="0"/>
          <wp:wrapTight wrapText="bothSides">
            <wp:wrapPolygon edited="0">
              <wp:start x="-393" y="5891"/>
              <wp:lineTo x="0" y="18655"/>
              <wp:lineTo x="3142" y="18655"/>
              <wp:lineTo x="21600" y="17673"/>
              <wp:lineTo x="21600" y="5891"/>
              <wp:lineTo x="3142" y="5891"/>
              <wp:lineTo x="-393" y="5891"/>
            </wp:wrapPolygon>
          </wp:wrapTight>
          <wp:docPr id="2" name="Picture 6" descr="Educator Effectiven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ducator Effectivenes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436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70D80D4" wp14:editId="170D80D5">
          <wp:simplePos x="0" y="0"/>
          <wp:positionH relativeFrom="column">
            <wp:posOffset>-628650</wp:posOffset>
          </wp:positionH>
          <wp:positionV relativeFrom="paragraph">
            <wp:posOffset>17145</wp:posOffset>
          </wp:positionV>
          <wp:extent cx="1038860" cy="495300"/>
          <wp:effectExtent l="19050" t="0" r="8890" b="0"/>
          <wp:wrapTight wrapText="bothSides">
            <wp:wrapPolygon edited="0">
              <wp:start x="1584" y="831"/>
              <wp:lineTo x="-396" y="3323"/>
              <wp:lineTo x="1188" y="17446"/>
              <wp:lineTo x="3961" y="17446"/>
              <wp:lineTo x="15447" y="17446"/>
              <wp:lineTo x="21785" y="16615"/>
              <wp:lineTo x="21785" y="6646"/>
              <wp:lineTo x="3565" y="831"/>
              <wp:lineTo x="1584" y="831"/>
            </wp:wrapPolygon>
          </wp:wrapTight>
          <wp:docPr id="1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D80CB" w14:textId="77777777" w:rsidR="00A11F79" w:rsidRDefault="00A11F79" w:rsidP="00C927ED">
    <w:pPr>
      <w:pStyle w:val="NoSpacing"/>
    </w:pPr>
  </w:p>
  <w:p w14:paraId="170D80CC" w14:textId="77777777" w:rsidR="00A11F79" w:rsidRDefault="00A11F79" w:rsidP="00C927ED">
    <w:pPr>
      <w:pStyle w:val="Heading1"/>
      <w:jc w:val="center"/>
    </w:pPr>
    <w:r>
      <w:t>Quick Reference Guide</w:t>
    </w:r>
    <w:r w:rsidRPr="00AE2107">
      <w:t xml:space="preserve">:  </w:t>
    </w:r>
    <w:r>
      <w:t>District-Determined Measures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0267_"/>
      </v:shape>
    </w:pict>
  </w:numPicBullet>
  <w:abstractNum w:abstractNumId="0" w15:restartNumberingAfterBreak="0">
    <w:nsid w:val="FFFFFFFE"/>
    <w:multiLevelType w:val="singleLevel"/>
    <w:tmpl w:val="CCEAD7F0"/>
    <w:lvl w:ilvl="0">
      <w:numFmt w:val="bullet"/>
      <w:lvlText w:val="*"/>
      <w:lvlJc w:val="left"/>
    </w:lvl>
  </w:abstractNum>
  <w:abstractNum w:abstractNumId="1" w15:restartNumberingAfterBreak="0">
    <w:nsid w:val="00D2354A"/>
    <w:multiLevelType w:val="hybridMultilevel"/>
    <w:tmpl w:val="0EF0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E0442"/>
    <w:multiLevelType w:val="hybridMultilevel"/>
    <w:tmpl w:val="E436A0AA"/>
    <w:lvl w:ilvl="0" w:tplc="68CE43A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65DB"/>
    <w:multiLevelType w:val="hybridMultilevel"/>
    <w:tmpl w:val="B08688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5E13D57"/>
    <w:multiLevelType w:val="hybridMultilevel"/>
    <w:tmpl w:val="D758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D1495"/>
    <w:multiLevelType w:val="hybridMultilevel"/>
    <w:tmpl w:val="7FCC2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41BAF"/>
    <w:multiLevelType w:val="hybridMultilevel"/>
    <w:tmpl w:val="98825890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5D1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D4638"/>
    <w:multiLevelType w:val="hybridMultilevel"/>
    <w:tmpl w:val="66ECF216"/>
    <w:lvl w:ilvl="0" w:tplc="DF66DFC0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hint="default"/>
        <w:color w:val="E285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C6ACB"/>
    <w:multiLevelType w:val="hybridMultilevel"/>
    <w:tmpl w:val="EBA6EBDC"/>
    <w:lvl w:ilvl="0" w:tplc="39B409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964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A668F2"/>
    <w:multiLevelType w:val="hybridMultilevel"/>
    <w:tmpl w:val="A88C9DA8"/>
    <w:lvl w:ilvl="0" w:tplc="0409000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5D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E46151"/>
    <w:multiLevelType w:val="hybridMultilevel"/>
    <w:tmpl w:val="29DC414C"/>
    <w:lvl w:ilvl="0" w:tplc="04090001">
      <w:start w:val="1"/>
      <w:numFmt w:val="bullet"/>
      <w:lvlText w:val=""/>
      <w:lvlJc w:val="left"/>
      <w:pPr>
        <w:ind w:left="187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907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b w:val="0"/>
      </w:rPr>
    </w:lvl>
    <w:lvl w:ilvl="3" w:tplc="04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11" w15:restartNumberingAfterBreak="0">
    <w:nsid w:val="202B4DDF"/>
    <w:multiLevelType w:val="hybridMultilevel"/>
    <w:tmpl w:val="D56065EA"/>
    <w:lvl w:ilvl="0" w:tplc="46708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7F5613"/>
    <w:multiLevelType w:val="hybridMultilevel"/>
    <w:tmpl w:val="BB3C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F086C"/>
    <w:multiLevelType w:val="hybridMultilevel"/>
    <w:tmpl w:val="6AF47A5E"/>
    <w:lvl w:ilvl="0" w:tplc="0409000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5D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63BB9"/>
    <w:multiLevelType w:val="hybridMultilevel"/>
    <w:tmpl w:val="AEDCC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B23D4"/>
    <w:multiLevelType w:val="hybridMultilevel"/>
    <w:tmpl w:val="8758A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A561A"/>
    <w:multiLevelType w:val="hybridMultilevel"/>
    <w:tmpl w:val="19EA9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5006"/>
    <w:multiLevelType w:val="hybridMultilevel"/>
    <w:tmpl w:val="F31C2334"/>
    <w:lvl w:ilvl="0" w:tplc="0409000F">
      <w:start w:val="1"/>
      <w:numFmt w:val="bullet"/>
      <w:pStyle w:val="Bullet1"/>
      <w:lvlText w:val=""/>
      <w:lvlJc w:val="left"/>
      <w:pPr>
        <w:ind w:left="-108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19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3A5471F3"/>
    <w:multiLevelType w:val="hybridMultilevel"/>
    <w:tmpl w:val="A0742A2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45330429"/>
    <w:multiLevelType w:val="hybridMultilevel"/>
    <w:tmpl w:val="9EA24560"/>
    <w:lvl w:ilvl="0" w:tplc="265A8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A25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22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6C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6A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EF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4AE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20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47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003F99"/>
    <w:multiLevelType w:val="hybridMultilevel"/>
    <w:tmpl w:val="42BA4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F4E4C"/>
    <w:multiLevelType w:val="hybridMultilevel"/>
    <w:tmpl w:val="F9E6B91A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261B8"/>
    <w:multiLevelType w:val="hybridMultilevel"/>
    <w:tmpl w:val="135ABE14"/>
    <w:lvl w:ilvl="0" w:tplc="0409000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4AE1"/>
    <w:multiLevelType w:val="hybridMultilevel"/>
    <w:tmpl w:val="27263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46971"/>
    <w:multiLevelType w:val="hybridMultilevel"/>
    <w:tmpl w:val="15B65DDC"/>
    <w:lvl w:ilvl="0" w:tplc="F4BC8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9646"/>
      </w:rPr>
    </w:lvl>
    <w:lvl w:ilvl="1" w:tplc="72E4F6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74DE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A26D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4A68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6A62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1213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A44E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58D4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51088"/>
    <w:multiLevelType w:val="hybridMultilevel"/>
    <w:tmpl w:val="FDB82478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E1E03"/>
    <w:multiLevelType w:val="hybridMultilevel"/>
    <w:tmpl w:val="0812E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B44B7F"/>
    <w:multiLevelType w:val="hybridMultilevel"/>
    <w:tmpl w:val="044C4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22CF"/>
    <w:multiLevelType w:val="hybridMultilevel"/>
    <w:tmpl w:val="953E1750"/>
    <w:lvl w:ilvl="0" w:tplc="39B409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A31CB"/>
    <w:multiLevelType w:val="hybridMultilevel"/>
    <w:tmpl w:val="C742E014"/>
    <w:lvl w:ilvl="0" w:tplc="2A3219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5D15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784C9F"/>
    <w:multiLevelType w:val="hybridMultilevel"/>
    <w:tmpl w:val="7940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C1F6B"/>
    <w:multiLevelType w:val="hybridMultilevel"/>
    <w:tmpl w:val="030ADDF8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5D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63FF0"/>
    <w:multiLevelType w:val="hybridMultilevel"/>
    <w:tmpl w:val="3CCAA150"/>
    <w:lvl w:ilvl="0" w:tplc="04090001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76523F"/>
    <w:multiLevelType w:val="hybridMultilevel"/>
    <w:tmpl w:val="29B2017A"/>
    <w:lvl w:ilvl="0" w:tplc="2A3219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5D15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A0EA0"/>
    <w:multiLevelType w:val="multilevel"/>
    <w:tmpl w:val="663C6390"/>
    <w:lvl w:ilvl="0">
      <w:start w:val="1"/>
      <w:numFmt w:val="decimal"/>
      <w:pStyle w:val="Numb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12C6AA1"/>
    <w:multiLevelType w:val="hybridMultilevel"/>
    <w:tmpl w:val="CC7C52D2"/>
    <w:lvl w:ilvl="0" w:tplc="C882BEAA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  <w:color w:val="auto"/>
      </w:rPr>
    </w:lvl>
    <w:lvl w:ilvl="1" w:tplc="F034A722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6A64D6A6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5FA9336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9C49740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322EB36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AE4BEC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EF120826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EE2EE7DA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 w15:restartNumberingAfterBreak="0">
    <w:nsid w:val="71C3165E"/>
    <w:multiLevelType w:val="hybridMultilevel"/>
    <w:tmpl w:val="8116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37692"/>
    <w:multiLevelType w:val="hybridMultilevel"/>
    <w:tmpl w:val="BCFCBFCA"/>
    <w:lvl w:ilvl="0" w:tplc="42504244">
      <w:start w:val="1"/>
      <w:numFmt w:val="decimal"/>
      <w:lvlText w:val="%1."/>
      <w:lvlJc w:val="left"/>
      <w:pPr>
        <w:ind w:left="720" w:hanging="360"/>
      </w:pPr>
    </w:lvl>
    <w:lvl w:ilvl="1" w:tplc="9CDAC4D0" w:tentative="1">
      <w:start w:val="1"/>
      <w:numFmt w:val="lowerLetter"/>
      <w:lvlText w:val="%2."/>
      <w:lvlJc w:val="left"/>
      <w:pPr>
        <w:ind w:left="1440" w:hanging="360"/>
      </w:pPr>
    </w:lvl>
    <w:lvl w:ilvl="2" w:tplc="D7F0ADE0" w:tentative="1">
      <w:start w:val="1"/>
      <w:numFmt w:val="lowerRoman"/>
      <w:lvlText w:val="%3."/>
      <w:lvlJc w:val="right"/>
      <w:pPr>
        <w:ind w:left="2160" w:hanging="180"/>
      </w:pPr>
    </w:lvl>
    <w:lvl w:ilvl="3" w:tplc="EA102182" w:tentative="1">
      <w:start w:val="1"/>
      <w:numFmt w:val="decimal"/>
      <w:lvlText w:val="%4."/>
      <w:lvlJc w:val="left"/>
      <w:pPr>
        <w:ind w:left="2880" w:hanging="360"/>
      </w:pPr>
    </w:lvl>
    <w:lvl w:ilvl="4" w:tplc="D4E29B12" w:tentative="1">
      <w:start w:val="1"/>
      <w:numFmt w:val="lowerLetter"/>
      <w:lvlText w:val="%5."/>
      <w:lvlJc w:val="left"/>
      <w:pPr>
        <w:ind w:left="3600" w:hanging="360"/>
      </w:pPr>
    </w:lvl>
    <w:lvl w:ilvl="5" w:tplc="A1A83C9A" w:tentative="1">
      <w:start w:val="1"/>
      <w:numFmt w:val="lowerRoman"/>
      <w:lvlText w:val="%6."/>
      <w:lvlJc w:val="right"/>
      <w:pPr>
        <w:ind w:left="4320" w:hanging="180"/>
      </w:pPr>
    </w:lvl>
    <w:lvl w:ilvl="6" w:tplc="64C6762E" w:tentative="1">
      <w:start w:val="1"/>
      <w:numFmt w:val="decimal"/>
      <w:lvlText w:val="%7."/>
      <w:lvlJc w:val="left"/>
      <w:pPr>
        <w:ind w:left="5040" w:hanging="360"/>
      </w:pPr>
    </w:lvl>
    <w:lvl w:ilvl="7" w:tplc="5DB09E06" w:tentative="1">
      <w:start w:val="1"/>
      <w:numFmt w:val="lowerLetter"/>
      <w:lvlText w:val="%8."/>
      <w:lvlJc w:val="left"/>
      <w:pPr>
        <w:ind w:left="5760" w:hanging="360"/>
      </w:pPr>
    </w:lvl>
    <w:lvl w:ilvl="8" w:tplc="C6E4B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94D7B"/>
    <w:multiLevelType w:val="hybridMultilevel"/>
    <w:tmpl w:val="91AC0F18"/>
    <w:lvl w:ilvl="0" w:tplc="0409000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F26DC"/>
    <w:multiLevelType w:val="hybridMultilevel"/>
    <w:tmpl w:val="0BEE247C"/>
    <w:lvl w:ilvl="0" w:tplc="AF70F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5"/>
  </w:num>
  <w:num w:numId="4">
    <w:abstractNumId w:val="31"/>
  </w:num>
  <w:num w:numId="5">
    <w:abstractNumId w:val="34"/>
  </w:num>
  <w:num w:numId="6">
    <w:abstractNumId w:val="37"/>
  </w:num>
  <w:num w:numId="7">
    <w:abstractNumId w:val="10"/>
  </w:num>
  <w:num w:numId="8">
    <w:abstractNumId w:val="21"/>
  </w:num>
  <w:num w:numId="9">
    <w:abstractNumId w:val="25"/>
  </w:num>
  <w:num w:numId="10">
    <w:abstractNumId w:val="4"/>
  </w:num>
  <w:num w:numId="11">
    <w:abstractNumId w:val="19"/>
  </w:num>
  <w:num w:numId="12">
    <w:abstractNumId w:val="1"/>
  </w:num>
  <w:num w:numId="13">
    <w:abstractNumId w:val="3"/>
  </w:num>
  <w:num w:numId="14">
    <w:abstractNumId w:val="28"/>
  </w:num>
  <w:num w:numId="15">
    <w:abstractNumId w:val="12"/>
  </w:num>
  <w:num w:numId="16">
    <w:abstractNumId w:val="13"/>
  </w:num>
  <w:num w:numId="17">
    <w:abstractNumId w:val="9"/>
  </w:num>
  <w:num w:numId="18">
    <w:abstractNumId w:val="5"/>
  </w:num>
  <w:num w:numId="19">
    <w:abstractNumId w:val="20"/>
  </w:num>
  <w:num w:numId="20">
    <w:abstractNumId w:val="32"/>
  </w:num>
  <w:num w:numId="21">
    <w:abstractNumId w:val="22"/>
  </w:num>
  <w:num w:numId="22">
    <w:abstractNumId w:val="29"/>
  </w:num>
  <w:num w:numId="23">
    <w:abstractNumId w:val="24"/>
  </w:num>
  <w:num w:numId="24">
    <w:abstractNumId w:val="36"/>
  </w:num>
  <w:num w:numId="25">
    <w:abstractNumId w:val="2"/>
  </w:num>
  <w:num w:numId="26">
    <w:abstractNumId w:val="17"/>
  </w:num>
  <w:num w:numId="2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6"/>
  </w:num>
  <w:num w:numId="30">
    <w:abstractNumId w:val="39"/>
  </w:num>
  <w:num w:numId="31">
    <w:abstractNumId w:val="15"/>
  </w:num>
  <w:num w:numId="32">
    <w:abstractNumId w:val="33"/>
  </w:num>
  <w:num w:numId="33">
    <w:abstractNumId w:val="11"/>
  </w:num>
  <w:num w:numId="34">
    <w:abstractNumId w:val="38"/>
  </w:num>
  <w:num w:numId="35">
    <w:abstractNumId w:val="8"/>
  </w:num>
  <w:num w:numId="36">
    <w:abstractNumId w:val="23"/>
  </w:num>
  <w:num w:numId="37">
    <w:abstractNumId w:val="14"/>
  </w:num>
  <w:num w:numId="38">
    <w:abstractNumId w:val="18"/>
  </w:num>
  <w:num w:numId="39">
    <w:abstractNumId w:val="27"/>
  </w:num>
  <w:num w:numId="40">
    <w:abstractNumId w:val="16"/>
  </w:num>
  <w:num w:numId="41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 style="mso-position-horizontal-relative:margin;mso-position-vertical-relative:margin;mso-width-relative:margin;mso-height-relative:margin" o:allowincell="f" fillcolor="none [820]" stroke="f" strokecolor="none [2409]">
      <v:fill color="none [820]" color2="#d78e8c" rotate="t"/>
      <v:stroke color="none [2409]" weight="1pt" on="f"/>
      <v:imagedata embosscolor="shadow add(51)"/>
      <v:shadow type="perspective" color="none [2408]" origin=",.5" offset="0,-123pt" offset2=",-246pt" matrix=",,,-1"/>
      <o:extrusion v:ext="view" backdepth="0" color="none [1343]" rotationangle="25,25" viewpoint="0,0" viewpointorigin="0,0" skewangle="0" skewamt="0" lightposition="-50000,-50000" lightposition2="50000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63"/>
    <w:rsid w:val="000011A1"/>
    <w:rsid w:val="0000762C"/>
    <w:rsid w:val="000130E6"/>
    <w:rsid w:val="000133BA"/>
    <w:rsid w:val="00013FD3"/>
    <w:rsid w:val="000172E7"/>
    <w:rsid w:val="00017F53"/>
    <w:rsid w:val="000259D0"/>
    <w:rsid w:val="00026F77"/>
    <w:rsid w:val="00027A4C"/>
    <w:rsid w:val="00027B6E"/>
    <w:rsid w:val="00032BD2"/>
    <w:rsid w:val="000408B5"/>
    <w:rsid w:val="00042875"/>
    <w:rsid w:val="00042FA4"/>
    <w:rsid w:val="000457BE"/>
    <w:rsid w:val="00045CB2"/>
    <w:rsid w:val="00050E00"/>
    <w:rsid w:val="00051A39"/>
    <w:rsid w:val="000530FD"/>
    <w:rsid w:val="00053904"/>
    <w:rsid w:val="00056F8B"/>
    <w:rsid w:val="00065BD3"/>
    <w:rsid w:val="0006719D"/>
    <w:rsid w:val="00067403"/>
    <w:rsid w:val="00070A1E"/>
    <w:rsid w:val="00072B8B"/>
    <w:rsid w:val="0007484F"/>
    <w:rsid w:val="00076A4D"/>
    <w:rsid w:val="00076C6A"/>
    <w:rsid w:val="00077C85"/>
    <w:rsid w:val="00084624"/>
    <w:rsid w:val="00096825"/>
    <w:rsid w:val="000A2006"/>
    <w:rsid w:val="000A4264"/>
    <w:rsid w:val="000B099E"/>
    <w:rsid w:val="000B0B57"/>
    <w:rsid w:val="000B22F4"/>
    <w:rsid w:val="000B39D7"/>
    <w:rsid w:val="000B4E71"/>
    <w:rsid w:val="000C1AB3"/>
    <w:rsid w:val="000C3D8B"/>
    <w:rsid w:val="000C41B0"/>
    <w:rsid w:val="000D68E3"/>
    <w:rsid w:val="000E3467"/>
    <w:rsid w:val="000E42DA"/>
    <w:rsid w:val="000E42EF"/>
    <w:rsid w:val="000F0CA0"/>
    <w:rsid w:val="000F5C05"/>
    <w:rsid w:val="001046D3"/>
    <w:rsid w:val="00113359"/>
    <w:rsid w:val="00113C25"/>
    <w:rsid w:val="00114405"/>
    <w:rsid w:val="0012722D"/>
    <w:rsid w:val="00134DC2"/>
    <w:rsid w:val="0014249E"/>
    <w:rsid w:val="00143FF7"/>
    <w:rsid w:val="0014479A"/>
    <w:rsid w:val="00147F74"/>
    <w:rsid w:val="00154490"/>
    <w:rsid w:val="00155DD3"/>
    <w:rsid w:val="00157989"/>
    <w:rsid w:val="00161781"/>
    <w:rsid w:val="00163A8B"/>
    <w:rsid w:val="00167044"/>
    <w:rsid w:val="00172CA9"/>
    <w:rsid w:val="00176E1C"/>
    <w:rsid w:val="00193DEF"/>
    <w:rsid w:val="00195AFE"/>
    <w:rsid w:val="001A6532"/>
    <w:rsid w:val="001B2695"/>
    <w:rsid w:val="001C452C"/>
    <w:rsid w:val="001C75FF"/>
    <w:rsid w:val="001C7B3A"/>
    <w:rsid w:val="001D1917"/>
    <w:rsid w:val="001D3637"/>
    <w:rsid w:val="001D3726"/>
    <w:rsid w:val="001E0175"/>
    <w:rsid w:val="001E01AF"/>
    <w:rsid w:val="001E3971"/>
    <w:rsid w:val="001E5C53"/>
    <w:rsid w:val="001E7739"/>
    <w:rsid w:val="001F0C68"/>
    <w:rsid w:val="001F30B7"/>
    <w:rsid w:val="001F355F"/>
    <w:rsid w:val="001F703E"/>
    <w:rsid w:val="0020462C"/>
    <w:rsid w:val="00206C63"/>
    <w:rsid w:val="00211D1C"/>
    <w:rsid w:val="00215A3D"/>
    <w:rsid w:val="00217BE6"/>
    <w:rsid w:val="002220A4"/>
    <w:rsid w:val="00231097"/>
    <w:rsid w:val="00234F91"/>
    <w:rsid w:val="00236D52"/>
    <w:rsid w:val="00237900"/>
    <w:rsid w:val="00243A67"/>
    <w:rsid w:val="002445D1"/>
    <w:rsid w:val="00245C4D"/>
    <w:rsid w:val="00262FCC"/>
    <w:rsid w:val="002638A3"/>
    <w:rsid w:val="002655D1"/>
    <w:rsid w:val="00266982"/>
    <w:rsid w:val="002700B5"/>
    <w:rsid w:val="0027157E"/>
    <w:rsid w:val="0027793F"/>
    <w:rsid w:val="002824B9"/>
    <w:rsid w:val="0028627F"/>
    <w:rsid w:val="002873B9"/>
    <w:rsid w:val="00287A65"/>
    <w:rsid w:val="00291587"/>
    <w:rsid w:val="00291FC1"/>
    <w:rsid w:val="002946B7"/>
    <w:rsid w:val="002966F5"/>
    <w:rsid w:val="002A56FB"/>
    <w:rsid w:val="002A671A"/>
    <w:rsid w:val="002C0E6D"/>
    <w:rsid w:val="002C5D70"/>
    <w:rsid w:val="002E6756"/>
    <w:rsid w:val="002F4B43"/>
    <w:rsid w:val="002F6AA5"/>
    <w:rsid w:val="002F735A"/>
    <w:rsid w:val="003022EA"/>
    <w:rsid w:val="00312071"/>
    <w:rsid w:val="0031220D"/>
    <w:rsid w:val="00313982"/>
    <w:rsid w:val="00315167"/>
    <w:rsid w:val="00316C19"/>
    <w:rsid w:val="00321FF0"/>
    <w:rsid w:val="00334ECA"/>
    <w:rsid w:val="00335FD4"/>
    <w:rsid w:val="0034579F"/>
    <w:rsid w:val="00354FC5"/>
    <w:rsid w:val="00360473"/>
    <w:rsid w:val="00360597"/>
    <w:rsid w:val="003632A3"/>
    <w:rsid w:val="00364C0B"/>
    <w:rsid w:val="00365326"/>
    <w:rsid w:val="00367895"/>
    <w:rsid w:val="003735FC"/>
    <w:rsid w:val="003736E7"/>
    <w:rsid w:val="00373845"/>
    <w:rsid w:val="00384159"/>
    <w:rsid w:val="003851A3"/>
    <w:rsid w:val="00391211"/>
    <w:rsid w:val="0039141D"/>
    <w:rsid w:val="00397596"/>
    <w:rsid w:val="003A3CB5"/>
    <w:rsid w:val="003A43CE"/>
    <w:rsid w:val="003B20D0"/>
    <w:rsid w:val="003B3921"/>
    <w:rsid w:val="003B4ABD"/>
    <w:rsid w:val="003C31B5"/>
    <w:rsid w:val="003C4EBF"/>
    <w:rsid w:val="003C59F1"/>
    <w:rsid w:val="003C7F59"/>
    <w:rsid w:val="003D00A2"/>
    <w:rsid w:val="003D196A"/>
    <w:rsid w:val="003D3CB4"/>
    <w:rsid w:val="003D4222"/>
    <w:rsid w:val="003D5E8B"/>
    <w:rsid w:val="003D682C"/>
    <w:rsid w:val="003E3667"/>
    <w:rsid w:val="003F399D"/>
    <w:rsid w:val="003F5252"/>
    <w:rsid w:val="003F60BE"/>
    <w:rsid w:val="00400EDD"/>
    <w:rsid w:val="0040414C"/>
    <w:rsid w:val="004140FE"/>
    <w:rsid w:val="00423CCA"/>
    <w:rsid w:val="00433343"/>
    <w:rsid w:val="00435BB0"/>
    <w:rsid w:val="00441BE5"/>
    <w:rsid w:val="00463886"/>
    <w:rsid w:val="00465321"/>
    <w:rsid w:val="004663D1"/>
    <w:rsid w:val="0047151A"/>
    <w:rsid w:val="00474D39"/>
    <w:rsid w:val="004775A2"/>
    <w:rsid w:val="00482FD6"/>
    <w:rsid w:val="004831AE"/>
    <w:rsid w:val="00485835"/>
    <w:rsid w:val="004930F7"/>
    <w:rsid w:val="00497AD8"/>
    <w:rsid w:val="004A018D"/>
    <w:rsid w:val="004A12D5"/>
    <w:rsid w:val="004A1A72"/>
    <w:rsid w:val="004A348F"/>
    <w:rsid w:val="004A5B8F"/>
    <w:rsid w:val="004A5F6F"/>
    <w:rsid w:val="004A66FD"/>
    <w:rsid w:val="004B4060"/>
    <w:rsid w:val="004B797E"/>
    <w:rsid w:val="004C1A73"/>
    <w:rsid w:val="004D0C34"/>
    <w:rsid w:val="004D178A"/>
    <w:rsid w:val="004D179A"/>
    <w:rsid w:val="004D4DD3"/>
    <w:rsid w:val="004E0388"/>
    <w:rsid w:val="004E0861"/>
    <w:rsid w:val="004E2BD8"/>
    <w:rsid w:val="004E329F"/>
    <w:rsid w:val="004E5AFF"/>
    <w:rsid w:val="004E5BD2"/>
    <w:rsid w:val="004E685E"/>
    <w:rsid w:val="004F16D0"/>
    <w:rsid w:val="004F1D31"/>
    <w:rsid w:val="004F62BD"/>
    <w:rsid w:val="004F737B"/>
    <w:rsid w:val="00507059"/>
    <w:rsid w:val="00511972"/>
    <w:rsid w:val="00511FFF"/>
    <w:rsid w:val="005124E2"/>
    <w:rsid w:val="0051371A"/>
    <w:rsid w:val="00517170"/>
    <w:rsid w:val="0051791E"/>
    <w:rsid w:val="00520F1B"/>
    <w:rsid w:val="00522372"/>
    <w:rsid w:val="00522617"/>
    <w:rsid w:val="00525F2A"/>
    <w:rsid w:val="00537353"/>
    <w:rsid w:val="00541981"/>
    <w:rsid w:val="005449DE"/>
    <w:rsid w:val="005465A9"/>
    <w:rsid w:val="00546DAB"/>
    <w:rsid w:val="00555947"/>
    <w:rsid w:val="00561D9B"/>
    <w:rsid w:val="00570792"/>
    <w:rsid w:val="005724BE"/>
    <w:rsid w:val="00580BE8"/>
    <w:rsid w:val="005868FC"/>
    <w:rsid w:val="00591CBA"/>
    <w:rsid w:val="005924F6"/>
    <w:rsid w:val="005A26D6"/>
    <w:rsid w:val="005A470C"/>
    <w:rsid w:val="005A5287"/>
    <w:rsid w:val="005A55DD"/>
    <w:rsid w:val="005B26C5"/>
    <w:rsid w:val="005B7718"/>
    <w:rsid w:val="005C23A8"/>
    <w:rsid w:val="005D1499"/>
    <w:rsid w:val="005D2362"/>
    <w:rsid w:val="005D259A"/>
    <w:rsid w:val="005E1B65"/>
    <w:rsid w:val="005E211A"/>
    <w:rsid w:val="005E253F"/>
    <w:rsid w:val="005E272E"/>
    <w:rsid w:val="005E5156"/>
    <w:rsid w:val="005F20E4"/>
    <w:rsid w:val="005F7C6C"/>
    <w:rsid w:val="00600F0B"/>
    <w:rsid w:val="00603C6B"/>
    <w:rsid w:val="00611B88"/>
    <w:rsid w:val="0061669C"/>
    <w:rsid w:val="00622156"/>
    <w:rsid w:val="006261E3"/>
    <w:rsid w:val="00630016"/>
    <w:rsid w:val="00635E03"/>
    <w:rsid w:val="00637410"/>
    <w:rsid w:val="00640218"/>
    <w:rsid w:val="00642AA0"/>
    <w:rsid w:val="00644AA9"/>
    <w:rsid w:val="0064670D"/>
    <w:rsid w:val="00647720"/>
    <w:rsid w:val="00647854"/>
    <w:rsid w:val="006513EB"/>
    <w:rsid w:val="00651A70"/>
    <w:rsid w:val="00655959"/>
    <w:rsid w:val="00655DB0"/>
    <w:rsid w:val="006641E3"/>
    <w:rsid w:val="006664E6"/>
    <w:rsid w:val="00667C99"/>
    <w:rsid w:val="006762A8"/>
    <w:rsid w:val="006768DE"/>
    <w:rsid w:val="00677DF1"/>
    <w:rsid w:val="006811A9"/>
    <w:rsid w:val="00682BAF"/>
    <w:rsid w:val="0069147D"/>
    <w:rsid w:val="00693BD3"/>
    <w:rsid w:val="0069693E"/>
    <w:rsid w:val="006B214B"/>
    <w:rsid w:val="006B6376"/>
    <w:rsid w:val="006B7021"/>
    <w:rsid w:val="006C35E5"/>
    <w:rsid w:val="006C4462"/>
    <w:rsid w:val="006C4D6B"/>
    <w:rsid w:val="006D049E"/>
    <w:rsid w:val="006D3C75"/>
    <w:rsid w:val="006D6398"/>
    <w:rsid w:val="006D6DFE"/>
    <w:rsid w:val="006D74D2"/>
    <w:rsid w:val="006E2C47"/>
    <w:rsid w:val="006E3E64"/>
    <w:rsid w:val="006E7FE3"/>
    <w:rsid w:val="006F4614"/>
    <w:rsid w:val="007007CE"/>
    <w:rsid w:val="0070412F"/>
    <w:rsid w:val="00704204"/>
    <w:rsid w:val="00704E43"/>
    <w:rsid w:val="00707A75"/>
    <w:rsid w:val="00707FF9"/>
    <w:rsid w:val="0071239D"/>
    <w:rsid w:val="00713D08"/>
    <w:rsid w:val="0071437D"/>
    <w:rsid w:val="0071444F"/>
    <w:rsid w:val="007152CE"/>
    <w:rsid w:val="00715C7D"/>
    <w:rsid w:val="00717D33"/>
    <w:rsid w:val="007219E7"/>
    <w:rsid w:val="00725504"/>
    <w:rsid w:val="00727F82"/>
    <w:rsid w:val="007320BC"/>
    <w:rsid w:val="00732CDD"/>
    <w:rsid w:val="0073577B"/>
    <w:rsid w:val="007357AD"/>
    <w:rsid w:val="00743855"/>
    <w:rsid w:val="007521E8"/>
    <w:rsid w:val="007537AB"/>
    <w:rsid w:val="00754C32"/>
    <w:rsid w:val="00760D08"/>
    <w:rsid w:val="00765CA9"/>
    <w:rsid w:val="00765EF9"/>
    <w:rsid w:val="00771AA5"/>
    <w:rsid w:val="00774AA2"/>
    <w:rsid w:val="007753BD"/>
    <w:rsid w:val="007806E6"/>
    <w:rsid w:val="00785660"/>
    <w:rsid w:val="007909B5"/>
    <w:rsid w:val="0079124B"/>
    <w:rsid w:val="0079456D"/>
    <w:rsid w:val="007A0214"/>
    <w:rsid w:val="007A6544"/>
    <w:rsid w:val="007B0036"/>
    <w:rsid w:val="007B1B1B"/>
    <w:rsid w:val="007B5A2C"/>
    <w:rsid w:val="007C2E26"/>
    <w:rsid w:val="007D034E"/>
    <w:rsid w:val="007D1C8C"/>
    <w:rsid w:val="007D5BC7"/>
    <w:rsid w:val="007D73EC"/>
    <w:rsid w:val="007E3184"/>
    <w:rsid w:val="007E4029"/>
    <w:rsid w:val="007F25F5"/>
    <w:rsid w:val="007F6382"/>
    <w:rsid w:val="007F69E0"/>
    <w:rsid w:val="007F7AC2"/>
    <w:rsid w:val="00804C8A"/>
    <w:rsid w:val="008059CF"/>
    <w:rsid w:val="00807115"/>
    <w:rsid w:val="00807256"/>
    <w:rsid w:val="008152B5"/>
    <w:rsid w:val="00815AE7"/>
    <w:rsid w:val="00832162"/>
    <w:rsid w:val="0083307C"/>
    <w:rsid w:val="00835170"/>
    <w:rsid w:val="00836506"/>
    <w:rsid w:val="00844EDF"/>
    <w:rsid w:val="00850C9A"/>
    <w:rsid w:val="0085180D"/>
    <w:rsid w:val="0085192E"/>
    <w:rsid w:val="00854824"/>
    <w:rsid w:val="008550D1"/>
    <w:rsid w:val="008572F3"/>
    <w:rsid w:val="0085735E"/>
    <w:rsid w:val="0086112E"/>
    <w:rsid w:val="008644C9"/>
    <w:rsid w:val="00864754"/>
    <w:rsid w:val="00877172"/>
    <w:rsid w:val="008852FB"/>
    <w:rsid w:val="00885FC7"/>
    <w:rsid w:val="00887943"/>
    <w:rsid w:val="008921AD"/>
    <w:rsid w:val="0089551A"/>
    <w:rsid w:val="008974CF"/>
    <w:rsid w:val="00897818"/>
    <w:rsid w:val="00897C75"/>
    <w:rsid w:val="008A3C99"/>
    <w:rsid w:val="008B1602"/>
    <w:rsid w:val="008B7238"/>
    <w:rsid w:val="008C0037"/>
    <w:rsid w:val="008C14CD"/>
    <w:rsid w:val="008C29CF"/>
    <w:rsid w:val="008C7D60"/>
    <w:rsid w:val="008D4F1D"/>
    <w:rsid w:val="008D7EC2"/>
    <w:rsid w:val="008E0784"/>
    <w:rsid w:val="008E72CC"/>
    <w:rsid w:val="008F2D6D"/>
    <w:rsid w:val="00900045"/>
    <w:rsid w:val="0090174B"/>
    <w:rsid w:val="00910829"/>
    <w:rsid w:val="00911DCF"/>
    <w:rsid w:val="0091464F"/>
    <w:rsid w:val="00924FAF"/>
    <w:rsid w:val="00925FB9"/>
    <w:rsid w:val="00926775"/>
    <w:rsid w:val="00926AD1"/>
    <w:rsid w:val="009272B5"/>
    <w:rsid w:val="00936044"/>
    <w:rsid w:val="0094130C"/>
    <w:rsid w:val="00942C7F"/>
    <w:rsid w:val="0095062F"/>
    <w:rsid w:val="0095143E"/>
    <w:rsid w:val="00955417"/>
    <w:rsid w:val="00960B42"/>
    <w:rsid w:val="00960ECE"/>
    <w:rsid w:val="0096224F"/>
    <w:rsid w:val="00962B18"/>
    <w:rsid w:val="009635D0"/>
    <w:rsid w:val="0097122A"/>
    <w:rsid w:val="00971932"/>
    <w:rsid w:val="0097395A"/>
    <w:rsid w:val="009749D5"/>
    <w:rsid w:val="00980A2F"/>
    <w:rsid w:val="00984741"/>
    <w:rsid w:val="00985060"/>
    <w:rsid w:val="00992E77"/>
    <w:rsid w:val="009963BD"/>
    <w:rsid w:val="009A0B66"/>
    <w:rsid w:val="009A5788"/>
    <w:rsid w:val="009A6FC0"/>
    <w:rsid w:val="009A71BC"/>
    <w:rsid w:val="009B4993"/>
    <w:rsid w:val="009C2420"/>
    <w:rsid w:val="009D011E"/>
    <w:rsid w:val="009D0802"/>
    <w:rsid w:val="009D2637"/>
    <w:rsid w:val="009D5EBA"/>
    <w:rsid w:val="009D6357"/>
    <w:rsid w:val="009D7B59"/>
    <w:rsid w:val="009E125A"/>
    <w:rsid w:val="009E2CF1"/>
    <w:rsid w:val="009E41FF"/>
    <w:rsid w:val="009E4346"/>
    <w:rsid w:val="009E5059"/>
    <w:rsid w:val="009E5B9C"/>
    <w:rsid w:val="009E7577"/>
    <w:rsid w:val="009E7F13"/>
    <w:rsid w:val="009F1F8F"/>
    <w:rsid w:val="009F6035"/>
    <w:rsid w:val="009F6CEA"/>
    <w:rsid w:val="00A00463"/>
    <w:rsid w:val="00A02525"/>
    <w:rsid w:val="00A0466D"/>
    <w:rsid w:val="00A063B8"/>
    <w:rsid w:val="00A10B08"/>
    <w:rsid w:val="00A117EF"/>
    <w:rsid w:val="00A11F79"/>
    <w:rsid w:val="00A13152"/>
    <w:rsid w:val="00A156B8"/>
    <w:rsid w:val="00A157C6"/>
    <w:rsid w:val="00A20AC4"/>
    <w:rsid w:val="00A20B2D"/>
    <w:rsid w:val="00A22176"/>
    <w:rsid w:val="00A26E28"/>
    <w:rsid w:val="00A35105"/>
    <w:rsid w:val="00A357B2"/>
    <w:rsid w:val="00A36793"/>
    <w:rsid w:val="00A432F1"/>
    <w:rsid w:val="00A50477"/>
    <w:rsid w:val="00A52713"/>
    <w:rsid w:val="00A53698"/>
    <w:rsid w:val="00A53D12"/>
    <w:rsid w:val="00A54194"/>
    <w:rsid w:val="00A64AA1"/>
    <w:rsid w:val="00A67C1E"/>
    <w:rsid w:val="00A70E43"/>
    <w:rsid w:val="00A71D59"/>
    <w:rsid w:val="00A7678E"/>
    <w:rsid w:val="00A8006F"/>
    <w:rsid w:val="00A82650"/>
    <w:rsid w:val="00A8309F"/>
    <w:rsid w:val="00A87E1D"/>
    <w:rsid w:val="00A9168D"/>
    <w:rsid w:val="00A93233"/>
    <w:rsid w:val="00A93E6F"/>
    <w:rsid w:val="00A97583"/>
    <w:rsid w:val="00AA4706"/>
    <w:rsid w:val="00AA64DE"/>
    <w:rsid w:val="00AB36D7"/>
    <w:rsid w:val="00AB37D1"/>
    <w:rsid w:val="00AB6972"/>
    <w:rsid w:val="00AC007B"/>
    <w:rsid w:val="00AC3025"/>
    <w:rsid w:val="00AD0482"/>
    <w:rsid w:val="00AD0D45"/>
    <w:rsid w:val="00AD16D2"/>
    <w:rsid w:val="00AD6F67"/>
    <w:rsid w:val="00AE034F"/>
    <w:rsid w:val="00AE2107"/>
    <w:rsid w:val="00AE6DB7"/>
    <w:rsid w:val="00AF2EBD"/>
    <w:rsid w:val="00AF5334"/>
    <w:rsid w:val="00AF7351"/>
    <w:rsid w:val="00B039C0"/>
    <w:rsid w:val="00B105A0"/>
    <w:rsid w:val="00B10FAE"/>
    <w:rsid w:val="00B13584"/>
    <w:rsid w:val="00B30C16"/>
    <w:rsid w:val="00B33933"/>
    <w:rsid w:val="00B41E50"/>
    <w:rsid w:val="00B42DFC"/>
    <w:rsid w:val="00B44357"/>
    <w:rsid w:val="00B45D23"/>
    <w:rsid w:val="00B47BFC"/>
    <w:rsid w:val="00B52EFB"/>
    <w:rsid w:val="00B57489"/>
    <w:rsid w:val="00B60D18"/>
    <w:rsid w:val="00B61CF3"/>
    <w:rsid w:val="00B630B8"/>
    <w:rsid w:val="00B66B14"/>
    <w:rsid w:val="00B66BBC"/>
    <w:rsid w:val="00B66D18"/>
    <w:rsid w:val="00B67AB4"/>
    <w:rsid w:val="00B70C71"/>
    <w:rsid w:val="00B71B23"/>
    <w:rsid w:val="00B749CB"/>
    <w:rsid w:val="00B75A94"/>
    <w:rsid w:val="00B75E7F"/>
    <w:rsid w:val="00B775CD"/>
    <w:rsid w:val="00B77D7B"/>
    <w:rsid w:val="00B856C2"/>
    <w:rsid w:val="00BA1EB4"/>
    <w:rsid w:val="00BA6FCD"/>
    <w:rsid w:val="00BB3272"/>
    <w:rsid w:val="00BC45CB"/>
    <w:rsid w:val="00BD419E"/>
    <w:rsid w:val="00BD41C4"/>
    <w:rsid w:val="00BE0C56"/>
    <w:rsid w:val="00BE5028"/>
    <w:rsid w:val="00BE7CF4"/>
    <w:rsid w:val="00BF0B7E"/>
    <w:rsid w:val="00BF2A4D"/>
    <w:rsid w:val="00BF4850"/>
    <w:rsid w:val="00BF513F"/>
    <w:rsid w:val="00BF55C0"/>
    <w:rsid w:val="00BF7792"/>
    <w:rsid w:val="00C03062"/>
    <w:rsid w:val="00C03782"/>
    <w:rsid w:val="00C04DB7"/>
    <w:rsid w:val="00C053F3"/>
    <w:rsid w:val="00C06B9E"/>
    <w:rsid w:val="00C12D80"/>
    <w:rsid w:val="00C130BE"/>
    <w:rsid w:val="00C14223"/>
    <w:rsid w:val="00C14BBF"/>
    <w:rsid w:val="00C16496"/>
    <w:rsid w:val="00C214DA"/>
    <w:rsid w:val="00C22E69"/>
    <w:rsid w:val="00C25ED4"/>
    <w:rsid w:val="00C2744C"/>
    <w:rsid w:val="00C27B6B"/>
    <w:rsid w:val="00C320F8"/>
    <w:rsid w:val="00C35A69"/>
    <w:rsid w:val="00C37AB6"/>
    <w:rsid w:val="00C42D97"/>
    <w:rsid w:val="00C438D7"/>
    <w:rsid w:val="00C44057"/>
    <w:rsid w:val="00C453C8"/>
    <w:rsid w:val="00C6484E"/>
    <w:rsid w:val="00C65898"/>
    <w:rsid w:val="00C66E3C"/>
    <w:rsid w:val="00C67C9E"/>
    <w:rsid w:val="00C75C1F"/>
    <w:rsid w:val="00C80AFB"/>
    <w:rsid w:val="00C85C85"/>
    <w:rsid w:val="00C86498"/>
    <w:rsid w:val="00C926C8"/>
    <w:rsid w:val="00C927ED"/>
    <w:rsid w:val="00C92FDB"/>
    <w:rsid w:val="00C971DA"/>
    <w:rsid w:val="00CA71C4"/>
    <w:rsid w:val="00CA7935"/>
    <w:rsid w:val="00CB6B63"/>
    <w:rsid w:val="00CC501B"/>
    <w:rsid w:val="00CC7DAF"/>
    <w:rsid w:val="00CD3177"/>
    <w:rsid w:val="00CD74B1"/>
    <w:rsid w:val="00CF13AC"/>
    <w:rsid w:val="00CF2535"/>
    <w:rsid w:val="00CF4532"/>
    <w:rsid w:val="00CF60C5"/>
    <w:rsid w:val="00D0214E"/>
    <w:rsid w:val="00D108ED"/>
    <w:rsid w:val="00D11234"/>
    <w:rsid w:val="00D11FC6"/>
    <w:rsid w:val="00D13DD2"/>
    <w:rsid w:val="00D16D75"/>
    <w:rsid w:val="00D219A5"/>
    <w:rsid w:val="00D21EFB"/>
    <w:rsid w:val="00D25CFA"/>
    <w:rsid w:val="00D414C9"/>
    <w:rsid w:val="00D546B9"/>
    <w:rsid w:val="00D5674C"/>
    <w:rsid w:val="00D62DE6"/>
    <w:rsid w:val="00D63FEE"/>
    <w:rsid w:val="00D64DDC"/>
    <w:rsid w:val="00D6664B"/>
    <w:rsid w:val="00D66FF5"/>
    <w:rsid w:val="00D73388"/>
    <w:rsid w:val="00D772C0"/>
    <w:rsid w:val="00D838EF"/>
    <w:rsid w:val="00D8599D"/>
    <w:rsid w:val="00D90004"/>
    <w:rsid w:val="00D91DA8"/>
    <w:rsid w:val="00D920EB"/>
    <w:rsid w:val="00D921FA"/>
    <w:rsid w:val="00D938D9"/>
    <w:rsid w:val="00DA2112"/>
    <w:rsid w:val="00DA7992"/>
    <w:rsid w:val="00DB114D"/>
    <w:rsid w:val="00DB2C3E"/>
    <w:rsid w:val="00DB408B"/>
    <w:rsid w:val="00DC170C"/>
    <w:rsid w:val="00DD0682"/>
    <w:rsid w:val="00DD0B1A"/>
    <w:rsid w:val="00DD0DB1"/>
    <w:rsid w:val="00DD192B"/>
    <w:rsid w:val="00DD6963"/>
    <w:rsid w:val="00DD7E9F"/>
    <w:rsid w:val="00DE3441"/>
    <w:rsid w:val="00DE5D17"/>
    <w:rsid w:val="00DF052A"/>
    <w:rsid w:val="00DF3533"/>
    <w:rsid w:val="00E05080"/>
    <w:rsid w:val="00E071DD"/>
    <w:rsid w:val="00E0762B"/>
    <w:rsid w:val="00E10DE7"/>
    <w:rsid w:val="00E1125A"/>
    <w:rsid w:val="00E123C3"/>
    <w:rsid w:val="00E161BD"/>
    <w:rsid w:val="00E20288"/>
    <w:rsid w:val="00E26573"/>
    <w:rsid w:val="00E27ED7"/>
    <w:rsid w:val="00E27FB8"/>
    <w:rsid w:val="00E32194"/>
    <w:rsid w:val="00E37892"/>
    <w:rsid w:val="00E40D21"/>
    <w:rsid w:val="00E43DBE"/>
    <w:rsid w:val="00E46598"/>
    <w:rsid w:val="00E4733B"/>
    <w:rsid w:val="00E477DB"/>
    <w:rsid w:val="00E50261"/>
    <w:rsid w:val="00E50E13"/>
    <w:rsid w:val="00E56AEB"/>
    <w:rsid w:val="00E74AF8"/>
    <w:rsid w:val="00E74BBE"/>
    <w:rsid w:val="00E74D5B"/>
    <w:rsid w:val="00E7622E"/>
    <w:rsid w:val="00E767BD"/>
    <w:rsid w:val="00E76F62"/>
    <w:rsid w:val="00E86073"/>
    <w:rsid w:val="00EA10A4"/>
    <w:rsid w:val="00EA6650"/>
    <w:rsid w:val="00EA6971"/>
    <w:rsid w:val="00EB434E"/>
    <w:rsid w:val="00EB7EC4"/>
    <w:rsid w:val="00EC1057"/>
    <w:rsid w:val="00EC4F64"/>
    <w:rsid w:val="00EC5110"/>
    <w:rsid w:val="00EC6087"/>
    <w:rsid w:val="00EC7065"/>
    <w:rsid w:val="00EC731E"/>
    <w:rsid w:val="00ED1C26"/>
    <w:rsid w:val="00ED47EC"/>
    <w:rsid w:val="00EE248A"/>
    <w:rsid w:val="00EE4107"/>
    <w:rsid w:val="00EE646D"/>
    <w:rsid w:val="00EF42FB"/>
    <w:rsid w:val="00EF4946"/>
    <w:rsid w:val="00EF590A"/>
    <w:rsid w:val="00EF6315"/>
    <w:rsid w:val="00EF78D1"/>
    <w:rsid w:val="00F06E3F"/>
    <w:rsid w:val="00F16582"/>
    <w:rsid w:val="00F165D1"/>
    <w:rsid w:val="00F31D02"/>
    <w:rsid w:val="00F419FD"/>
    <w:rsid w:val="00F51FD8"/>
    <w:rsid w:val="00F54E2B"/>
    <w:rsid w:val="00F54EC0"/>
    <w:rsid w:val="00F55F12"/>
    <w:rsid w:val="00F63302"/>
    <w:rsid w:val="00F64384"/>
    <w:rsid w:val="00F74780"/>
    <w:rsid w:val="00F75F9F"/>
    <w:rsid w:val="00F76389"/>
    <w:rsid w:val="00F81AE1"/>
    <w:rsid w:val="00F82000"/>
    <w:rsid w:val="00F90F7F"/>
    <w:rsid w:val="00F95744"/>
    <w:rsid w:val="00F97544"/>
    <w:rsid w:val="00FA22A1"/>
    <w:rsid w:val="00FB0720"/>
    <w:rsid w:val="00FB183F"/>
    <w:rsid w:val="00FB1B1C"/>
    <w:rsid w:val="00FB363F"/>
    <w:rsid w:val="00FB569D"/>
    <w:rsid w:val="00FB6103"/>
    <w:rsid w:val="00FC4062"/>
    <w:rsid w:val="00FC4AD1"/>
    <w:rsid w:val="00FC4BB8"/>
    <w:rsid w:val="00FC5A42"/>
    <w:rsid w:val="00FC6250"/>
    <w:rsid w:val="00FC76A4"/>
    <w:rsid w:val="00FD2AC2"/>
    <w:rsid w:val="00FD34DD"/>
    <w:rsid w:val="00FD7A96"/>
    <w:rsid w:val="00FE1EA0"/>
    <w:rsid w:val="00FE35AE"/>
    <w:rsid w:val="00FE7FE8"/>
    <w:rsid w:val="00FF5C65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margin;mso-position-vertical-relative:margin;mso-width-relative:margin;mso-height-relative:margin" o:allowincell="f" fillcolor="none [820]" stroke="f" strokecolor="none [2409]">
      <v:fill color="none [820]" color2="#d78e8c" rotate="t"/>
      <v:stroke color="none [2409]" weight="1pt" on="f"/>
      <v:imagedata embosscolor="shadow add(51)"/>
      <v:shadow type="perspective" color="none [2408]" origin=",.5" offset="0,-123pt" offset2=",-246pt" matrix=",,,-1"/>
      <o:extrusion v:ext="view" backdepth="0" color="none [1343]" rotationangle="25,25" viewpoint="0,0" viewpointorigin="0,0" skewangle="0" skewamt="0" lightposition="-50000,-50000" lightposition2="50000"/>
      <v:textbox inset=",7.2pt,,7.2pt"/>
    </o:shapedefaults>
    <o:shapelayout v:ext="edit">
      <o:idmap v:ext="edit" data="1"/>
    </o:shapelayout>
  </w:shapeDefaults>
  <w:decimalSymbol w:val="."/>
  <w:listSeparator w:val=","/>
  <w14:docId w14:val="170D8065"/>
  <w15:docId w15:val="{449196A4-DD6C-494C-ACCD-E5F51EF4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EBD"/>
    <w:pPr>
      <w:spacing w:before="160" w:after="16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AF2EBD"/>
    <w:pPr>
      <w:keepNext/>
      <w:keepLines/>
      <w:outlineLvl w:val="0"/>
    </w:pPr>
    <w:rPr>
      <w:rFonts w:eastAsia="SimSun" w:cs="MoolBoran"/>
      <w:b/>
      <w:bCs/>
      <w:color w:val="365F9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F2EBD"/>
    <w:pPr>
      <w:spacing w:before="100" w:beforeAutospacing="1" w:after="100" w:afterAutospacing="1" w:line="240" w:lineRule="auto"/>
      <w:jc w:val="both"/>
      <w:outlineLvl w:val="1"/>
    </w:pPr>
    <w:rPr>
      <w:rFonts w:eastAsia="Times New Roman"/>
      <w:b/>
      <w:bCs/>
      <w:iCs/>
      <w:color w:val="E15D15"/>
      <w:sz w:val="28"/>
      <w:szCs w:val="28"/>
    </w:rPr>
  </w:style>
  <w:style w:type="paragraph" w:styleId="Heading3">
    <w:name w:val="heading 3"/>
    <w:basedOn w:val="FootnoteText"/>
    <w:next w:val="Normal"/>
    <w:link w:val="Heading3Char"/>
    <w:unhideWhenUsed/>
    <w:qFormat/>
    <w:locked/>
    <w:rsid w:val="00AF2EBD"/>
    <w:pPr>
      <w:spacing w:after="160" w:line="276" w:lineRule="auto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C14BBF"/>
    <w:pPr>
      <w:keepNext/>
      <w:keepLines/>
      <w:spacing w:before="200" w:after="0"/>
      <w:outlineLvl w:val="3"/>
    </w:pPr>
    <w:rPr>
      <w:rFonts w:ascii="Cambria" w:eastAsia="SimSun" w:hAnsi="Cambria" w:cs="MoolBor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B6B6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AB6972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FootnoteTextChar">
    <w:name w:val="Footnote Text Char"/>
    <w:link w:val="FootnoteText"/>
    <w:uiPriority w:val="99"/>
    <w:locked/>
    <w:rsid w:val="00AB6972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D1C26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EC6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uiPriority w:val="99"/>
    <w:semiHidden/>
    <w:rsid w:val="00850C9A"/>
    <w:rPr>
      <w:rFonts w:cs="Times New Roman"/>
      <w:vertAlign w:val="superscript"/>
    </w:rPr>
  </w:style>
  <w:style w:type="character" w:styleId="FollowedHyperlink">
    <w:name w:val="FollowedHyperlink"/>
    <w:uiPriority w:val="99"/>
    <w:semiHidden/>
    <w:rsid w:val="00D0214E"/>
    <w:rPr>
      <w:rFonts w:cs="Times New Roman"/>
      <w:color w:val="800080"/>
      <w:u w:val="single"/>
    </w:rPr>
  </w:style>
  <w:style w:type="paragraph" w:customStyle="1" w:styleId="Default">
    <w:name w:val="Default"/>
    <w:rsid w:val="007F25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42D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2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17F53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Cs w:val="20"/>
    </w:rPr>
  </w:style>
  <w:style w:type="character" w:customStyle="1" w:styleId="HeaderChar">
    <w:name w:val="Header Char"/>
    <w:link w:val="Header"/>
    <w:uiPriority w:val="99"/>
    <w:locked/>
    <w:rsid w:val="00017F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7F53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Cs w:val="20"/>
    </w:rPr>
  </w:style>
  <w:style w:type="character" w:customStyle="1" w:styleId="FooterChar">
    <w:name w:val="Footer Char"/>
    <w:link w:val="Footer"/>
    <w:uiPriority w:val="99"/>
    <w:locked/>
    <w:rsid w:val="00017F53"/>
    <w:rPr>
      <w:rFonts w:cs="Times New Roman"/>
    </w:rPr>
  </w:style>
  <w:style w:type="character" w:styleId="CommentReference">
    <w:name w:val="annotation reference"/>
    <w:uiPriority w:val="99"/>
    <w:semiHidden/>
    <w:rsid w:val="00DB2C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2C3E"/>
    <w:rPr>
      <w:rFonts w:ascii="Calibri" w:hAnsi="Calibri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7793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2C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7793F"/>
    <w:rPr>
      <w:rFonts w:cs="Times New Roman"/>
      <w:b/>
      <w:bCs/>
      <w:sz w:val="20"/>
      <w:szCs w:val="20"/>
    </w:rPr>
  </w:style>
  <w:style w:type="character" w:styleId="PageNumber">
    <w:name w:val="page number"/>
    <w:uiPriority w:val="99"/>
    <w:rsid w:val="00360597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locked/>
    <w:rsid w:val="008852FB"/>
    <w:pPr>
      <w:spacing w:line="240" w:lineRule="auto"/>
    </w:pPr>
    <w:rPr>
      <w:b/>
      <w:bCs/>
      <w:color w:val="4F81BD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3D196A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3D196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196A"/>
    <w:rPr>
      <w:sz w:val="22"/>
      <w:szCs w:val="22"/>
    </w:rPr>
  </w:style>
  <w:style w:type="table" w:styleId="TableGrid">
    <w:name w:val="Table Grid"/>
    <w:basedOn w:val="TableNormal"/>
    <w:uiPriority w:val="99"/>
    <w:locked/>
    <w:rsid w:val="00B630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AF2EBD"/>
    <w:rPr>
      <w:rFonts w:ascii="Arial" w:eastAsia="SimSun" w:hAnsi="Arial" w:cs="MoolBoran"/>
      <w:b/>
      <w:bCs/>
      <w:color w:val="365F91"/>
      <w:sz w:val="32"/>
      <w:szCs w:val="28"/>
    </w:rPr>
  </w:style>
  <w:style w:type="paragraph" w:customStyle="1" w:styleId="Bullet">
    <w:name w:val="Bullet"/>
    <w:basedOn w:val="NormalWeb"/>
    <w:link w:val="BulletChar"/>
    <w:qFormat/>
    <w:rsid w:val="00AF2EBD"/>
    <w:pPr>
      <w:numPr>
        <w:numId w:val="1"/>
      </w:numPr>
      <w:spacing w:before="160" w:beforeAutospacing="0" w:after="160" w:afterAutospacing="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F2EBD"/>
    <w:rPr>
      <w:rFonts w:ascii="Arial" w:eastAsia="Times New Roman" w:hAnsi="Arial"/>
      <w:b/>
      <w:bCs/>
      <w:iCs/>
      <w:color w:val="E15D15"/>
      <w:sz w:val="28"/>
      <w:szCs w:val="28"/>
    </w:rPr>
  </w:style>
  <w:style w:type="character" w:customStyle="1" w:styleId="NormalWebChar">
    <w:name w:val="Normal (Web) Char"/>
    <w:basedOn w:val="DefaultParagraphFont"/>
    <w:link w:val="NormalWeb"/>
    <w:uiPriority w:val="99"/>
    <w:rsid w:val="00AF2EBD"/>
    <w:rPr>
      <w:rFonts w:ascii="Times New Roman" w:eastAsia="Times New Roman" w:hAnsi="Times New Roman"/>
      <w:sz w:val="24"/>
      <w:szCs w:val="24"/>
    </w:rPr>
  </w:style>
  <w:style w:type="character" w:customStyle="1" w:styleId="BulletChar">
    <w:name w:val="Bullet Char"/>
    <w:basedOn w:val="NormalWebChar"/>
    <w:link w:val="Bullet"/>
    <w:rsid w:val="00AF2EBD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F2EBD"/>
    <w:rPr>
      <w:rFonts w:ascii="Arial" w:eastAsia="Times New Roman" w:hAnsi="Arial" w:cs="Arial"/>
      <w:b/>
    </w:rPr>
  </w:style>
  <w:style w:type="table" w:styleId="LightList-Accent6">
    <w:name w:val="Light List Accent 6"/>
    <w:basedOn w:val="TableNormal"/>
    <w:uiPriority w:val="61"/>
    <w:rsid w:val="003F60B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Heading4Char">
    <w:name w:val="Heading 4 Char"/>
    <w:basedOn w:val="DefaultParagraphFont"/>
    <w:link w:val="Heading4"/>
    <w:rsid w:val="00C14BBF"/>
    <w:rPr>
      <w:rFonts w:ascii="Cambria" w:eastAsia="SimSun" w:hAnsi="Cambria" w:cs="MoolBoran"/>
      <w:b/>
      <w:bCs/>
      <w:i/>
      <w:iCs/>
      <w:color w:val="4F81BD"/>
      <w:szCs w:val="22"/>
    </w:rPr>
  </w:style>
  <w:style w:type="paragraph" w:customStyle="1" w:styleId="Number1">
    <w:name w:val="Number1"/>
    <w:basedOn w:val="Normal"/>
    <w:qFormat/>
    <w:rsid w:val="008A3C99"/>
    <w:pPr>
      <w:numPr>
        <w:numId w:val="5"/>
      </w:numPr>
      <w:tabs>
        <w:tab w:val="left" w:pos="576"/>
      </w:tabs>
      <w:spacing w:after="0"/>
    </w:pPr>
    <w:rPr>
      <w:b/>
    </w:rPr>
  </w:style>
  <w:style w:type="paragraph" w:customStyle="1" w:styleId="NumberedListSupportingInformation">
    <w:name w:val="Numbered List Supporting Information"/>
    <w:basedOn w:val="Normal"/>
    <w:qFormat/>
    <w:rsid w:val="008A3C99"/>
    <w:pPr>
      <w:spacing w:before="60"/>
    </w:pPr>
  </w:style>
  <w:style w:type="paragraph" w:styleId="NoSpacing">
    <w:name w:val="No Spacing"/>
    <w:uiPriority w:val="1"/>
    <w:qFormat/>
    <w:rsid w:val="00C927ED"/>
    <w:rPr>
      <w:rFonts w:ascii="Arial" w:hAnsi="Arial"/>
      <w:szCs w:val="22"/>
    </w:rPr>
  </w:style>
  <w:style w:type="character" w:customStyle="1" w:styleId="em">
    <w:name w:val="em"/>
    <w:basedOn w:val="DefaultParagraphFont"/>
    <w:rsid w:val="006762A8"/>
  </w:style>
  <w:style w:type="paragraph" w:customStyle="1" w:styleId="Bullet1">
    <w:name w:val="Bullet 1"/>
    <w:basedOn w:val="Normal"/>
    <w:qFormat/>
    <w:rsid w:val="004E5BD2"/>
    <w:pPr>
      <w:numPr>
        <w:numId w:val="26"/>
      </w:numPr>
    </w:pPr>
    <w:rPr>
      <w:rFonts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096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4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6984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983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732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263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970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834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52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158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90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1849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73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doe.mass.edu/lawsregs/603cmr35.html?section=06" TargetMode="External"/><Relationship Id="rId18" Type="http://schemas.openxmlformats.org/officeDocument/2006/relationships/hyperlink" Target="http://www.doe.mass.edu/edeval/resources/QRG-EducatorPlans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doe.mass.edu/edeval/mode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edeval/mode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lawsregs/603cmr35.html?section=04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resource.tqsource.org/stateevaldb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doe.mass.edu/lawsregs/603cmr35.html?section=03" TargetMode="External"/><Relationship Id="rId22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e.mass.edu/edeval/resources/rubrics/" TargetMode="External"/><Relationship Id="rId1" Type="http://schemas.openxmlformats.org/officeDocument/2006/relationships/hyperlink" Target="http://www.doe.mass.edu/edeval/mode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DESE-231-64058</_dlc_DocId>
    <_dlc_DocIdUrl xmlns="733efe1c-5bbe-4968-87dc-d400e65c879f">
      <Url>https://sharepoint.doemass.org/ese/webteam/cps/_layouts/DocIdRedir.aspx?ID=DESE-231-64058</Url>
      <Description>DESE-231-64058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DC782-DD01-4C4B-923A-A6CDA9F59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BA5A5-3895-4E76-A322-7D97775F77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628D9-4B01-49BB-A969-5AD58E6621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CF1001-FD79-4295-A824-DAD4AB488E49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2B7B7C43-5A34-4967-ACF0-B4CC0D5ED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E1B9BB9-2BC1-4084-9D4D-ED4FBD08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the MA Educator Evaluation Framework</vt:lpstr>
    </vt:vector>
  </TitlesOfParts>
  <Company/>
  <LinksUpToDate>false</LinksUpToDate>
  <CharactersWithSpaces>7148</CharactersWithSpaces>
  <SharedDoc>false</SharedDoc>
  <HLinks>
    <vt:vector size="54" baseType="variant">
      <vt:variant>
        <vt:i4>1835030</vt:i4>
      </vt:variant>
      <vt:variant>
        <vt:i4>18</vt:i4>
      </vt:variant>
      <vt:variant>
        <vt:i4>0</vt:i4>
      </vt:variant>
      <vt:variant>
        <vt:i4>5</vt:i4>
      </vt:variant>
      <vt:variant>
        <vt:lpwstr>http://resource.tqsource.org/stateevaldb/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http://www.doe.mass.edu/edeval/resources/QRG-EducatorPlans.pdf</vt:lpwstr>
      </vt:variant>
      <vt:variant>
        <vt:lpwstr/>
      </vt:variant>
      <vt:variant>
        <vt:i4>5898261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http://www.doe.mass.edu/edeval/resources/QRG-AlternativePathways.pdf</vt:lpwstr>
      </vt:variant>
      <vt:variant>
        <vt:lpwstr/>
      </vt:variant>
      <vt:variant>
        <vt:i4>720983</vt:i4>
      </vt:variant>
      <vt:variant>
        <vt:i4>9</vt:i4>
      </vt:variant>
      <vt:variant>
        <vt:i4>0</vt:i4>
      </vt:variant>
      <vt:variant>
        <vt:i4>5</vt:i4>
      </vt:variant>
      <vt:variant>
        <vt:lpwstr>http://www.doe.mass.edu/edeval/resources/QRG-Measures.pdf</vt:lpwstr>
      </vt:variant>
      <vt:variant>
        <vt:lpwstr/>
      </vt:variant>
      <vt:variant>
        <vt:i4>2031711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http://www.doe.mass.edu/lawsregs/603cmr35.html?section=04</vt:lpwstr>
      </vt:variant>
      <vt:variant>
        <vt:lpwstr/>
      </vt:variant>
      <vt:variant>
        <vt:i4>2031711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http://www.doe.mass.edu/lawsregs/603cmr35.html?section=03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http://www.doe.mass.edu/lawsregs/603cmr35.html?section=06</vt:lpwstr>
      </vt:variant>
      <vt:variant>
        <vt:lpwstr/>
      </vt:variant>
      <vt:variant>
        <vt:i4>4259851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http://www.doe.mass.edu/edeval/resources/rubrics/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http://www.doe.mass.edu/edeval/model/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the MA Educator Evaluation Framework</dc:title>
  <dc:creator>DESE</dc:creator>
  <cp:lastModifiedBy>Zou, Dong (EOE)</cp:lastModifiedBy>
  <cp:revision>5</cp:revision>
  <cp:lastPrinted>2016-05-11T20:45:00Z</cp:lastPrinted>
  <dcterms:created xsi:type="dcterms:W3CDTF">2020-08-31T13:15:00Z</dcterms:created>
  <dcterms:modified xsi:type="dcterms:W3CDTF">2020-09-01T21:33:00Z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 2020</vt:lpwstr>
  </property>
</Properties>
</file>