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678252260"/>
        <w:docPartObj>
          <w:docPartGallery w:val="Table of Contents"/>
          <w:docPartUnique/>
        </w:docPartObj>
      </w:sdtPr>
      <w:sdtEndPr/>
      <w:sdtContent>
        <w:p w14:paraId="18192A83" w14:textId="77777777" w:rsidR="009C35B3" w:rsidRDefault="009C35B3" w:rsidP="00006FC6">
          <w:pPr>
            <w:pStyle w:val="TOCHeading"/>
            <w:spacing w:before="0"/>
          </w:pPr>
          <w:r w:rsidRPr="009C35B3">
            <w:rPr>
              <w:rFonts w:asciiTheme="minorHAnsi" w:hAnsiTheme="minorHAnsi"/>
            </w:rPr>
            <w:t>Contents</w:t>
          </w:r>
        </w:p>
        <w:p w14:paraId="18192A84" w14:textId="77777777" w:rsidR="00D74630" w:rsidRDefault="00BA52CD" w:rsidP="00D74630">
          <w:pPr>
            <w:pStyle w:val="TOC1"/>
            <w:spacing w:line="23" w:lineRule="atLeast"/>
            <w:rPr>
              <w:rFonts w:eastAsiaTheme="minorEastAsia"/>
              <w:noProof/>
            </w:rPr>
          </w:pPr>
          <w:r>
            <w:fldChar w:fldCharType="begin"/>
          </w:r>
          <w:r w:rsidR="009C35B3">
            <w:instrText xml:space="preserve"> TOC \o "1-3" \h \z \u </w:instrText>
          </w:r>
          <w:r>
            <w:fldChar w:fldCharType="separate"/>
          </w:r>
          <w:hyperlink w:anchor="_Toc464226409" w:history="1">
            <w:r w:rsidR="00D74630" w:rsidRPr="00904FA6">
              <w:rPr>
                <w:rStyle w:val="Hyperlink"/>
                <w:noProof/>
              </w:rPr>
              <w:t>Major Theme: Options for course-taking sequences</w:t>
            </w:r>
            <w:r w:rsidR="00D74630">
              <w:rPr>
                <w:noProof/>
                <w:webHidden/>
              </w:rPr>
              <w:tab/>
            </w:r>
            <w:r>
              <w:rPr>
                <w:noProof/>
                <w:webHidden/>
              </w:rPr>
              <w:fldChar w:fldCharType="begin"/>
            </w:r>
            <w:r w:rsidR="00D74630">
              <w:rPr>
                <w:noProof/>
                <w:webHidden/>
              </w:rPr>
              <w:instrText xml:space="preserve"> PAGEREF _Toc464226409 \h </w:instrText>
            </w:r>
            <w:r>
              <w:rPr>
                <w:noProof/>
                <w:webHidden/>
              </w:rPr>
            </w:r>
            <w:r>
              <w:rPr>
                <w:noProof/>
                <w:webHidden/>
              </w:rPr>
              <w:fldChar w:fldCharType="separate"/>
            </w:r>
            <w:r w:rsidR="002A33D2">
              <w:rPr>
                <w:noProof/>
                <w:webHidden/>
              </w:rPr>
              <w:t>1</w:t>
            </w:r>
            <w:r>
              <w:rPr>
                <w:noProof/>
                <w:webHidden/>
              </w:rPr>
              <w:fldChar w:fldCharType="end"/>
            </w:r>
          </w:hyperlink>
        </w:p>
        <w:p w14:paraId="18192A85" w14:textId="77777777" w:rsidR="00D74630" w:rsidRDefault="000C51DF" w:rsidP="00D74630">
          <w:pPr>
            <w:pStyle w:val="TOC1"/>
            <w:spacing w:line="23" w:lineRule="atLeast"/>
            <w:rPr>
              <w:rFonts w:eastAsiaTheme="minorEastAsia"/>
              <w:noProof/>
            </w:rPr>
          </w:pPr>
          <w:hyperlink w:anchor="_Toc464226410" w:history="1">
            <w:r w:rsidR="00D74630" w:rsidRPr="00904FA6">
              <w:rPr>
                <w:rStyle w:val="Hyperlink"/>
                <w:noProof/>
              </w:rPr>
              <w:t>Examples of proposed revisions to standards</w:t>
            </w:r>
            <w:r w:rsidR="00D74630">
              <w:rPr>
                <w:noProof/>
                <w:webHidden/>
              </w:rPr>
              <w:tab/>
            </w:r>
            <w:r w:rsidR="00BA52CD">
              <w:rPr>
                <w:noProof/>
                <w:webHidden/>
              </w:rPr>
              <w:fldChar w:fldCharType="begin"/>
            </w:r>
            <w:r w:rsidR="00D74630">
              <w:rPr>
                <w:noProof/>
                <w:webHidden/>
              </w:rPr>
              <w:instrText xml:space="preserve"> PAGEREF _Toc464226410 \h </w:instrText>
            </w:r>
            <w:r w:rsidR="00BA52CD">
              <w:rPr>
                <w:noProof/>
                <w:webHidden/>
              </w:rPr>
            </w:r>
            <w:r w:rsidR="00BA52CD">
              <w:rPr>
                <w:noProof/>
                <w:webHidden/>
              </w:rPr>
              <w:fldChar w:fldCharType="separate"/>
            </w:r>
            <w:r w:rsidR="002A33D2">
              <w:rPr>
                <w:noProof/>
                <w:webHidden/>
              </w:rPr>
              <w:t>3</w:t>
            </w:r>
            <w:r w:rsidR="00BA52CD">
              <w:rPr>
                <w:noProof/>
                <w:webHidden/>
              </w:rPr>
              <w:fldChar w:fldCharType="end"/>
            </w:r>
          </w:hyperlink>
        </w:p>
        <w:p w14:paraId="18192A86" w14:textId="77777777" w:rsidR="00D74630" w:rsidRDefault="000C51DF" w:rsidP="00D74630">
          <w:pPr>
            <w:pStyle w:val="TOC2"/>
            <w:tabs>
              <w:tab w:val="right" w:leader="dot" w:pos="12950"/>
            </w:tabs>
            <w:spacing w:after="0" w:line="23" w:lineRule="atLeast"/>
            <w:rPr>
              <w:rFonts w:eastAsiaTheme="minorEastAsia"/>
              <w:noProof/>
            </w:rPr>
          </w:pPr>
          <w:hyperlink w:anchor="_Toc464226411" w:history="1">
            <w:r w:rsidR="00D74630" w:rsidRPr="00904FA6">
              <w:rPr>
                <w:rStyle w:val="Hyperlink"/>
                <w:noProof/>
              </w:rPr>
              <w:t>To increase coherence</w:t>
            </w:r>
            <w:r w:rsidR="00D74630">
              <w:rPr>
                <w:noProof/>
                <w:webHidden/>
              </w:rPr>
              <w:tab/>
            </w:r>
            <w:r w:rsidR="00BA52CD">
              <w:rPr>
                <w:noProof/>
                <w:webHidden/>
              </w:rPr>
              <w:fldChar w:fldCharType="begin"/>
            </w:r>
            <w:r w:rsidR="00D74630">
              <w:rPr>
                <w:noProof/>
                <w:webHidden/>
              </w:rPr>
              <w:instrText xml:space="preserve"> PAGEREF _Toc464226411 \h </w:instrText>
            </w:r>
            <w:r w:rsidR="00BA52CD">
              <w:rPr>
                <w:noProof/>
                <w:webHidden/>
              </w:rPr>
            </w:r>
            <w:r w:rsidR="00BA52CD">
              <w:rPr>
                <w:noProof/>
                <w:webHidden/>
              </w:rPr>
              <w:fldChar w:fldCharType="separate"/>
            </w:r>
            <w:r w:rsidR="002A33D2">
              <w:rPr>
                <w:noProof/>
                <w:webHidden/>
              </w:rPr>
              <w:t>3</w:t>
            </w:r>
            <w:r w:rsidR="00BA52CD">
              <w:rPr>
                <w:noProof/>
                <w:webHidden/>
              </w:rPr>
              <w:fldChar w:fldCharType="end"/>
            </w:r>
          </w:hyperlink>
        </w:p>
        <w:p w14:paraId="18192A87" w14:textId="77777777" w:rsidR="00D74630" w:rsidRDefault="000C51DF" w:rsidP="00D74630">
          <w:pPr>
            <w:pStyle w:val="TOC2"/>
            <w:tabs>
              <w:tab w:val="right" w:leader="dot" w:pos="12950"/>
            </w:tabs>
            <w:spacing w:after="0" w:line="23" w:lineRule="atLeast"/>
            <w:rPr>
              <w:rFonts w:eastAsiaTheme="minorEastAsia"/>
              <w:noProof/>
            </w:rPr>
          </w:pPr>
          <w:hyperlink w:anchor="_Toc464226412" w:history="1">
            <w:r w:rsidR="00D74630" w:rsidRPr="00904FA6">
              <w:rPr>
                <w:rStyle w:val="Hyperlink"/>
                <w:noProof/>
              </w:rPr>
              <w:t>To increase focus</w:t>
            </w:r>
            <w:r w:rsidR="00D74630">
              <w:rPr>
                <w:noProof/>
                <w:webHidden/>
              </w:rPr>
              <w:tab/>
            </w:r>
            <w:r w:rsidR="00BA52CD">
              <w:rPr>
                <w:noProof/>
                <w:webHidden/>
              </w:rPr>
              <w:fldChar w:fldCharType="begin"/>
            </w:r>
            <w:r w:rsidR="00D74630">
              <w:rPr>
                <w:noProof/>
                <w:webHidden/>
              </w:rPr>
              <w:instrText xml:space="preserve"> PAGEREF _Toc464226412 \h </w:instrText>
            </w:r>
            <w:r w:rsidR="00BA52CD">
              <w:rPr>
                <w:noProof/>
                <w:webHidden/>
              </w:rPr>
            </w:r>
            <w:r w:rsidR="00BA52CD">
              <w:rPr>
                <w:noProof/>
                <w:webHidden/>
              </w:rPr>
              <w:fldChar w:fldCharType="separate"/>
            </w:r>
            <w:r w:rsidR="002A33D2">
              <w:rPr>
                <w:noProof/>
                <w:webHidden/>
              </w:rPr>
              <w:t>6</w:t>
            </w:r>
            <w:r w:rsidR="00BA52CD">
              <w:rPr>
                <w:noProof/>
                <w:webHidden/>
              </w:rPr>
              <w:fldChar w:fldCharType="end"/>
            </w:r>
          </w:hyperlink>
        </w:p>
        <w:p w14:paraId="18192A88" w14:textId="77777777" w:rsidR="00D74630" w:rsidRDefault="000C51DF" w:rsidP="00D74630">
          <w:pPr>
            <w:pStyle w:val="TOC2"/>
            <w:tabs>
              <w:tab w:val="right" w:leader="dot" w:pos="12950"/>
            </w:tabs>
            <w:spacing w:after="0" w:line="23" w:lineRule="atLeast"/>
            <w:rPr>
              <w:rFonts w:eastAsiaTheme="minorEastAsia"/>
              <w:noProof/>
            </w:rPr>
          </w:pPr>
          <w:hyperlink w:anchor="_Toc464226413" w:history="1">
            <w:r w:rsidR="00D74630" w:rsidRPr="00904FA6">
              <w:rPr>
                <w:rStyle w:val="Hyperlink"/>
                <w:noProof/>
              </w:rPr>
              <w:t>To increase or maintain rigor</w:t>
            </w:r>
            <w:r w:rsidR="00D74630">
              <w:rPr>
                <w:noProof/>
                <w:webHidden/>
              </w:rPr>
              <w:tab/>
            </w:r>
            <w:r w:rsidR="00BA52CD">
              <w:rPr>
                <w:noProof/>
                <w:webHidden/>
              </w:rPr>
              <w:fldChar w:fldCharType="begin"/>
            </w:r>
            <w:r w:rsidR="00D74630">
              <w:rPr>
                <w:noProof/>
                <w:webHidden/>
              </w:rPr>
              <w:instrText xml:space="preserve"> PAGEREF _Toc464226413 \h </w:instrText>
            </w:r>
            <w:r w:rsidR="00BA52CD">
              <w:rPr>
                <w:noProof/>
                <w:webHidden/>
              </w:rPr>
            </w:r>
            <w:r w:rsidR="00BA52CD">
              <w:rPr>
                <w:noProof/>
                <w:webHidden/>
              </w:rPr>
              <w:fldChar w:fldCharType="separate"/>
            </w:r>
            <w:r w:rsidR="002A33D2">
              <w:rPr>
                <w:noProof/>
                <w:webHidden/>
              </w:rPr>
              <w:t>7</w:t>
            </w:r>
            <w:r w:rsidR="00BA52CD">
              <w:rPr>
                <w:noProof/>
                <w:webHidden/>
              </w:rPr>
              <w:fldChar w:fldCharType="end"/>
            </w:r>
          </w:hyperlink>
        </w:p>
        <w:p w14:paraId="18192A89" w14:textId="77777777" w:rsidR="00D74630" w:rsidRDefault="000C51DF" w:rsidP="00D74630">
          <w:pPr>
            <w:pStyle w:val="TOC2"/>
            <w:tabs>
              <w:tab w:val="right" w:leader="dot" w:pos="12950"/>
            </w:tabs>
            <w:spacing w:after="0" w:line="23" w:lineRule="atLeast"/>
            <w:rPr>
              <w:rFonts w:eastAsiaTheme="minorEastAsia"/>
              <w:noProof/>
            </w:rPr>
          </w:pPr>
          <w:hyperlink w:anchor="_Toc464226414" w:history="1">
            <w:r w:rsidR="00D74630" w:rsidRPr="00904FA6">
              <w:rPr>
                <w:rStyle w:val="Hyperlink"/>
                <w:noProof/>
              </w:rPr>
              <w:t>To increase clarity</w:t>
            </w:r>
            <w:r w:rsidR="00D74630">
              <w:rPr>
                <w:noProof/>
                <w:webHidden/>
              </w:rPr>
              <w:tab/>
            </w:r>
            <w:r w:rsidR="00BA52CD">
              <w:rPr>
                <w:noProof/>
                <w:webHidden/>
              </w:rPr>
              <w:fldChar w:fldCharType="begin"/>
            </w:r>
            <w:r w:rsidR="00D74630">
              <w:rPr>
                <w:noProof/>
                <w:webHidden/>
              </w:rPr>
              <w:instrText xml:space="preserve"> PAGEREF _Toc464226414 \h </w:instrText>
            </w:r>
            <w:r w:rsidR="00BA52CD">
              <w:rPr>
                <w:noProof/>
                <w:webHidden/>
              </w:rPr>
            </w:r>
            <w:r w:rsidR="00BA52CD">
              <w:rPr>
                <w:noProof/>
                <w:webHidden/>
              </w:rPr>
              <w:fldChar w:fldCharType="separate"/>
            </w:r>
            <w:r w:rsidR="002A33D2">
              <w:rPr>
                <w:noProof/>
                <w:webHidden/>
              </w:rPr>
              <w:t>8</w:t>
            </w:r>
            <w:r w:rsidR="00BA52CD">
              <w:rPr>
                <w:noProof/>
                <w:webHidden/>
              </w:rPr>
              <w:fldChar w:fldCharType="end"/>
            </w:r>
          </w:hyperlink>
        </w:p>
        <w:p w14:paraId="18192A8A" w14:textId="77777777" w:rsidR="00D74630" w:rsidRDefault="000C51DF" w:rsidP="00D74630">
          <w:pPr>
            <w:pStyle w:val="TOC1"/>
            <w:spacing w:line="23" w:lineRule="atLeast"/>
            <w:rPr>
              <w:rFonts w:eastAsiaTheme="minorEastAsia"/>
              <w:noProof/>
            </w:rPr>
          </w:pPr>
          <w:hyperlink w:anchor="_Toc464226415" w:history="1">
            <w:r w:rsidR="00D74630" w:rsidRPr="00904FA6">
              <w:rPr>
                <w:rStyle w:val="Hyperlink"/>
                <w:noProof/>
              </w:rPr>
              <w:t>Revisions to Introductory Section and Appendices</w:t>
            </w:r>
            <w:r w:rsidR="00D74630">
              <w:rPr>
                <w:noProof/>
                <w:webHidden/>
              </w:rPr>
              <w:tab/>
            </w:r>
            <w:r w:rsidR="00BA52CD">
              <w:rPr>
                <w:noProof/>
                <w:webHidden/>
              </w:rPr>
              <w:fldChar w:fldCharType="begin"/>
            </w:r>
            <w:r w:rsidR="00D74630">
              <w:rPr>
                <w:noProof/>
                <w:webHidden/>
              </w:rPr>
              <w:instrText xml:space="preserve"> PAGEREF _Toc464226415 \h </w:instrText>
            </w:r>
            <w:r w:rsidR="00BA52CD">
              <w:rPr>
                <w:noProof/>
                <w:webHidden/>
              </w:rPr>
            </w:r>
            <w:r w:rsidR="00BA52CD">
              <w:rPr>
                <w:noProof/>
                <w:webHidden/>
              </w:rPr>
              <w:fldChar w:fldCharType="separate"/>
            </w:r>
            <w:r w:rsidR="002A33D2">
              <w:rPr>
                <w:noProof/>
                <w:webHidden/>
              </w:rPr>
              <w:t>9</w:t>
            </w:r>
            <w:r w:rsidR="00BA52CD">
              <w:rPr>
                <w:noProof/>
                <w:webHidden/>
              </w:rPr>
              <w:fldChar w:fldCharType="end"/>
            </w:r>
          </w:hyperlink>
        </w:p>
        <w:p w14:paraId="18192A8B" w14:textId="77777777" w:rsidR="009C35B3" w:rsidRDefault="00BA52CD" w:rsidP="00006FC6">
          <w:pPr>
            <w:pStyle w:val="TOC1"/>
            <w:spacing w:after="120" w:line="276" w:lineRule="auto"/>
          </w:pPr>
          <w:r>
            <w:fldChar w:fldCharType="end"/>
          </w:r>
        </w:p>
      </w:sdtContent>
    </w:sdt>
    <w:tbl>
      <w:tblPr>
        <w:tblStyle w:val="TableGrid"/>
        <w:tblW w:w="13068" w:type="dxa"/>
        <w:tblLayout w:type="fixed"/>
        <w:tblLook w:val="04A0" w:firstRow="1" w:lastRow="0" w:firstColumn="1" w:lastColumn="0" w:noHBand="0" w:noVBand="1"/>
      </w:tblPr>
      <w:tblGrid>
        <w:gridCol w:w="13068"/>
      </w:tblGrid>
      <w:tr w:rsidR="009C35B3" w:rsidRPr="002E4E8C" w14:paraId="18192A8D" w14:textId="77777777" w:rsidTr="00D74630">
        <w:tc>
          <w:tcPr>
            <w:tcW w:w="13068" w:type="dxa"/>
            <w:shd w:val="clear" w:color="auto" w:fill="95B3D7" w:themeFill="accent1" w:themeFillTint="99"/>
          </w:tcPr>
          <w:p w14:paraId="18192A8C" w14:textId="77777777" w:rsidR="009C35B3" w:rsidRPr="009C35B3" w:rsidRDefault="009C35B3" w:rsidP="00283A12">
            <w:pPr>
              <w:pStyle w:val="Heading1"/>
              <w:spacing w:before="0"/>
              <w:outlineLvl w:val="0"/>
              <w:rPr>
                <w:rFonts w:asciiTheme="minorHAnsi" w:hAnsiTheme="minorHAnsi"/>
                <w:color w:val="auto"/>
              </w:rPr>
            </w:pPr>
            <w:bookmarkStart w:id="1" w:name="_Toc464226409"/>
            <w:r w:rsidRPr="009C35B3">
              <w:rPr>
                <w:rFonts w:asciiTheme="minorHAnsi" w:hAnsiTheme="minorHAnsi"/>
                <w:color w:val="auto"/>
              </w:rPr>
              <w:t xml:space="preserve">Major Theme: </w:t>
            </w:r>
            <w:r w:rsidR="00C3653C" w:rsidRPr="00C3653C">
              <w:rPr>
                <w:rFonts w:asciiTheme="minorHAnsi" w:hAnsiTheme="minorHAnsi"/>
                <w:color w:val="auto"/>
              </w:rPr>
              <w:t xml:space="preserve">Options for </w:t>
            </w:r>
            <w:r w:rsidR="00283A12">
              <w:rPr>
                <w:rFonts w:asciiTheme="minorHAnsi" w:hAnsiTheme="minorHAnsi"/>
                <w:color w:val="auto"/>
              </w:rPr>
              <w:t>c</w:t>
            </w:r>
            <w:r w:rsidR="00C3653C" w:rsidRPr="00C3653C">
              <w:rPr>
                <w:rFonts w:asciiTheme="minorHAnsi" w:hAnsiTheme="minorHAnsi"/>
                <w:color w:val="auto"/>
              </w:rPr>
              <w:t>ourse-</w:t>
            </w:r>
            <w:r w:rsidR="00283A12">
              <w:rPr>
                <w:rFonts w:asciiTheme="minorHAnsi" w:hAnsiTheme="minorHAnsi"/>
                <w:color w:val="auto"/>
              </w:rPr>
              <w:t>t</w:t>
            </w:r>
            <w:r w:rsidR="00C3653C" w:rsidRPr="00C3653C">
              <w:rPr>
                <w:rFonts w:asciiTheme="minorHAnsi" w:hAnsiTheme="minorHAnsi"/>
                <w:color w:val="auto"/>
              </w:rPr>
              <w:t xml:space="preserve">aking </w:t>
            </w:r>
            <w:r w:rsidR="00283A12">
              <w:rPr>
                <w:rFonts w:asciiTheme="minorHAnsi" w:hAnsiTheme="minorHAnsi"/>
                <w:color w:val="auto"/>
              </w:rPr>
              <w:t>s</w:t>
            </w:r>
            <w:r w:rsidR="00C3653C" w:rsidRPr="00C3653C">
              <w:rPr>
                <w:rFonts w:asciiTheme="minorHAnsi" w:hAnsiTheme="minorHAnsi"/>
                <w:color w:val="auto"/>
              </w:rPr>
              <w:t xml:space="preserve">equences, including offering the </w:t>
            </w:r>
            <w:r w:rsidR="00283A12">
              <w:rPr>
                <w:rFonts w:asciiTheme="minorHAnsi" w:hAnsiTheme="minorHAnsi"/>
                <w:color w:val="auto"/>
              </w:rPr>
              <w:t>h</w:t>
            </w:r>
            <w:r w:rsidR="00C3653C" w:rsidRPr="00C3653C">
              <w:rPr>
                <w:rFonts w:asciiTheme="minorHAnsi" w:hAnsiTheme="minorHAnsi"/>
                <w:color w:val="auto"/>
              </w:rPr>
              <w:t xml:space="preserve">igh </w:t>
            </w:r>
            <w:r w:rsidR="00283A12">
              <w:rPr>
                <w:rFonts w:asciiTheme="minorHAnsi" w:hAnsiTheme="minorHAnsi"/>
                <w:color w:val="auto"/>
              </w:rPr>
              <w:t>s</w:t>
            </w:r>
            <w:r w:rsidR="00C3653C" w:rsidRPr="00C3653C">
              <w:rPr>
                <w:rFonts w:asciiTheme="minorHAnsi" w:hAnsiTheme="minorHAnsi"/>
                <w:color w:val="auto"/>
              </w:rPr>
              <w:t xml:space="preserve">chool </w:t>
            </w:r>
            <w:r w:rsidR="00283A12">
              <w:rPr>
                <w:rFonts w:asciiTheme="minorHAnsi" w:hAnsiTheme="minorHAnsi"/>
                <w:color w:val="auto"/>
              </w:rPr>
              <w:t>m</w:t>
            </w:r>
            <w:r w:rsidR="00C3653C" w:rsidRPr="00C3653C">
              <w:rPr>
                <w:rFonts w:asciiTheme="minorHAnsi" w:hAnsiTheme="minorHAnsi"/>
                <w:color w:val="auto"/>
              </w:rPr>
              <w:t xml:space="preserve">odel </w:t>
            </w:r>
            <w:r w:rsidR="00283A12">
              <w:rPr>
                <w:rFonts w:asciiTheme="minorHAnsi" w:hAnsiTheme="minorHAnsi"/>
                <w:color w:val="auto"/>
              </w:rPr>
              <w:t>c</w:t>
            </w:r>
            <w:r w:rsidR="00C3653C" w:rsidRPr="00C3653C">
              <w:rPr>
                <w:rFonts w:asciiTheme="minorHAnsi" w:hAnsiTheme="minorHAnsi"/>
                <w:color w:val="auto"/>
              </w:rPr>
              <w:t xml:space="preserve">ourse </w:t>
            </w:r>
            <w:r w:rsidR="00283A12">
              <w:rPr>
                <w:rFonts w:asciiTheme="minorHAnsi" w:hAnsiTheme="minorHAnsi"/>
                <w:color w:val="auto"/>
              </w:rPr>
              <w:t>a</w:t>
            </w:r>
            <w:r w:rsidR="00C3653C" w:rsidRPr="00C3653C">
              <w:rPr>
                <w:rFonts w:asciiTheme="minorHAnsi" w:hAnsiTheme="minorHAnsi"/>
                <w:color w:val="auto"/>
              </w:rPr>
              <w:t xml:space="preserve">lgebra I in </w:t>
            </w:r>
            <w:r w:rsidR="00283A12">
              <w:rPr>
                <w:rFonts w:asciiTheme="minorHAnsi" w:hAnsiTheme="minorHAnsi"/>
                <w:color w:val="auto"/>
              </w:rPr>
              <w:t>g</w:t>
            </w:r>
            <w:r w:rsidR="00C3653C" w:rsidRPr="00C3653C">
              <w:rPr>
                <w:rFonts w:asciiTheme="minorHAnsi" w:hAnsiTheme="minorHAnsi"/>
                <w:color w:val="auto"/>
              </w:rPr>
              <w:t xml:space="preserve">rade 8 and </w:t>
            </w:r>
            <w:r w:rsidR="00283A12">
              <w:rPr>
                <w:rFonts w:asciiTheme="minorHAnsi" w:hAnsiTheme="minorHAnsi"/>
                <w:color w:val="auto"/>
              </w:rPr>
              <w:t>p</w:t>
            </w:r>
            <w:r w:rsidR="00C3653C" w:rsidRPr="00C3653C">
              <w:rPr>
                <w:rFonts w:asciiTheme="minorHAnsi" w:hAnsiTheme="minorHAnsi"/>
                <w:color w:val="auto"/>
              </w:rPr>
              <w:t xml:space="preserve">athways to </w:t>
            </w:r>
            <w:r w:rsidR="00283A12">
              <w:rPr>
                <w:rFonts w:asciiTheme="minorHAnsi" w:hAnsiTheme="minorHAnsi"/>
                <w:color w:val="auto"/>
              </w:rPr>
              <w:t>a</w:t>
            </w:r>
            <w:r w:rsidR="00C3653C" w:rsidRPr="00C3653C">
              <w:rPr>
                <w:rFonts w:asciiTheme="minorHAnsi" w:hAnsiTheme="minorHAnsi"/>
                <w:color w:val="auto"/>
              </w:rPr>
              <w:t xml:space="preserve">dvanced </w:t>
            </w:r>
            <w:r w:rsidR="00283A12">
              <w:rPr>
                <w:rFonts w:asciiTheme="minorHAnsi" w:hAnsiTheme="minorHAnsi"/>
                <w:color w:val="auto"/>
              </w:rPr>
              <w:t>c</w:t>
            </w:r>
            <w:r w:rsidR="00C3653C" w:rsidRPr="00C3653C">
              <w:rPr>
                <w:rFonts w:asciiTheme="minorHAnsi" w:hAnsiTheme="minorHAnsi"/>
                <w:color w:val="auto"/>
              </w:rPr>
              <w:t xml:space="preserve">ourses, such as </w:t>
            </w:r>
            <w:r w:rsidR="00283A12">
              <w:rPr>
                <w:rFonts w:asciiTheme="minorHAnsi" w:hAnsiTheme="minorHAnsi"/>
                <w:color w:val="auto"/>
              </w:rPr>
              <w:t>c</w:t>
            </w:r>
            <w:r w:rsidR="00C3653C" w:rsidRPr="00C3653C">
              <w:rPr>
                <w:rFonts w:asciiTheme="minorHAnsi" w:hAnsiTheme="minorHAnsi"/>
                <w:color w:val="auto"/>
              </w:rPr>
              <w:t>alculus by the end of grade 12</w:t>
            </w:r>
            <w:bookmarkEnd w:id="1"/>
          </w:p>
        </w:tc>
      </w:tr>
      <w:tr w:rsidR="009C35B3" w:rsidRPr="002E4E8C" w14:paraId="18192A9D" w14:textId="77777777" w:rsidTr="00D74630">
        <w:tc>
          <w:tcPr>
            <w:tcW w:w="13068" w:type="dxa"/>
            <w:tcBorders>
              <w:bottom w:val="single" w:sz="4" w:space="0" w:color="auto"/>
            </w:tcBorders>
          </w:tcPr>
          <w:p w14:paraId="18192A8E" w14:textId="77777777" w:rsidR="009C35B3" w:rsidRPr="002E4E8C" w:rsidRDefault="009C35B3" w:rsidP="009C35B3">
            <w:pPr>
              <w:rPr>
                <w:b/>
                <w:sz w:val="24"/>
                <w:szCs w:val="24"/>
              </w:rPr>
            </w:pPr>
            <w:r w:rsidRPr="002E4E8C">
              <w:rPr>
                <w:b/>
                <w:sz w:val="24"/>
                <w:szCs w:val="24"/>
              </w:rPr>
              <w:t>Why this issue is important:</w:t>
            </w:r>
          </w:p>
          <w:p w14:paraId="18192A8F" w14:textId="77777777" w:rsidR="00C3653C" w:rsidRPr="00C3653C" w:rsidRDefault="00C3653C" w:rsidP="00C3653C">
            <w:pPr>
              <w:rPr>
                <w:sz w:val="24"/>
                <w:szCs w:val="24"/>
              </w:rPr>
            </w:pPr>
            <w:r w:rsidRPr="00C3653C">
              <w:rPr>
                <w:sz w:val="24"/>
                <w:szCs w:val="24"/>
              </w:rPr>
              <w:t>The Massachusetts Curriculum Framework for Mathematics represents an opportunity for districts to revisit and plan course sequences in middle and high school mathematics along with educators, middle and high school guidance counselors, stakeholders, including parents, and mathematics leaders. To help inform these decisions, the following information should be considered:</w:t>
            </w:r>
          </w:p>
          <w:p w14:paraId="18192A90" w14:textId="77777777" w:rsidR="00C3653C" w:rsidRPr="00C3653C" w:rsidRDefault="009C6428" w:rsidP="00C3653C">
            <w:pPr>
              <w:numPr>
                <w:ilvl w:val="0"/>
                <w:numId w:val="11"/>
              </w:numPr>
              <w:rPr>
                <w:sz w:val="24"/>
                <w:szCs w:val="24"/>
              </w:rPr>
            </w:pPr>
            <w:r>
              <w:rPr>
                <w:sz w:val="24"/>
                <w:szCs w:val="24"/>
              </w:rPr>
              <w:t>T</w:t>
            </w:r>
            <w:r w:rsidR="00C3653C" w:rsidRPr="00C3653C">
              <w:rPr>
                <w:sz w:val="24"/>
                <w:szCs w:val="24"/>
              </w:rPr>
              <w:t>he rigor of both the grade 8 and High School Model Course Algebra I standards;</w:t>
            </w:r>
          </w:p>
          <w:p w14:paraId="18192A91" w14:textId="77777777" w:rsidR="00C3653C" w:rsidRPr="00C3653C" w:rsidRDefault="009C6428" w:rsidP="00C3653C">
            <w:pPr>
              <w:numPr>
                <w:ilvl w:val="0"/>
                <w:numId w:val="11"/>
              </w:numPr>
              <w:rPr>
                <w:sz w:val="24"/>
                <w:szCs w:val="24"/>
              </w:rPr>
            </w:pPr>
            <w:r>
              <w:rPr>
                <w:sz w:val="24"/>
                <w:szCs w:val="24"/>
              </w:rPr>
              <w:t>T</w:t>
            </w:r>
            <w:r w:rsidR="00C3653C" w:rsidRPr="00C3653C">
              <w:rPr>
                <w:sz w:val="24"/>
                <w:szCs w:val="24"/>
              </w:rPr>
              <w:t xml:space="preserve">he offering of the High School Model Algebra I course standards in middle school to students for whom these standards are appropriate; and </w:t>
            </w:r>
          </w:p>
          <w:p w14:paraId="18192A92" w14:textId="77777777" w:rsidR="00C3653C" w:rsidRDefault="009C6428" w:rsidP="00C3653C">
            <w:pPr>
              <w:numPr>
                <w:ilvl w:val="0"/>
                <w:numId w:val="11"/>
              </w:numPr>
              <w:rPr>
                <w:sz w:val="24"/>
                <w:szCs w:val="24"/>
              </w:rPr>
            </w:pPr>
            <w:r>
              <w:rPr>
                <w:sz w:val="24"/>
                <w:szCs w:val="24"/>
              </w:rPr>
              <w:t>O</w:t>
            </w:r>
            <w:r w:rsidR="00C3653C" w:rsidRPr="00C3653C">
              <w:rPr>
                <w:sz w:val="24"/>
                <w:szCs w:val="24"/>
              </w:rPr>
              <w:t xml:space="preserve">ptions for high school pathways that accelerate </w:t>
            </w:r>
            <w:r w:rsidR="00C86BE4">
              <w:rPr>
                <w:sz w:val="24"/>
                <w:szCs w:val="24"/>
              </w:rPr>
              <w:t xml:space="preserve">learning </w:t>
            </w:r>
            <w:r w:rsidR="00C3653C" w:rsidRPr="00C3653C">
              <w:rPr>
                <w:sz w:val="24"/>
                <w:szCs w:val="24"/>
              </w:rPr>
              <w:t>starting in grade 9 to allow students to reach advanced mathematics courses such as Calculus by grade 12.</w:t>
            </w:r>
          </w:p>
          <w:p w14:paraId="18192A93" w14:textId="77777777" w:rsidR="00156B36" w:rsidRPr="00C3653C" w:rsidRDefault="00156B36" w:rsidP="00156B36">
            <w:pPr>
              <w:ind w:left="768"/>
              <w:rPr>
                <w:sz w:val="24"/>
                <w:szCs w:val="24"/>
              </w:rPr>
            </w:pPr>
          </w:p>
          <w:p w14:paraId="18192A94" w14:textId="77777777" w:rsidR="00156B36" w:rsidRDefault="00156B36" w:rsidP="00156B36">
            <w:pPr>
              <w:rPr>
                <w:sz w:val="24"/>
                <w:szCs w:val="24"/>
              </w:rPr>
            </w:pPr>
            <w:r w:rsidRPr="00C86BE4">
              <w:rPr>
                <w:sz w:val="24"/>
                <w:szCs w:val="24"/>
              </w:rPr>
              <w:t>The</w:t>
            </w:r>
            <w:r w:rsidRPr="00156B36">
              <w:rPr>
                <w:sz w:val="24"/>
                <w:szCs w:val="24"/>
              </w:rPr>
              <w:t xml:space="preserve"> pre-kindergarten to grade 8 mathematics standards present a coherent progression of concepts and skills that will prepare students for the High School Model Algebra I course. The grade 8 standards are rigorous; students are expected to learn about linear relationships and equations and begin the study of functions and compare rational and irrational numbers. </w:t>
            </w:r>
            <w:r w:rsidR="00C86BE4">
              <w:rPr>
                <w:sz w:val="24"/>
                <w:szCs w:val="24"/>
              </w:rPr>
              <w:t xml:space="preserve">They also learn about two and three dimensional space and figures and apply the Pythagorean Theorem in problem solving. </w:t>
            </w:r>
            <w:r w:rsidRPr="00156B36">
              <w:rPr>
                <w:sz w:val="24"/>
                <w:szCs w:val="24"/>
              </w:rPr>
              <w:t xml:space="preserve">In addition, the statistics presented in the 2011 grade 8 standards are more sophisticated than those in our previous framework. Students will need to progress through the grade 8 mathematics standards in order to be prepared for the Model High School Algebra I course and standards. </w:t>
            </w:r>
          </w:p>
          <w:p w14:paraId="18192A95" w14:textId="77777777" w:rsidR="00156B36" w:rsidRPr="00156B36" w:rsidRDefault="00156B36" w:rsidP="00156B36">
            <w:pPr>
              <w:rPr>
                <w:sz w:val="24"/>
                <w:szCs w:val="24"/>
              </w:rPr>
            </w:pPr>
            <w:r w:rsidRPr="00156B36">
              <w:rPr>
                <w:sz w:val="24"/>
                <w:szCs w:val="24"/>
              </w:rPr>
              <w:lastRenderedPageBreak/>
              <w:t>Some students may master the standards designated for grade 8 in earlier grades. This would enable these students to take the High School Model Algebra I course in middle school. For those students ready to move at a more accelerated pace, one method is to compress the standards for any three consecutive grades into an accelerated 2-year pathway. The selection and placement of students into accelerated opportunities must be done carefully in o</w:t>
            </w:r>
            <w:r w:rsidR="009C6428">
              <w:rPr>
                <w:sz w:val="24"/>
                <w:szCs w:val="24"/>
              </w:rPr>
              <w:t>rder to ensure student success.</w:t>
            </w:r>
            <w:r w:rsidRPr="00156B36">
              <w:rPr>
                <w:sz w:val="24"/>
                <w:szCs w:val="24"/>
              </w:rPr>
              <w:t xml:space="preserve"> </w:t>
            </w:r>
          </w:p>
          <w:p w14:paraId="18192A96" w14:textId="77777777" w:rsidR="00156B36" w:rsidRPr="00156B36" w:rsidRDefault="00156B36" w:rsidP="00156B36">
            <w:pPr>
              <w:rPr>
                <w:sz w:val="24"/>
                <w:szCs w:val="24"/>
              </w:rPr>
            </w:pPr>
          </w:p>
          <w:p w14:paraId="18192A97" w14:textId="77777777" w:rsidR="00156B36" w:rsidRPr="00156B36" w:rsidRDefault="00156B36" w:rsidP="00156B36">
            <w:pPr>
              <w:rPr>
                <w:sz w:val="24"/>
                <w:szCs w:val="24"/>
              </w:rPr>
            </w:pPr>
            <w:r w:rsidRPr="00156B36">
              <w:rPr>
                <w:sz w:val="24"/>
                <w:szCs w:val="24"/>
              </w:rPr>
              <w:t>For students who study 8</w:t>
            </w:r>
            <w:r w:rsidRPr="00156B36">
              <w:rPr>
                <w:sz w:val="24"/>
                <w:szCs w:val="24"/>
                <w:vertAlign w:val="superscript"/>
              </w:rPr>
              <w:t>th</w:t>
            </w:r>
            <w:r w:rsidRPr="00156B36">
              <w:rPr>
                <w:sz w:val="24"/>
                <w:szCs w:val="24"/>
              </w:rPr>
              <w:t xml:space="preserve"> grade standards in grade 8, there are a variety of accelerated pathways that will lead them to advanced mathematics courses through the end of grade 12, such as Calculus. Some pathways will include advanced courses such as: the Model Precalculus course, the Model Advanced Quantitative Reasoning course, or courses not included in the </w:t>
            </w:r>
            <w:r w:rsidR="009C6428">
              <w:rPr>
                <w:sz w:val="24"/>
                <w:szCs w:val="24"/>
              </w:rPr>
              <w:t>F</w:t>
            </w:r>
            <w:r w:rsidRPr="00156B36">
              <w:rPr>
                <w:sz w:val="24"/>
                <w:szCs w:val="24"/>
              </w:rPr>
              <w:t xml:space="preserve">ramework, such as: Statistics, Discrete Mathematics, Linear Algebra, AP </w:t>
            </w:r>
            <w:r w:rsidR="009C6428">
              <w:rPr>
                <w:sz w:val="24"/>
                <w:szCs w:val="24"/>
              </w:rPr>
              <w:t>S</w:t>
            </w:r>
            <w:r w:rsidRPr="00156B36">
              <w:rPr>
                <w:sz w:val="24"/>
                <w:szCs w:val="24"/>
              </w:rPr>
              <w:t>tatistics, or AP Calculus.</w:t>
            </w:r>
          </w:p>
          <w:p w14:paraId="18192A98" w14:textId="77777777" w:rsidR="009C35B3" w:rsidRPr="002E4E8C" w:rsidRDefault="009C35B3" w:rsidP="009C35B3">
            <w:pPr>
              <w:rPr>
                <w:b/>
                <w:sz w:val="24"/>
                <w:szCs w:val="24"/>
              </w:rPr>
            </w:pPr>
          </w:p>
          <w:p w14:paraId="18192A99" w14:textId="77777777" w:rsidR="009C35B3" w:rsidRPr="002E4E8C" w:rsidRDefault="009C35B3" w:rsidP="009C35B3">
            <w:pPr>
              <w:rPr>
                <w:b/>
                <w:sz w:val="24"/>
                <w:szCs w:val="24"/>
              </w:rPr>
            </w:pPr>
            <w:r w:rsidRPr="002E4E8C">
              <w:rPr>
                <w:b/>
                <w:sz w:val="24"/>
                <w:szCs w:val="24"/>
              </w:rPr>
              <w:t xml:space="preserve">Recommendation: </w:t>
            </w:r>
          </w:p>
          <w:p w14:paraId="18192A9A" w14:textId="77777777" w:rsidR="00C44B5E" w:rsidRPr="00C44B5E" w:rsidRDefault="00C44B5E" w:rsidP="00C44B5E">
            <w:pPr>
              <w:pStyle w:val="ListParagraph"/>
              <w:numPr>
                <w:ilvl w:val="0"/>
                <w:numId w:val="15"/>
              </w:numPr>
              <w:rPr>
                <w:sz w:val="24"/>
                <w:szCs w:val="24"/>
              </w:rPr>
            </w:pPr>
            <w:r w:rsidRPr="00C44B5E">
              <w:rPr>
                <w:b/>
                <w:sz w:val="24"/>
                <w:szCs w:val="24"/>
              </w:rPr>
              <w:t xml:space="preserve">Update the Department’s 2011 Guidance Document </w:t>
            </w:r>
            <w:r w:rsidRPr="00C44B5E">
              <w:rPr>
                <w:sz w:val="24"/>
                <w:szCs w:val="24"/>
              </w:rPr>
              <w:t xml:space="preserve">titled: </w:t>
            </w:r>
            <w:r w:rsidRPr="00C44B5E">
              <w:rPr>
                <w:i/>
                <w:sz w:val="24"/>
                <w:szCs w:val="24"/>
              </w:rPr>
              <w:t xml:space="preserve">Making Decisions about Course Sequences and the High School Model Algebra I Course. </w:t>
            </w:r>
            <w:r w:rsidRPr="00C44B5E">
              <w:rPr>
                <w:sz w:val="24"/>
                <w:szCs w:val="24"/>
              </w:rPr>
              <w:t xml:space="preserve">This document presents information and resources to ground discussions and decision-making about students’ course sequences. Including this guidance in the </w:t>
            </w:r>
            <w:r w:rsidR="009C6428">
              <w:rPr>
                <w:sz w:val="24"/>
                <w:szCs w:val="24"/>
              </w:rPr>
              <w:t>F</w:t>
            </w:r>
            <w:r w:rsidRPr="00C44B5E">
              <w:rPr>
                <w:sz w:val="24"/>
                <w:szCs w:val="24"/>
              </w:rPr>
              <w:t xml:space="preserve">ramework will make it more accessible to educators and the education community. </w:t>
            </w:r>
          </w:p>
          <w:p w14:paraId="18192A9B" w14:textId="77777777" w:rsidR="00C44B5E" w:rsidRPr="00C44B5E" w:rsidRDefault="00C44B5E" w:rsidP="00C44B5E">
            <w:pPr>
              <w:pStyle w:val="ListParagraph"/>
              <w:numPr>
                <w:ilvl w:val="0"/>
                <w:numId w:val="8"/>
              </w:numPr>
              <w:rPr>
                <w:sz w:val="24"/>
                <w:szCs w:val="24"/>
              </w:rPr>
            </w:pPr>
            <w:r w:rsidRPr="00C44B5E">
              <w:rPr>
                <w:sz w:val="24"/>
                <w:szCs w:val="24"/>
              </w:rPr>
              <w:t xml:space="preserve">Include the guidance document in the High School </w:t>
            </w:r>
            <w:r w:rsidR="009C6428">
              <w:rPr>
                <w:sz w:val="24"/>
                <w:szCs w:val="24"/>
              </w:rPr>
              <w:t>s</w:t>
            </w:r>
            <w:r w:rsidRPr="00C44B5E">
              <w:rPr>
                <w:sz w:val="24"/>
                <w:szCs w:val="24"/>
              </w:rPr>
              <w:t xml:space="preserve">ection of the </w:t>
            </w:r>
            <w:r>
              <w:rPr>
                <w:sz w:val="24"/>
                <w:szCs w:val="24"/>
              </w:rPr>
              <w:t>revised</w:t>
            </w:r>
            <w:r w:rsidRPr="00C44B5E">
              <w:rPr>
                <w:sz w:val="24"/>
                <w:szCs w:val="24"/>
              </w:rPr>
              <w:t xml:space="preserve"> Mathematics Framework.</w:t>
            </w:r>
          </w:p>
          <w:p w14:paraId="18192A9C" w14:textId="77777777" w:rsidR="009C35B3" w:rsidRPr="002E4E8C" w:rsidRDefault="00C44B5E" w:rsidP="009C6428">
            <w:pPr>
              <w:pStyle w:val="ListParagraph"/>
              <w:numPr>
                <w:ilvl w:val="0"/>
                <w:numId w:val="8"/>
              </w:numPr>
              <w:rPr>
                <w:sz w:val="24"/>
                <w:szCs w:val="24"/>
              </w:rPr>
            </w:pPr>
            <w:r w:rsidRPr="00C44B5E">
              <w:rPr>
                <w:sz w:val="24"/>
                <w:szCs w:val="24"/>
              </w:rPr>
              <w:t xml:space="preserve">Revise the graphic of Algebra I and High School Course Pathways to include additional pathways for students pursuing varied careers and college paths. We are revising the graphic in this document that currently shows three pathways that all lead to calculus in grade 12. </w:t>
            </w:r>
            <w:r w:rsidRPr="00C44B5E">
              <w:rPr>
                <w:b/>
                <w:sz w:val="24"/>
                <w:szCs w:val="24"/>
              </w:rPr>
              <w:t>The first pathway</w:t>
            </w:r>
            <w:r w:rsidRPr="00C44B5E">
              <w:rPr>
                <w:sz w:val="24"/>
                <w:szCs w:val="24"/>
              </w:rPr>
              <w:t xml:space="preserve"> compacts </w:t>
            </w:r>
            <w:r>
              <w:rPr>
                <w:sz w:val="24"/>
                <w:szCs w:val="24"/>
              </w:rPr>
              <w:t xml:space="preserve">the standards for </w:t>
            </w:r>
            <w:r w:rsidRPr="00C44B5E">
              <w:rPr>
                <w:sz w:val="24"/>
                <w:szCs w:val="24"/>
              </w:rPr>
              <w:t xml:space="preserve">grade 6, </w:t>
            </w:r>
            <w:r w:rsidR="009C6428">
              <w:rPr>
                <w:sz w:val="24"/>
                <w:szCs w:val="24"/>
              </w:rPr>
              <w:t xml:space="preserve">grade </w:t>
            </w:r>
            <w:r w:rsidRPr="00C44B5E">
              <w:rPr>
                <w:sz w:val="24"/>
                <w:szCs w:val="24"/>
              </w:rPr>
              <w:t>7, and part of grade 8 so that students c</w:t>
            </w:r>
            <w:r>
              <w:rPr>
                <w:sz w:val="24"/>
                <w:szCs w:val="24"/>
              </w:rPr>
              <w:t>an</w:t>
            </w:r>
            <w:r w:rsidRPr="00C44B5E">
              <w:rPr>
                <w:sz w:val="24"/>
                <w:szCs w:val="24"/>
              </w:rPr>
              <w:t xml:space="preserve"> take grade 8 standards related to algebra and the Algebra I High School Model course standards in grade 8. </w:t>
            </w:r>
            <w:r w:rsidRPr="00C44B5E">
              <w:rPr>
                <w:b/>
                <w:sz w:val="24"/>
                <w:szCs w:val="24"/>
              </w:rPr>
              <w:t>The second pathway</w:t>
            </w:r>
            <w:r w:rsidRPr="00C44B5E">
              <w:rPr>
                <w:sz w:val="24"/>
                <w:szCs w:val="24"/>
              </w:rPr>
              <w:t xml:space="preserve"> doubles up </w:t>
            </w:r>
            <w:r>
              <w:rPr>
                <w:sz w:val="24"/>
                <w:szCs w:val="24"/>
              </w:rPr>
              <w:t xml:space="preserve">courses </w:t>
            </w:r>
            <w:r w:rsidRPr="00C44B5E">
              <w:rPr>
                <w:sz w:val="24"/>
                <w:szCs w:val="24"/>
              </w:rPr>
              <w:t>in high school</w:t>
            </w:r>
            <w:r>
              <w:rPr>
                <w:sz w:val="24"/>
                <w:szCs w:val="24"/>
              </w:rPr>
              <w:t>;</w:t>
            </w:r>
            <w:r w:rsidRPr="00C44B5E">
              <w:rPr>
                <w:sz w:val="24"/>
                <w:szCs w:val="24"/>
              </w:rPr>
              <w:t xml:space="preserve"> students in grade 9 take Algebra I and Geometry, then in grade 10 take Algebra II (and Geometry if they did not take Geometry in grade 9). </w:t>
            </w:r>
            <w:r w:rsidRPr="00C44B5E">
              <w:rPr>
                <w:b/>
                <w:sz w:val="24"/>
                <w:szCs w:val="24"/>
              </w:rPr>
              <w:t>The third pathway</w:t>
            </w:r>
            <w:r w:rsidRPr="00C44B5E">
              <w:rPr>
                <w:sz w:val="24"/>
                <w:szCs w:val="24"/>
              </w:rPr>
              <w:t xml:space="preserve"> is an enhanced pathway in high school</w:t>
            </w:r>
            <w:r>
              <w:rPr>
                <w:sz w:val="24"/>
                <w:szCs w:val="24"/>
              </w:rPr>
              <w:t>;</w:t>
            </w:r>
            <w:r w:rsidRPr="00C44B5E">
              <w:rPr>
                <w:sz w:val="24"/>
                <w:szCs w:val="24"/>
              </w:rPr>
              <w:t xml:space="preserve"> st</w:t>
            </w:r>
            <w:r>
              <w:rPr>
                <w:sz w:val="24"/>
                <w:szCs w:val="24"/>
              </w:rPr>
              <w:t>udents enter grade 9 and take</w:t>
            </w:r>
            <w:r w:rsidRPr="00C44B5E">
              <w:rPr>
                <w:sz w:val="24"/>
                <w:szCs w:val="24"/>
              </w:rPr>
              <w:t xml:space="preserve"> enhanced Algebra I in grade 9, enhanced Geometry in grade 10, enhanced Algebra II in grade 11 and Calculus in grade 12. (Precalculus standards are folded into the enhanced courses). We are revising this graphic to respond to students’ diverse interests</w:t>
            </w:r>
            <w:r w:rsidR="009C6428">
              <w:rPr>
                <w:sz w:val="24"/>
                <w:szCs w:val="24"/>
              </w:rPr>
              <w:t xml:space="preserve"> and</w:t>
            </w:r>
            <w:r w:rsidRPr="00C44B5E">
              <w:rPr>
                <w:sz w:val="24"/>
                <w:szCs w:val="24"/>
              </w:rPr>
              <w:t xml:space="preserve"> career and college plans and </w:t>
            </w:r>
            <w:r w:rsidRPr="00C44B5E">
              <w:rPr>
                <w:b/>
                <w:sz w:val="24"/>
                <w:szCs w:val="24"/>
              </w:rPr>
              <w:t>will add additional pathways that will lead to other advanced courses</w:t>
            </w:r>
            <w:r w:rsidRPr="00C44B5E">
              <w:rPr>
                <w:sz w:val="24"/>
                <w:szCs w:val="24"/>
              </w:rPr>
              <w:t>, such as Statistics and Advanced Quantitative Reasoning</w:t>
            </w:r>
            <w:r w:rsidR="009C35B3" w:rsidRPr="002E4E8C">
              <w:rPr>
                <w:sz w:val="24"/>
                <w:szCs w:val="24"/>
              </w:rPr>
              <w:t xml:space="preserve">. </w:t>
            </w:r>
          </w:p>
        </w:tc>
      </w:tr>
    </w:tbl>
    <w:tbl>
      <w:tblPr>
        <w:tblStyle w:val="TableGrid"/>
        <w:tblpPr w:leftFromText="180" w:rightFromText="180" w:vertAnchor="text" w:horzAnchor="margin" w:tblpY="-13"/>
        <w:tblW w:w="13068" w:type="dxa"/>
        <w:tblLayout w:type="fixed"/>
        <w:tblLook w:val="04A0" w:firstRow="1" w:lastRow="0" w:firstColumn="1" w:lastColumn="0" w:noHBand="0" w:noVBand="1"/>
      </w:tblPr>
      <w:tblGrid>
        <w:gridCol w:w="6534"/>
        <w:gridCol w:w="954"/>
        <w:gridCol w:w="5580"/>
      </w:tblGrid>
      <w:tr w:rsidR="009C35B3" w:rsidRPr="002E4E8C" w14:paraId="18192A9F" w14:textId="77777777" w:rsidTr="00D74630">
        <w:trPr>
          <w:trHeight w:val="288"/>
        </w:trPr>
        <w:tc>
          <w:tcPr>
            <w:tcW w:w="13068" w:type="dxa"/>
            <w:gridSpan w:val="3"/>
            <w:tcBorders>
              <w:top w:val="single" w:sz="4" w:space="0" w:color="auto"/>
            </w:tcBorders>
            <w:shd w:val="clear" w:color="auto" w:fill="FABF8F" w:themeFill="accent6" w:themeFillTint="99"/>
          </w:tcPr>
          <w:p w14:paraId="18192A9E" w14:textId="77777777" w:rsidR="009C35B3" w:rsidRPr="00C44B5E" w:rsidRDefault="00C44B5E" w:rsidP="00283A12">
            <w:pPr>
              <w:pStyle w:val="Heading1"/>
              <w:spacing w:before="0"/>
              <w:outlineLvl w:val="0"/>
              <w:rPr>
                <w:rFonts w:asciiTheme="minorHAnsi" w:hAnsiTheme="minorHAnsi"/>
                <w:color w:val="auto"/>
              </w:rPr>
            </w:pPr>
            <w:bookmarkStart w:id="2" w:name="_Toc464226410"/>
            <w:r w:rsidRPr="00C44B5E">
              <w:rPr>
                <w:rFonts w:asciiTheme="minorHAnsi" w:hAnsiTheme="minorHAnsi"/>
                <w:color w:val="auto"/>
              </w:rPr>
              <w:lastRenderedPageBreak/>
              <w:t xml:space="preserve">Examples of </w:t>
            </w:r>
            <w:r w:rsidR="00283A12">
              <w:rPr>
                <w:rFonts w:asciiTheme="minorHAnsi" w:hAnsiTheme="minorHAnsi"/>
                <w:color w:val="auto"/>
              </w:rPr>
              <w:t>p</w:t>
            </w:r>
            <w:r w:rsidRPr="00C44B5E">
              <w:rPr>
                <w:rFonts w:asciiTheme="minorHAnsi" w:hAnsiTheme="minorHAnsi"/>
                <w:color w:val="auto"/>
              </w:rPr>
              <w:t xml:space="preserve">roposed </w:t>
            </w:r>
            <w:r w:rsidR="00283A12">
              <w:rPr>
                <w:rFonts w:asciiTheme="minorHAnsi" w:hAnsiTheme="minorHAnsi"/>
                <w:color w:val="auto"/>
              </w:rPr>
              <w:t>r</w:t>
            </w:r>
            <w:r w:rsidRPr="00C44B5E">
              <w:rPr>
                <w:rFonts w:asciiTheme="minorHAnsi" w:hAnsiTheme="minorHAnsi"/>
                <w:color w:val="auto"/>
              </w:rPr>
              <w:t xml:space="preserve">evisions to </w:t>
            </w:r>
            <w:r w:rsidR="00283A12">
              <w:rPr>
                <w:rFonts w:asciiTheme="minorHAnsi" w:hAnsiTheme="minorHAnsi"/>
                <w:color w:val="auto"/>
              </w:rPr>
              <w:t>s</w:t>
            </w:r>
            <w:r w:rsidRPr="00C44B5E">
              <w:rPr>
                <w:rFonts w:asciiTheme="minorHAnsi" w:hAnsiTheme="minorHAnsi"/>
                <w:color w:val="auto"/>
              </w:rPr>
              <w:t>tandards</w:t>
            </w:r>
            <w:bookmarkEnd w:id="2"/>
          </w:p>
        </w:tc>
      </w:tr>
      <w:tr w:rsidR="009C35B3" w:rsidRPr="002E4E8C" w14:paraId="18192AA1" w14:textId="77777777" w:rsidTr="002204ED">
        <w:trPr>
          <w:trHeight w:val="288"/>
        </w:trPr>
        <w:tc>
          <w:tcPr>
            <w:tcW w:w="13068" w:type="dxa"/>
            <w:gridSpan w:val="3"/>
            <w:tcBorders>
              <w:bottom w:val="single" w:sz="4" w:space="0" w:color="auto"/>
            </w:tcBorders>
            <w:shd w:val="clear" w:color="auto" w:fill="FDE9D9" w:themeFill="accent6" w:themeFillTint="33"/>
          </w:tcPr>
          <w:p w14:paraId="18192AA0" w14:textId="77777777" w:rsidR="009C35B3" w:rsidRPr="005E7D79" w:rsidRDefault="00C44B5E" w:rsidP="00635BA8">
            <w:pPr>
              <w:pStyle w:val="Heading2"/>
              <w:spacing w:before="0"/>
              <w:outlineLvl w:val="1"/>
              <w:rPr>
                <w:rFonts w:asciiTheme="minorHAnsi" w:hAnsiTheme="minorHAnsi"/>
                <w:color w:val="auto"/>
              </w:rPr>
            </w:pPr>
            <w:bookmarkStart w:id="3" w:name="_Toc464226411"/>
            <w:r w:rsidRPr="005E7D79">
              <w:rPr>
                <w:rFonts w:asciiTheme="minorHAnsi" w:hAnsiTheme="minorHAnsi"/>
                <w:color w:val="auto"/>
              </w:rPr>
              <w:t>To increase coherence</w:t>
            </w:r>
            <w:bookmarkEnd w:id="3"/>
          </w:p>
        </w:tc>
      </w:tr>
      <w:tr w:rsidR="00283A12" w:rsidRPr="002E4E8C" w14:paraId="18192AA3" w14:textId="77777777" w:rsidTr="002204ED">
        <w:trPr>
          <w:trHeight w:val="288"/>
        </w:trPr>
        <w:tc>
          <w:tcPr>
            <w:tcW w:w="13068" w:type="dxa"/>
            <w:gridSpan w:val="3"/>
            <w:tcBorders>
              <w:left w:val="single" w:sz="4" w:space="0" w:color="auto"/>
              <w:bottom w:val="single" w:sz="4" w:space="0" w:color="BFBFBF" w:themeColor="background1" w:themeShade="BF"/>
            </w:tcBorders>
          </w:tcPr>
          <w:p w14:paraId="18192AA2" w14:textId="77777777" w:rsidR="00283A12" w:rsidRPr="00283A12" w:rsidRDefault="00635BA8" w:rsidP="00283A12">
            <w:pPr>
              <w:jc w:val="center"/>
              <w:rPr>
                <w:sz w:val="24"/>
                <w:szCs w:val="24"/>
              </w:rPr>
            </w:pPr>
            <w:r>
              <w:rPr>
                <w:b/>
                <w:sz w:val="24"/>
                <w:szCs w:val="24"/>
              </w:rPr>
              <w:t xml:space="preserve">Proposed Revisions to </w:t>
            </w:r>
            <w:r w:rsidR="00283A12">
              <w:rPr>
                <w:b/>
                <w:sz w:val="24"/>
                <w:szCs w:val="24"/>
              </w:rPr>
              <w:t>Standards Related to Patterns in Counting</w:t>
            </w:r>
          </w:p>
        </w:tc>
      </w:tr>
      <w:tr w:rsidR="00283A12" w:rsidRPr="002E4E8C" w14:paraId="18192AB8" w14:textId="77777777" w:rsidTr="002204ED">
        <w:trPr>
          <w:trHeight w:val="1958"/>
        </w:trPr>
        <w:tc>
          <w:tcPr>
            <w:tcW w:w="65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18192AA4" w14:textId="77777777" w:rsidR="00283A12" w:rsidRDefault="00283A12" w:rsidP="00283A12">
            <w:pPr>
              <w:rPr>
                <w:b/>
                <w:sz w:val="24"/>
                <w:szCs w:val="24"/>
              </w:rPr>
            </w:pPr>
            <w:r>
              <w:rPr>
                <w:b/>
                <w:sz w:val="24"/>
                <w:szCs w:val="24"/>
              </w:rPr>
              <w:t>Existing:</w:t>
            </w:r>
          </w:p>
          <w:p w14:paraId="18192AA5" w14:textId="77777777" w:rsidR="00283A12" w:rsidRDefault="00283A12" w:rsidP="00283A12">
            <w:pPr>
              <w:rPr>
                <w:sz w:val="24"/>
                <w:szCs w:val="24"/>
              </w:rPr>
            </w:pPr>
            <w:r>
              <w:rPr>
                <w:b/>
                <w:sz w:val="24"/>
                <w:szCs w:val="24"/>
              </w:rPr>
              <w:t>Kindergarten Counting and Cardinality Standard 1</w:t>
            </w:r>
            <w:r w:rsidRPr="002E4E8C">
              <w:rPr>
                <w:sz w:val="24"/>
                <w:szCs w:val="24"/>
              </w:rPr>
              <w:t xml:space="preserve"> </w:t>
            </w:r>
          </w:p>
          <w:p w14:paraId="18192AA6" w14:textId="77777777" w:rsidR="00283A12" w:rsidRDefault="00283A12" w:rsidP="00283A12">
            <w:pPr>
              <w:rPr>
                <w:sz w:val="24"/>
                <w:szCs w:val="24"/>
              </w:rPr>
            </w:pPr>
            <w:r>
              <w:rPr>
                <w:sz w:val="24"/>
                <w:szCs w:val="24"/>
              </w:rPr>
              <w:t xml:space="preserve">K.CC.1. </w:t>
            </w:r>
            <w:r w:rsidRPr="00283A12">
              <w:rPr>
                <w:sz w:val="24"/>
                <w:szCs w:val="24"/>
              </w:rPr>
              <w:t>Count to 100 by ones and by tens.</w:t>
            </w:r>
          </w:p>
          <w:p w14:paraId="18192AA7" w14:textId="77777777" w:rsidR="00283A12" w:rsidRDefault="00283A12" w:rsidP="00283A12">
            <w:pPr>
              <w:rPr>
                <w:sz w:val="24"/>
                <w:szCs w:val="24"/>
              </w:rPr>
            </w:pPr>
          </w:p>
          <w:p w14:paraId="18192AA8" w14:textId="77777777" w:rsidR="00283A12" w:rsidRDefault="00283A12" w:rsidP="00283A12">
            <w:pPr>
              <w:rPr>
                <w:b/>
                <w:sz w:val="24"/>
                <w:szCs w:val="24"/>
              </w:rPr>
            </w:pPr>
          </w:p>
          <w:p w14:paraId="18192AA9" w14:textId="77777777" w:rsidR="00283A12" w:rsidRDefault="00283A12" w:rsidP="00283A12">
            <w:pPr>
              <w:rPr>
                <w:b/>
                <w:sz w:val="24"/>
                <w:szCs w:val="24"/>
              </w:rPr>
            </w:pPr>
            <w:r>
              <w:rPr>
                <w:b/>
                <w:sz w:val="24"/>
                <w:szCs w:val="24"/>
              </w:rPr>
              <w:t>Grade 2 Operations and Algebraic Thinking Standard 3</w:t>
            </w:r>
          </w:p>
          <w:p w14:paraId="18192AAA" w14:textId="77777777" w:rsidR="00283A12" w:rsidRDefault="00B93120" w:rsidP="00283A12">
            <w:pPr>
              <w:rPr>
                <w:sz w:val="24"/>
                <w:szCs w:val="24"/>
              </w:rPr>
            </w:pPr>
            <w:r>
              <w:rPr>
                <w:sz w:val="24"/>
                <w:szCs w:val="24"/>
              </w:rPr>
              <w:t xml:space="preserve">2.OA.3. </w:t>
            </w:r>
            <w:r w:rsidR="00283A12" w:rsidRPr="00283A12">
              <w:rPr>
                <w:sz w:val="24"/>
                <w:szCs w:val="24"/>
              </w:rPr>
              <w:t xml:space="preserve">Determine whether a group of objects (up to 20) has an odd or even number of members, e.g. by pairing objects or counting them by </w:t>
            </w:r>
            <w:r w:rsidR="009C6428">
              <w:rPr>
                <w:sz w:val="24"/>
                <w:szCs w:val="24"/>
              </w:rPr>
              <w:t>two</w:t>
            </w:r>
            <w:r w:rsidR="00283A12" w:rsidRPr="00283A12">
              <w:rPr>
                <w:sz w:val="24"/>
                <w:szCs w:val="24"/>
              </w:rPr>
              <w:t>s, write an equation to express an even number as a sum of two equal addends</w:t>
            </w:r>
            <w:r w:rsidR="00283A12">
              <w:rPr>
                <w:sz w:val="24"/>
                <w:szCs w:val="24"/>
              </w:rPr>
              <w:t>.</w:t>
            </w:r>
          </w:p>
          <w:p w14:paraId="18192AAB" w14:textId="77777777" w:rsidR="00283A12" w:rsidRDefault="00283A12" w:rsidP="00283A12">
            <w:pPr>
              <w:rPr>
                <w:sz w:val="24"/>
                <w:szCs w:val="24"/>
              </w:rPr>
            </w:pPr>
          </w:p>
          <w:p w14:paraId="18192AAC" w14:textId="77777777" w:rsidR="00283A12" w:rsidRDefault="00283A12" w:rsidP="00283A12">
            <w:pPr>
              <w:rPr>
                <w:sz w:val="24"/>
                <w:szCs w:val="24"/>
              </w:rPr>
            </w:pPr>
          </w:p>
          <w:p w14:paraId="18192AAD" w14:textId="77777777" w:rsidR="00283A12" w:rsidRPr="00283A12" w:rsidRDefault="00283A12" w:rsidP="00283A12">
            <w:pPr>
              <w:rPr>
                <w:b/>
                <w:sz w:val="24"/>
                <w:szCs w:val="24"/>
              </w:rPr>
            </w:pPr>
            <w:r w:rsidRPr="00283A12">
              <w:rPr>
                <w:b/>
                <w:sz w:val="24"/>
                <w:szCs w:val="24"/>
              </w:rPr>
              <w:t>Grade 2 Number and Operations in Base 10</w:t>
            </w:r>
            <w:r>
              <w:rPr>
                <w:b/>
                <w:sz w:val="24"/>
                <w:szCs w:val="24"/>
              </w:rPr>
              <w:t xml:space="preserve"> Standard 2</w:t>
            </w:r>
            <w:r w:rsidRPr="00283A12">
              <w:rPr>
                <w:b/>
                <w:sz w:val="24"/>
                <w:szCs w:val="24"/>
              </w:rPr>
              <w:t xml:space="preserve"> </w:t>
            </w:r>
          </w:p>
          <w:p w14:paraId="18192AAE" w14:textId="77777777" w:rsidR="00283A12" w:rsidRPr="009C6428" w:rsidRDefault="00B93120" w:rsidP="00283A12">
            <w:pPr>
              <w:rPr>
                <w:sz w:val="24"/>
                <w:szCs w:val="24"/>
              </w:rPr>
            </w:pPr>
            <w:r>
              <w:rPr>
                <w:sz w:val="24"/>
                <w:szCs w:val="24"/>
              </w:rPr>
              <w:t xml:space="preserve">2.NBT.2. </w:t>
            </w:r>
            <w:r w:rsidRPr="00B93120">
              <w:rPr>
                <w:sz w:val="24"/>
                <w:szCs w:val="24"/>
              </w:rPr>
              <w:t xml:space="preserve">Count within 1000; skip count by </w:t>
            </w:r>
            <w:r w:rsidR="009C6428">
              <w:rPr>
                <w:sz w:val="24"/>
                <w:szCs w:val="24"/>
              </w:rPr>
              <w:t>fives</w:t>
            </w:r>
            <w:r w:rsidRPr="00B93120">
              <w:rPr>
                <w:sz w:val="24"/>
                <w:szCs w:val="24"/>
              </w:rPr>
              <w:t xml:space="preserve">, </w:t>
            </w:r>
            <w:r w:rsidR="009C6428">
              <w:rPr>
                <w:sz w:val="24"/>
                <w:szCs w:val="24"/>
              </w:rPr>
              <w:t>tens</w:t>
            </w:r>
            <w:r w:rsidRPr="00B93120">
              <w:rPr>
                <w:sz w:val="24"/>
                <w:szCs w:val="24"/>
              </w:rPr>
              <w:t xml:space="preserve">, and </w:t>
            </w:r>
            <w:r w:rsidR="009C6428">
              <w:rPr>
                <w:sz w:val="24"/>
                <w:szCs w:val="24"/>
              </w:rPr>
              <w:t>hundreds</w:t>
            </w:r>
            <w:r w:rsidRPr="00B93120">
              <w:rPr>
                <w:sz w:val="24"/>
                <w:szCs w:val="24"/>
              </w:rPr>
              <w:t>.</w:t>
            </w:r>
          </w:p>
        </w:tc>
        <w:tc>
          <w:tcPr>
            <w:tcW w:w="6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192AAF" w14:textId="77777777" w:rsidR="00283A12" w:rsidRDefault="00283A12" w:rsidP="00283A12">
            <w:pPr>
              <w:rPr>
                <w:b/>
                <w:sz w:val="24"/>
                <w:szCs w:val="24"/>
              </w:rPr>
            </w:pPr>
            <w:r>
              <w:rPr>
                <w:b/>
                <w:sz w:val="24"/>
                <w:szCs w:val="24"/>
              </w:rPr>
              <w:t>Proposed:</w:t>
            </w:r>
          </w:p>
          <w:p w14:paraId="18192AB0" w14:textId="77777777" w:rsidR="00283A12" w:rsidRPr="002E4E8C" w:rsidRDefault="00283A12" w:rsidP="00283A12">
            <w:pPr>
              <w:rPr>
                <w:b/>
                <w:sz w:val="24"/>
                <w:szCs w:val="24"/>
              </w:rPr>
            </w:pPr>
            <w:r>
              <w:rPr>
                <w:b/>
                <w:sz w:val="24"/>
                <w:szCs w:val="24"/>
              </w:rPr>
              <w:t>Kindergarten Counting and Cardinality Standard 1</w:t>
            </w:r>
          </w:p>
          <w:p w14:paraId="18192AB1" w14:textId="77777777" w:rsidR="00283A12" w:rsidRDefault="00283A12" w:rsidP="00283A12">
            <w:pPr>
              <w:rPr>
                <w:sz w:val="24"/>
                <w:szCs w:val="24"/>
                <w:shd w:val="clear" w:color="auto" w:fill="FBD4B4" w:themeFill="accent6" w:themeFillTint="66"/>
              </w:rPr>
            </w:pPr>
            <w:r>
              <w:rPr>
                <w:sz w:val="24"/>
                <w:szCs w:val="24"/>
              </w:rPr>
              <w:t xml:space="preserve">K.CC.1. </w:t>
            </w:r>
            <w:r w:rsidRPr="00283A12">
              <w:rPr>
                <w:sz w:val="24"/>
                <w:szCs w:val="24"/>
              </w:rPr>
              <w:t xml:space="preserve">Count to 100 by ones and by tens. </w:t>
            </w:r>
            <w:r w:rsidRPr="00283A12">
              <w:rPr>
                <w:sz w:val="24"/>
                <w:szCs w:val="24"/>
                <w:shd w:val="clear" w:color="auto" w:fill="FBD4B4" w:themeFill="accent6" w:themeFillTint="66"/>
              </w:rPr>
              <w:t>Recognize the “one more” and “ten more” pattern of counting</w:t>
            </w:r>
          </w:p>
          <w:p w14:paraId="18192AB2" w14:textId="77777777" w:rsidR="00283A12" w:rsidRDefault="00283A12" w:rsidP="00283A12">
            <w:pPr>
              <w:rPr>
                <w:sz w:val="24"/>
                <w:szCs w:val="24"/>
                <w:shd w:val="clear" w:color="auto" w:fill="FBD4B4" w:themeFill="accent6" w:themeFillTint="66"/>
              </w:rPr>
            </w:pPr>
          </w:p>
          <w:p w14:paraId="18192AB3" w14:textId="77777777" w:rsidR="00283A12" w:rsidRPr="00283A12" w:rsidRDefault="00283A12" w:rsidP="00283A12">
            <w:pPr>
              <w:rPr>
                <w:b/>
                <w:sz w:val="24"/>
                <w:szCs w:val="24"/>
              </w:rPr>
            </w:pPr>
            <w:r>
              <w:rPr>
                <w:b/>
                <w:sz w:val="24"/>
                <w:szCs w:val="24"/>
              </w:rPr>
              <w:t>Grade 2 Operations and Algebraic Thinking Standard 3</w:t>
            </w:r>
          </w:p>
          <w:p w14:paraId="18192AB4" w14:textId="77777777" w:rsidR="00283A12" w:rsidRDefault="00B93120" w:rsidP="00283A12">
            <w:pPr>
              <w:rPr>
                <w:sz w:val="24"/>
                <w:szCs w:val="24"/>
              </w:rPr>
            </w:pPr>
            <w:r>
              <w:rPr>
                <w:sz w:val="24"/>
                <w:szCs w:val="24"/>
                <w:shd w:val="clear" w:color="auto" w:fill="FBD4B4" w:themeFill="accent6" w:themeFillTint="66"/>
              </w:rPr>
              <w:t xml:space="preserve">2.OA.3 </w:t>
            </w:r>
            <w:r w:rsidR="00283A12" w:rsidRPr="00283A12">
              <w:rPr>
                <w:sz w:val="24"/>
                <w:szCs w:val="24"/>
                <w:shd w:val="clear" w:color="auto" w:fill="FBD4B4" w:themeFill="accent6" w:themeFillTint="66"/>
              </w:rPr>
              <w:t>Identify patterns in odd and even numbers using concrete models or drawings.</w:t>
            </w:r>
            <w:r w:rsidR="00283A12" w:rsidRPr="00283A12">
              <w:rPr>
                <w:sz w:val="24"/>
                <w:szCs w:val="24"/>
              </w:rPr>
              <w:t xml:space="preserve"> Determine whether a group of objects (up to 20) has a</w:t>
            </w:r>
            <w:r w:rsidR="00320BA5">
              <w:rPr>
                <w:sz w:val="24"/>
                <w:szCs w:val="24"/>
              </w:rPr>
              <w:t>n odd or even number of members</w:t>
            </w:r>
            <w:r w:rsidR="00283A12" w:rsidRPr="00283A12">
              <w:rPr>
                <w:sz w:val="24"/>
                <w:szCs w:val="24"/>
              </w:rPr>
              <w:t xml:space="preserve">, e.g. by pairing objects or counting them by </w:t>
            </w:r>
            <w:r w:rsidR="009C6428">
              <w:rPr>
                <w:sz w:val="24"/>
                <w:szCs w:val="24"/>
              </w:rPr>
              <w:t>twos</w:t>
            </w:r>
            <w:r w:rsidR="00283A12" w:rsidRPr="00283A12">
              <w:rPr>
                <w:sz w:val="24"/>
                <w:szCs w:val="24"/>
              </w:rPr>
              <w:t>, write an equation to express an even number as a sum of two equal addends.</w:t>
            </w:r>
          </w:p>
          <w:p w14:paraId="18192AB5" w14:textId="77777777" w:rsidR="00283A12" w:rsidRDefault="00283A12" w:rsidP="00283A12">
            <w:pPr>
              <w:rPr>
                <w:sz w:val="24"/>
                <w:szCs w:val="24"/>
              </w:rPr>
            </w:pPr>
          </w:p>
          <w:p w14:paraId="18192AB6" w14:textId="77777777" w:rsidR="00283A12" w:rsidRPr="00283A12" w:rsidRDefault="00283A12" w:rsidP="00283A12">
            <w:pPr>
              <w:rPr>
                <w:b/>
                <w:sz w:val="24"/>
                <w:szCs w:val="24"/>
              </w:rPr>
            </w:pPr>
            <w:r w:rsidRPr="00283A12">
              <w:rPr>
                <w:b/>
                <w:sz w:val="24"/>
                <w:szCs w:val="24"/>
              </w:rPr>
              <w:t>Grade 2 Number and Operations in Base 10</w:t>
            </w:r>
            <w:r>
              <w:rPr>
                <w:b/>
                <w:sz w:val="24"/>
                <w:szCs w:val="24"/>
              </w:rPr>
              <w:t xml:space="preserve"> Standard 2</w:t>
            </w:r>
            <w:r w:rsidRPr="00283A12">
              <w:rPr>
                <w:b/>
                <w:sz w:val="24"/>
                <w:szCs w:val="24"/>
              </w:rPr>
              <w:t xml:space="preserve"> </w:t>
            </w:r>
          </w:p>
          <w:p w14:paraId="18192AB7" w14:textId="77777777" w:rsidR="00283A12" w:rsidRPr="00B93120" w:rsidRDefault="00B93120" w:rsidP="009C6428">
            <w:pPr>
              <w:rPr>
                <w:sz w:val="24"/>
                <w:szCs w:val="24"/>
              </w:rPr>
            </w:pPr>
            <w:r w:rsidRPr="00B93120">
              <w:rPr>
                <w:sz w:val="24"/>
                <w:szCs w:val="24"/>
              </w:rPr>
              <w:t xml:space="preserve">2.NBT.2. </w:t>
            </w:r>
            <w:r w:rsidRPr="00B93120">
              <w:rPr>
                <w:sz w:val="24"/>
                <w:szCs w:val="24"/>
                <w:shd w:val="clear" w:color="auto" w:fill="FBD4B4" w:themeFill="accent6" w:themeFillTint="66"/>
              </w:rPr>
              <w:t>Identify patterns in skip counting.</w:t>
            </w:r>
            <w:r w:rsidRPr="00B93120">
              <w:rPr>
                <w:sz w:val="24"/>
                <w:szCs w:val="24"/>
              </w:rPr>
              <w:t xml:space="preserve"> Count within 1000; skip count by </w:t>
            </w:r>
            <w:r w:rsidR="009C6428">
              <w:rPr>
                <w:sz w:val="24"/>
                <w:szCs w:val="24"/>
              </w:rPr>
              <w:t>fives</w:t>
            </w:r>
            <w:r w:rsidRPr="00B93120">
              <w:rPr>
                <w:sz w:val="24"/>
                <w:szCs w:val="24"/>
              </w:rPr>
              <w:t xml:space="preserve">, </w:t>
            </w:r>
            <w:r w:rsidR="009C6428">
              <w:rPr>
                <w:sz w:val="24"/>
                <w:szCs w:val="24"/>
              </w:rPr>
              <w:t>tens</w:t>
            </w:r>
            <w:r w:rsidRPr="00B93120">
              <w:rPr>
                <w:sz w:val="24"/>
                <w:szCs w:val="24"/>
              </w:rPr>
              <w:t xml:space="preserve">, and </w:t>
            </w:r>
            <w:r w:rsidR="009C6428">
              <w:rPr>
                <w:sz w:val="24"/>
                <w:szCs w:val="24"/>
              </w:rPr>
              <w:t>hundreds</w:t>
            </w:r>
            <w:r w:rsidRPr="00B93120">
              <w:rPr>
                <w:sz w:val="24"/>
                <w:szCs w:val="24"/>
              </w:rPr>
              <w:t>.</w:t>
            </w:r>
          </w:p>
        </w:tc>
      </w:tr>
      <w:tr w:rsidR="00B93120" w:rsidRPr="002E4E8C" w14:paraId="18192ABA" w14:textId="77777777" w:rsidTr="002204ED">
        <w:tc>
          <w:tcPr>
            <w:tcW w:w="13068" w:type="dxa"/>
            <w:gridSpan w:val="3"/>
            <w:tcBorders>
              <w:top w:val="single" w:sz="4" w:space="0" w:color="BFBFBF" w:themeColor="background1" w:themeShade="BF"/>
              <w:left w:val="single" w:sz="4" w:space="0" w:color="auto"/>
              <w:bottom w:val="single" w:sz="4" w:space="0" w:color="auto"/>
            </w:tcBorders>
            <w:shd w:val="clear" w:color="auto" w:fill="FDE9D9" w:themeFill="accent6" w:themeFillTint="33"/>
          </w:tcPr>
          <w:p w14:paraId="18192AB9" w14:textId="77777777" w:rsidR="00B93120" w:rsidRPr="00B93120" w:rsidRDefault="00B93120" w:rsidP="00283A12">
            <w:pPr>
              <w:rPr>
                <w:sz w:val="24"/>
                <w:szCs w:val="24"/>
              </w:rPr>
            </w:pPr>
            <w:r w:rsidRPr="00B93120">
              <w:rPr>
                <w:b/>
                <w:sz w:val="24"/>
                <w:szCs w:val="24"/>
              </w:rPr>
              <w:t>Rationale:</w:t>
            </w:r>
            <w:r w:rsidRPr="00B93120">
              <w:rPr>
                <w:sz w:val="24"/>
                <w:szCs w:val="24"/>
              </w:rPr>
              <w:t xml:space="preserve"> Recognizing patterns in numbers is key to mathematics</w:t>
            </w:r>
            <w:r w:rsidR="009C6428">
              <w:rPr>
                <w:sz w:val="24"/>
                <w:szCs w:val="24"/>
              </w:rPr>
              <w:t>,</w:t>
            </w:r>
            <w:r w:rsidRPr="00B93120">
              <w:rPr>
                <w:sz w:val="24"/>
                <w:szCs w:val="24"/>
              </w:rPr>
              <w:t xml:space="preserve"> including the practices of looking for regularity and looking for patterns or </w:t>
            </w:r>
            <w:r w:rsidR="009C6428">
              <w:rPr>
                <w:sz w:val="24"/>
                <w:szCs w:val="24"/>
              </w:rPr>
              <w:t>structure in our number system.</w:t>
            </w:r>
            <w:r w:rsidRPr="00B93120">
              <w:rPr>
                <w:sz w:val="24"/>
                <w:szCs w:val="24"/>
              </w:rPr>
              <w:t xml:space="preserve"> Looking for and finding patterns is foundational for algebraic thinking. These edits explicitly bring this learning progression to younger children while maintaining the critical focus on arithmetic in these early grades.  </w:t>
            </w:r>
          </w:p>
        </w:tc>
      </w:tr>
      <w:tr w:rsidR="005979C4" w:rsidRPr="002E4E8C" w14:paraId="18192AD6" w14:textId="77777777" w:rsidTr="00D74630">
        <w:tc>
          <w:tcPr>
            <w:tcW w:w="7488" w:type="dxa"/>
            <w:gridSpan w:val="2"/>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18192ABB" w14:textId="77777777" w:rsidR="005979C4" w:rsidRPr="002E4E8C" w:rsidRDefault="005979C4" w:rsidP="005979C4">
            <w:pPr>
              <w:rPr>
                <w:i/>
                <w:sz w:val="24"/>
                <w:szCs w:val="24"/>
              </w:rPr>
            </w:pPr>
            <w:r w:rsidRPr="002E4E8C">
              <w:rPr>
                <w:b/>
                <w:sz w:val="24"/>
                <w:szCs w:val="24"/>
              </w:rPr>
              <w:t xml:space="preserve">Proposed New </w:t>
            </w:r>
            <w:r>
              <w:rPr>
                <w:b/>
                <w:sz w:val="24"/>
                <w:szCs w:val="24"/>
              </w:rPr>
              <w:t xml:space="preserve">Glossary </w:t>
            </w:r>
            <w:r w:rsidRPr="002E4E8C">
              <w:rPr>
                <w:b/>
                <w:sz w:val="24"/>
                <w:szCs w:val="24"/>
              </w:rPr>
              <w:t>Entries</w:t>
            </w:r>
            <w:r w:rsidRPr="002E4E8C">
              <w:rPr>
                <w:i/>
                <w:sz w:val="24"/>
                <w:szCs w:val="24"/>
              </w:rPr>
              <w:t xml:space="preserve"> </w:t>
            </w:r>
          </w:p>
          <w:p w14:paraId="18192ABC" w14:textId="77777777" w:rsidR="005979C4" w:rsidRPr="00195FD2" w:rsidRDefault="005979C4" w:rsidP="005979C4">
            <w:pPr>
              <w:rPr>
                <w:rFonts w:cs="Times New Roman"/>
                <w:sz w:val="24"/>
                <w:szCs w:val="24"/>
              </w:rPr>
            </w:pPr>
            <w:r w:rsidRPr="00C86BE4">
              <w:rPr>
                <w:rFonts w:cs="Times New Roman"/>
                <w:b/>
                <w:sz w:val="24"/>
                <w:szCs w:val="24"/>
              </w:rPr>
              <w:t>Fluency</w:t>
            </w:r>
            <w:r>
              <w:rPr>
                <w:rFonts w:cs="Times New Roman"/>
                <w:sz w:val="24"/>
                <w:szCs w:val="24"/>
              </w:rPr>
              <w:t>:</w:t>
            </w:r>
            <w:r w:rsidRPr="00195FD2">
              <w:rPr>
                <w:rFonts w:cs="Times New Roman"/>
                <w:sz w:val="24"/>
                <w:szCs w:val="24"/>
              </w:rPr>
              <w:t xml:space="preserve"> Fluency is knowing how a number can be composed and decomposed and using that information to be flexible and efficient in solving problems. The best way to develop fluency is to develop number sense and to work with numbers in different ways using a variety of strategies. </w:t>
            </w:r>
            <w:r w:rsidR="009C6428">
              <w:rPr>
                <w:rFonts w:cs="Times New Roman"/>
                <w:sz w:val="24"/>
                <w:szCs w:val="24"/>
              </w:rPr>
              <w:t>(</w:t>
            </w:r>
            <w:r w:rsidRPr="00195FD2">
              <w:rPr>
                <w:rFonts w:cs="Times New Roman"/>
                <w:sz w:val="24"/>
                <w:szCs w:val="24"/>
              </w:rPr>
              <w:t>Parish.</w:t>
            </w:r>
            <w:r w:rsidR="009C6428">
              <w:rPr>
                <w:rFonts w:cs="Times New Roman"/>
                <w:sz w:val="24"/>
                <w:szCs w:val="24"/>
              </w:rPr>
              <w:t xml:space="preserve">, </w:t>
            </w:r>
            <w:r w:rsidRPr="00195FD2">
              <w:rPr>
                <w:rFonts w:cs="Times New Roman"/>
                <w:sz w:val="24"/>
                <w:szCs w:val="24"/>
              </w:rPr>
              <w:t>S. 2014. Number Talks: Helping Children Build Mental Math and Computational Strategies, Grades K</w:t>
            </w:r>
            <w:r w:rsidR="009C6428">
              <w:rPr>
                <w:rFonts w:cs="Times New Roman"/>
                <w:sz w:val="24"/>
                <w:szCs w:val="24"/>
              </w:rPr>
              <w:t>–</w:t>
            </w:r>
            <w:r w:rsidRPr="00195FD2">
              <w:rPr>
                <w:rFonts w:cs="Times New Roman"/>
                <w:sz w:val="24"/>
                <w:szCs w:val="24"/>
              </w:rPr>
              <w:t>5. Updated with Common Co</w:t>
            </w:r>
            <w:r w:rsidR="009C6428">
              <w:rPr>
                <w:rFonts w:cs="Times New Roman"/>
                <w:sz w:val="24"/>
                <w:szCs w:val="24"/>
              </w:rPr>
              <w:t>re Connections, Math Solutions.)</w:t>
            </w:r>
          </w:p>
          <w:p w14:paraId="18192ABD" w14:textId="77777777" w:rsidR="005979C4" w:rsidRPr="00195FD2" w:rsidRDefault="005979C4" w:rsidP="002204ED">
            <w:pPr>
              <w:rPr>
                <w:rFonts w:cs="Times New Roman"/>
                <w:sz w:val="24"/>
                <w:szCs w:val="24"/>
              </w:rPr>
            </w:pPr>
            <w:r w:rsidRPr="00C86BE4">
              <w:rPr>
                <w:rFonts w:cs="Times New Roman"/>
                <w:b/>
                <w:sz w:val="24"/>
                <w:szCs w:val="24"/>
              </w:rPr>
              <w:lastRenderedPageBreak/>
              <w:t xml:space="preserve">Know from </w:t>
            </w:r>
            <w:r>
              <w:rPr>
                <w:rFonts w:cs="Times New Roman"/>
                <w:b/>
                <w:sz w:val="24"/>
                <w:szCs w:val="24"/>
              </w:rPr>
              <w:t>M</w:t>
            </w:r>
            <w:r w:rsidRPr="00C86BE4">
              <w:rPr>
                <w:rFonts w:cs="Times New Roman"/>
                <w:b/>
                <w:sz w:val="24"/>
                <w:szCs w:val="24"/>
              </w:rPr>
              <w:t>emory:</w:t>
            </w:r>
            <w:r w:rsidRPr="00195FD2">
              <w:rPr>
                <w:rFonts w:cs="Times New Roman"/>
                <w:sz w:val="24"/>
                <w:szCs w:val="24"/>
              </w:rPr>
              <w:t xml:space="preserve"> As students work on meaningful number activities they will commit facts to heart (recall and easily retrieve to use when needed) at the same time as understanding numbers and math. Students are expected to build understanding and then they are expected to know the math facts from memory </w:t>
            </w:r>
            <w:r w:rsidR="002204ED">
              <w:rPr>
                <w:rFonts w:cs="Times New Roman"/>
                <w:sz w:val="24"/>
                <w:szCs w:val="24"/>
              </w:rPr>
              <w:t>(</w:t>
            </w:r>
            <w:r w:rsidRPr="00195FD2">
              <w:rPr>
                <w:rFonts w:cs="Times New Roman"/>
                <w:sz w:val="24"/>
                <w:szCs w:val="24"/>
              </w:rPr>
              <w:t>Jo Boaler, 2015, Flu</w:t>
            </w:r>
            <w:r w:rsidR="002204ED">
              <w:rPr>
                <w:rFonts w:cs="Times New Roman"/>
                <w:sz w:val="24"/>
                <w:szCs w:val="24"/>
              </w:rPr>
              <w:t>ency Without Fear. Youcubed.org).</w:t>
            </w:r>
          </w:p>
          <w:p w14:paraId="18192ABE" w14:textId="77777777" w:rsidR="005979C4" w:rsidRPr="00195FD2" w:rsidRDefault="005979C4" w:rsidP="005979C4">
            <w:pPr>
              <w:rPr>
                <w:rFonts w:cs="Times New Roman"/>
                <w:sz w:val="24"/>
                <w:szCs w:val="24"/>
              </w:rPr>
            </w:pPr>
            <w:r w:rsidRPr="00C86BE4">
              <w:rPr>
                <w:rFonts w:cs="Times New Roman"/>
                <w:b/>
                <w:sz w:val="24"/>
                <w:szCs w:val="24"/>
              </w:rPr>
              <w:t>Standard Algorithm:</w:t>
            </w:r>
            <w:r>
              <w:rPr>
                <w:rFonts w:cs="Times New Roman"/>
                <w:sz w:val="24"/>
                <w:szCs w:val="24"/>
              </w:rPr>
              <w:t xml:space="preserve"> </w:t>
            </w:r>
            <w:r w:rsidRPr="00195FD2">
              <w:rPr>
                <w:rFonts w:cs="Times New Roman"/>
                <w:sz w:val="24"/>
                <w:szCs w:val="24"/>
              </w:rPr>
              <w:t>A finite set of efficient steps for completing a procedure based on place value and properties of operations. The standard algorithm for each operation relies on:</w:t>
            </w:r>
          </w:p>
          <w:p w14:paraId="18192ABF" w14:textId="77777777" w:rsidR="005979C4" w:rsidRPr="00195FD2" w:rsidRDefault="009C6428" w:rsidP="005979C4">
            <w:pPr>
              <w:pStyle w:val="ListParagraph"/>
              <w:numPr>
                <w:ilvl w:val="0"/>
                <w:numId w:val="16"/>
              </w:numPr>
              <w:rPr>
                <w:rFonts w:cs="Times New Roman"/>
                <w:sz w:val="24"/>
                <w:szCs w:val="24"/>
              </w:rPr>
            </w:pPr>
            <w:r>
              <w:rPr>
                <w:rFonts w:cs="Times New Roman"/>
                <w:sz w:val="24"/>
                <w:szCs w:val="24"/>
              </w:rPr>
              <w:t>D</w:t>
            </w:r>
            <w:r w:rsidR="005979C4" w:rsidRPr="00195FD2">
              <w:rPr>
                <w:rFonts w:cs="Times New Roman"/>
                <w:sz w:val="24"/>
                <w:szCs w:val="24"/>
              </w:rPr>
              <w:t xml:space="preserve">ecomposing numbers written in base-ten notation into base-ten units and then carrying out single-digit computations with those units using the place values to direct the place value of the resulting number, and </w:t>
            </w:r>
          </w:p>
          <w:p w14:paraId="18192AC0" w14:textId="77777777" w:rsidR="005979C4" w:rsidRPr="00195FD2" w:rsidRDefault="005979C4" w:rsidP="005979C4">
            <w:pPr>
              <w:pStyle w:val="ListParagraph"/>
              <w:numPr>
                <w:ilvl w:val="0"/>
                <w:numId w:val="16"/>
              </w:numPr>
              <w:rPr>
                <w:rFonts w:cs="Times New Roman"/>
                <w:sz w:val="24"/>
                <w:szCs w:val="24"/>
              </w:rPr>
            </w:pPr>
            <w:r w:rsidRPr="00195FD2">
              <w:rPr>
                <w:rFonts w:cs="Times New Roman"/>
                <w:sz w:val="24"/>
                <w:szCs w:val="24"/>
              </w:rPr>
              <w:t xml:space="preserve">Using the one to ten uniformity of the base ten structure of the number system to generalize to larger whole numbers and to decimals. </w:t>
            </w:r>
          </w:p>
          <w:p w14:paraId="18192AC1" w14:textId="77777777" w:rsidR="005979C4" w:rsidRPr="00195FD2" w:rsidRDefault="005979C4" w:rsidP="005979C4">
            <w:pPr>
              <w:ind w:left="64"/>
              <w:rPr>
                <w:rFonts w:cs="Times New Roman"/>
                <w:sz w:val="24"/>
                <w:szCs w:val="24"/>
              </w:rPr>
            </w:pPr>
            <w:r w:rsidRPr="00195FD2">
              <w:rPr>
                <w:rFonts w:cs="Times New Roman"/>
                <w:sz w:val="24"/>
                <w:szCs w:val="24"/>
              </w:rPr>
              <w:t>The grades 4</w:t>
            </w:r>
            <w:r w:rsidR="009C6428">
              <w:rPr>
                <w:rFonts w:cs="Times New Roman"/>
                <w:sz w:val="24"/>
                <w:szCs w:val="24"/>
              </w:rPr>
              <w:t>–</w:t>
            </w:r>
            <w:r w:rsidRPr="00195FD2">
              <w:rPr>
                <w:rFonts w:cs="Times New Roman"/>
                <w:sz w:val="24"/>
                <w:szCs w:val="24"/>
              </w:rPr>
              <w:t xml:space="preserve">6 standards expect students to know how to use the standard algorithms to perform operations with numbers. For example:  </w:t>
            </w:r>
          </w:p>
          <w:p w14:paraId="18192AC2" w14:textId="77777777" w:rsidR="005979C4" w:rsidRPr="002204ED" w:rsidRDefault="005979C4" w:rsidP="005979C4">
            <w:pPr>
              <w:ind w:left="3870"/>
              <w:rPr>
                <w:rFonts w:cs="Times New Roman"/>
                <w:b/>
                <w:color w:val="FF0000"/>
                <w:sz w:val="20"/>
                <w:szCs w:val="24"/>
              </w:rPr>
            </w:pPr>
            <w:r>
              <w:rPr>
                <w:rFonts w:cs="Times New Roman"/>
                <w:b/>
                <w:color w:val="FF0000"/>
                <w:szCs w:val="24"/>
              </w:rPr>
              <w:t xml:space="preserve">  </w:t>
            </w:r>
            <w:r w:rsidRPr="002204ED">
              <w:rPr>
                <w:rFonts w:cs="Times New Roman"/>
                <w:b/>
                <w:color w:val="FF0000"/>
                <w:sz w:val="20"/>
                <w:szCs w:val="24"/>
              </w:rPr>
              <w:t>1</w:t>
            </w:r>
          </w:p>
          <w:p w14:paraId="18192AC3" w14:textId="77777777" w:rsidR="005979C4" w:rsidRPr="002204ED" w:rsidRDefault="005979C4" w:rsidP="005979C4">
            <w:pPr>
              <w:ind w:left="3870"/>
              <w:rPr>
                <w:rFonts w:cs="Times New Roman"/>
                <w:sz w:val="20"/>
                <w:szCs w:val="24"/>
              </w:rPr>
            </w:pPr>
            <w:r w:rsidRPr="002204ED">
              <w:rPr>
                <w:rFonts w:cs="Times New Roman"/>
                <w:sz w:val="20"/>
                <w:szCs w:val="24"/>
              </w:rPr>
              <w:t xml:space="preserve">  34</w:t>
            </w:r>
          </w:p>
          <w:p w14:paraId="18192AC4" w14:textId="77777777" w:rsidR="005979C4" w:rsidRPr="002204ED" w:rsidRDefault="005979C4" w:rsidP="005979C4">
            <w:pPr>
              <w:ind w:left="3870"/>
              <w:rPr>
                <w:rFonts w:cs="Times New Roman"/>
                <w:sz w:val="20"/>
                <w:szCs w:val="24"/>
                <w:u w:val="single"/>
              </w:rPr>
            </w:pPr>
            <w:r w:rsidRPr="002204ED">
              <w:rPr>
                <w:rFonts w:cs="Times New Roman"/>
                <w:sz w:val="20"/>
                <w:szCs w:val="24"/>
                <w:u w:val="single"/>
              </w:rPr>
              <w:t>+27</w:t>
            </w:r>
          </w:p>
          <w:p w14:paraId="18192AC5" w14:textId="77777777" w:rsidR="005979C4" w:rsidRPr="002204ED" w:rsidRDefault="005979C4" w:rsidP="005979C4">
            <w:pPr>
              <w:ind w:left="3870"/>
              <w:rPr>
                <w:rFonts w:cs="Times New Roman"/>
                <w:sz w:val="20"/>
                <w:szCs w:val="24"/>
              </w:rPr>
            </w:pPr>
            <w:r w:rsidRPr="002204ED">
              <w:rPr>
                <w:rFonts w:cs="Times New Roman"/>
                <w:sz w:val="20"/>
                <w:szCs w:val="24"/>
              </w:rPr>
              <w:t xml:space="preserve">  61</w:t>
            </w:r>
          </w:p>
          <w:p w14:paraId="18192AC6" w14:textId="77777777" w:rsidR="005979C4" w:rsidRPr="00195FD2" w:rsidRDefault="005979C4" w:rsidP="005979C4">
            <w:pPr>
              <w:rPr>
                <w:rFonts w:cs="Times New Roman"/>
                <w:sz w:val="24"/>
                <w:szCs w:val="24"/>
              </w:rPr>
            </w:pPr>
            <w:r w:rsidRPr="00C86BE4">
              <w:rPr>
                <w:rFonts w:cs="Times New Roman"/>
                <w:b/>
                <w:sz w:val="24"/>
                <w:szCs w:val="24"/>
              </w:rPr>
              <w:t>Algorithm:</w:t>
            </w:r>
            <w:r w:rsidRPr="00195FD2">
              <w:rPr>
                <w:rFonts w:cs="Times New Roman"/>
                <w:sz w:val="24"/>
                <w:szCs w:val="24"/>
              </w:rPr>
              <w:t xml:space="preserve"> </w:t>
            </w:r>
            <w:r>
              <w:rPr>
                <w:rFonts w:cs="Times New Roman"/>
                <w:sz w:val="24"/>
                <w:szCs w:val="24"/>
              </w:rPr>
              <w:t>An algorithm is a finite set of steps for completing a procedure, e.g., long division.</w:t>
            </w:r>
            <w:r w:rsidRPr="00195FD2">
              <w:rPr>
                <w:rFonts w:cs="Times New Roman"/>
                <w:sz w:val="24"/>
                <w:szCs w:val="24"/>
              </w:rPr>
              <w:t xml:space="preserve"> In grade 3 students may use a range of algorithms based on place value and properties of operations.</w:t>
            </w:r>
            <w:r>
              <w:rPr>
                <w:rFonts w:cs="Times New Roman"/>
                <w:sz w:val="24"/>
                <w:szCs w:val="24"/>
              </w:rPr>
              <w:t xml:space="preserve"> For example:</w:t>
            </w:r>
          </w:p>
          <w:p w14:paraId="18192AC7" w14:textId="77777777" w:rsidR="005979C4" w:rsidRPr="002204ED" w:rsidRDefault="005979C4" w:rsidP="005979C4">
            <w:pPr>
              <w:ind w:left="3870"/>
              <w:rPr>
                <w:rFonts w:cs="Times New Roman"/>
                <w:sz w:val="20"/>
                <w:szCs w:val="24"/>
              </w:rPr>
            </w:pPr>
            <w:r w:rsidRPr="002204ED">
              <w:rPr>
                <w:rFonts w:cs="Times New Roman"/>
                <w:sz w:val="20"/>
                <w:szCs w:val="24"/>
              </w:rPr>
              <w:t xml:space="preserve">    34 </w:t>
            </w:r>
          </w:p>
          <w:p w14:paraId="18192AC8" w14:textId="77777777" w:rsidR="005979C4" w:rsidRPr="002204ED" w:rsidRDefault="005979C4" w:rsidP="005979C4">
            <w:pPr>
              <w:ind w:left="3870"/>
              <w:rPr>
                <w:rFonts w:cs="Times New Roman"/>
                <w:sz w:val="20"/>
                <w:szCs w:val="24"/>
                <w:u w:val="single"/>
              </w:rPr>
            </w:pPr>
            <w:r w:rsidRPr="002204ED">
              <w:rPr>
                <w:rFonts w:cs="Times New Roman"/>
                <w:sz w:val="20"/>
                <w:szCs w:val="24"/>
                <w:u w:val="single"/>
              </w:rPr>
              <w:t xml:space="preserve">+  27 </w:t>
            </w:r>
          </w:p>
          <w:p w14:paraId="18192AC9" w14:textId="77777777" w:rsidR="005979C4" w:rsidRPr="002204ED" w:rsidRDefault="005979C4" w:rsidP="005979C4">
            <w:pPr>
              <w:ind w:left="3870"/>
              <w:rPr>
                <w:rFonts w:cs="Times New Roman"/>
                <w:sz w:val="20"/>
                <w:szCs w:val="24"/>
              </w:rPr>
            </w:pPr>
            <w:r w:rsidRPr="002204ED">
              <w:rPr>
                <w:rFonts w:cs="Times New Roman"/>
                <w:sz w:val="20"/>
                <w:szCs w:val="24"/>
              </w:rPr>
              <w:t xml:space="preserve">    11 (sum of ones)</w:t>
            </w:r>
          </w:p>
          <w:p w14:paraId="18192ACA" w14:textId="77777777" w:rsidR="005979C4" w:rsidRPr="002204ED" w:rsidRDefault="005979C4" w:rsidP="005979C4">
            <w:pPr>
              <w:ind w:left="3870"/>
              <w:rPr>
                <w:rFonts w:cs="Times New Roman"/>
                <w:sz w:val="20"/>
                <w:szCs w:val="24"/>
              </w:rPr>
            </w:pPr>
            <w:r w:rsidRPr="002204ED">
              <w:rPr>
                <w:rFonts w:cs="Times New Roman"/>
                <w:sz w:val="20"/>
                <w:szCs w:val="24"/>
                <w:u w:val="single"/>
              </w:rPr>
              <w:t>+  50</w:t>
            </w:r>
            <w:r w:rsidRPr="002204ED">
              <w:rPr>
                <w:rFonts w:cs="Times New Roman"/>
                <w:sz w:val="20"/>
                <w:szCs w:val="24"/>
              </w:rPr>
              <w:t xml:space="preserve"> (sum of tens)</w:t>
            </w:r>
          </w:p>
          <w:p w14:paraId="18192ACB" w14:textId="77777777" w:rsidR="005979C4" w:rsidRPr="00195FD2" w:rsidRDefault="005979C4" w:rsidP="002204ED">
            <w:pPr>
              <w:tabs>
                <w:tab w:val="left" w:pos="3150"/>
              </w:tabs>
              <w:rPr>
                <w:sz w:val="24"/>
                <w:szCs w:val="24"/>
              </w:rPr>
            </w:pPr>
            <w:r w:rsidRPr="002204ED">
              <w:rPr>
                <w:rFonts w:cs="Times New Roman"/>
                <w:sz w:val="20"/>
                <w:szCs w:val="24"/>
              </w:rPr>
              <w:t xml:space="preserve">   </w:t>
            </w:r>
            <w:r w:rsidR="002204ED" w:rsidRPr="002204ED">
              <w:rPr>
                <w:rFonts w:cs="Times New Roman"/>
                <w:sz w:val="20"/>
                <w:szCs w:val="24"/>
              </w:rPr>
              <w:tab/>
            </w:r>
            <w:r w:rsidR="002204ED" w:rsidRPr="002204ED">
              <w:rPr>
                <w:rFonts w:cs="Times New Roman"/>
                <w:sz w:val="20"/>
                <w:szCs w:val="24"/>
              </w:rPr>
              <w:tab/>
              <w:t xml:space="preserve">         </w:t>
            </w:r>
            <w:r w:rsidRPr="002204ED">
              <w:rPr>
                <w:rFonts w:cs="Times New Roman"/>
                <w:sz w:val="20"/>
                <w:szCs w:val="24"/>
              </w:rPr>
              <w:t>61 (final sum)</w:t>
            </w:r>
          </w:p>
        </w:tc>
        <w:tc>
          <w:tcPr>
            <w:tcW w:w="5580" w:type="dxa"/>
            <w:tcBorders>
              <w:top w:val="single" w:sz="4" w:space="0" w:color="auto"/>
              <w:left w:val="single" w:sz="4" w:space="0" w:color="BFBFBF" w:themeColor="background1" w:themeShade="BF"/>
              <w:bottom w:val="single" w:sz="4" w:space="0" w:color="BFBFBF" w:themeColor="background1" w:themeShade="BF"/>
            </w:tcBorders>
          </w:tcPr>
          <w:p w14:paraId="18192ACC" w14:textId="77777777" w:rsidR="005979C4" w:rsidRDefault="005979C4" w:rsidP="005979C4">
            <w:pPr>
              <w:rPr>
                <w:b/>
                <w:sz w:val="24"/>
                <w:szCs w:val="24"/>
              </w:rPr>
            </w:pPr>
            <w:r>
              <w:rPr>
                <w:b/>
                <w:sz w:val="24"/>
                <w:szCs w:val="24"/>
              </w:rPr>
              <w:lastRenderedPageBreak/>
              <w:t>Standards Related to the Fluency Progression in Grades K</w:t>
            </w:r>
            <w:r w:rsidR="009C6428">
              <w:rPr>
                <w:b/>
                <w:sz w:val="24"/>
                <w:szCs w:val="24"/>
              </w:rPr>
              <w:t>–</w:t>
            </w:r>
            <w:r>
              <w:rPr>
                <w:b/>
                <w:sz w:val="24"/>
                <w:szCs w:val="24"/>
              </w:rPr>
              <w:t>6 (emphasis added</w:t>
            </w:r>
            <w:r w:rsidR="002204ED">
              <w:rPr>
                <w:b/>
                <w:sz w:val="24"/>
                <w:szCs w:val="24"/>
              </w:rPr>
              <w:t xml:space="preserve"> for reference</w:t>
            </w:r>
            <w:r>
              <w:rPr>
                <w:b/>
                <w:sz w:val="24"/>
                <w:szCs w:val="24"/>
              </w:rPr>
              <w:t>):</w:t>
            </w:r>
          </w:p>
          <w:p w14:paraId="18192ACD" w14:textId="77777777" w:rsidR="005979C4" w:rsidRPr="005979C4" w:rsidRDefault="005979C4" w:rsidP="005979C4">
            <w:pPr>
              <w:pStyle w:val="ListParagraph"/>
              <w:numPr>
                <w:ilvl w:val="0"/>
                <w:numId w:val="15"/>
              </w:numPr>
              <w:ind w:left="252" w:hanging="162"/>
              <w:rPr>
                <w:sz w:val="24"/>
                <w:szCs w:val="24"/>
              </w:rPr>
            </w:pPr>
            <w:r w:rsidRPr="005979C4">
              <w:rPr>
                <w:sz w:val="24"/>
                <w:szCs w:val="24"/>
              </w:rPr>
              <w:t>Kindergarten: K.OA.5.</w:t>
            </w:r>
            <w:r w:rsidRPr="005979C4">
              <w:rPr>
                <w:i/>
                <w:sz w:val="24"/>
                <w:szCs w:val="24"/>
              </w:rPr>
              <w:t xml:space="preserve"> Fluently</w:t>
            </w:r>
            <w:r w:rsidRPr="005979C4">
              <w:rPr>
                <w:sz w:val="24"/>
                <w:szCs w:val="24"/>
              </w:rPr>
              <w:t xml:space="preserve"> add and subtract within 5.</w:t>
            </w:r>
          </w:p>
          <w:p w14:paraId="18192ACE" w14:textId="77777777" w:rsidR="005979C4" w:rsidRPr="005979C4" w:rsidRDefault="005979C4" w:rsidP="005979C4">
            <w:pPr>
              <w:pStyle w:val="ListParagraph"/>
              <w:numPr>
                <w:ilvl w:val="0"/>
                <w:numId w:val="15"/>
              </w:numPr>
              <w:ind w:left="252" w:hanging="162"/>
              <w:rPr>
                <w:sz w:val="24"/>
                <w:szCs w:val="24"/>
              </w:rPr>
            </w:pPr>
            <w:r w:rsidRPr="005979C4">
              <w:rPr>
                <w:sz w:val="24"/>
                <w:szCs w:val="24"/>
              </w:rPr>
              <w:t>Grade 1: 1.OA.6. Add and subtract within 20, demonstrating</w:t>
            </w:r>
            <w:r w:rsidRPr="005979C4">
              <w:rPr>
                <w:i/>
                <w:sz w:val="24"/>
                <w:szCs w:val="24"/>
              </w:rPr>
              <w:t xml:space="preserve"> fluency</w:t>
            </w:r>
            <w:r w:rsidRPr="005979C4">
              <w:rPr>
                <w:sz w:val="24"/>
                <w:szCs w:val="24"/>
              </w:rPr>
              <w:t xml:space="preserve"> for addition and subtraction within 10. Use mental strategies such as counting on; making ten (e.g., 8+6=8+2+4=10 +4=14); </w:t>
            </w:r>
            <w:r w:rsidRPr="005979C4">
              <w:rPr>
                <w:sz w:val="24"/>
                <w:szCs w:val="24"/>
              </w:rPr>
              <w:lastRenderedPageBreak/>
              <w:t xml:space="preserve">decomposing a number leading to a ten; using the relationship between addition and subtraction; and creating equivalent but easier or known sums). </w:t>
            </w:r>
          </w:p>
          <w:p w14:paraId="18192ACF" w14:textId="77777777" w:rsidR="005979C4" w:rsidRPr="005979C4" w:rsidRDefault="005979C4" w:rsidP="005979C4">
            <w:pPr>
              <w:pStyle w:val="ListParagraph"/>
              <w:numPr>
                <w:ilvl w:val="0"/>
                <w:numId w:val="15"/>
              </w:numPr>
              <w:ind w:left="252" w:hanging="162"/>
              <w:rPr>
                <w:sz w:val="24"/>
                <w:szCs w:val="24"/>
              </w:rPr>
            </w:pPr>
            <w:r w:rsidRPr="005979C4">
              <w:rPr>
                <w:sz w:val="24"/>
                <w:szCs w:val="24"/>
              </w:rPr>
              <w:t>Grade 2: 2.OA.2</w:t>
            </w:r>
            <w:r w:rsidRPr="005979C4">
              <w:rPr>
                <w:i/>
                <w:sz w:val="24"/>
                <w:szCs w:val="24"/>
              </w:rPr>
              <w:t xml:space="preserve"> Fluently</w:t>
            </w:r>
            <w:r w:rsidRPr="005979C4">
              <w:rPr>
                <w:sz w:val="24"/>
                <w:szCs w:val="24"/>
              </w:rPr>
              <w:t xml:space="preserve"> add and subtract within 20 using mental strategies. By the end of grade 2, </w:t>
            </w:r>
            <w:r w:rsidRPr="005979C4">
              <w:rPr>
                <w:i/>
                <w:sz w:val="24"/>
                <w:szCs w:val="24"/>
              </w:rPr>
              <w:t>know from memory</w:t>
            </w:r>
            <w:r w:rsidRPr="005979C4">
              <w:rPr>
                <w:sz w:val="24"/>
                <w:szCs w:val="24"/>
              </w:rPr>
              <w:t xml:space="preserve"> all sums of two-digit numbers.</w:t>
            </w:r>
          </w:p>
          <w:p w14:paraId="18192AD0" w14:textId="77777777" w:rsidR="005979C4" w:rsidRPr="005979C4" w:rsidRDefault="005979C4" w:rsidP="002204ED">
            <w:pPr>
              <w:pStyle w:val="ListParagraph"/>
              <w:numPr>
                <w:ilvl w:val="1"/>
                <w:numId w:val="15"/>
              </w:numPr>
              <w:ind w:left="612" w:hanging="162"/>
              <w:rPr>
                <w:sz w:val="24"/>
                <w:szCs w:val="24"/>
              </w:rPr>
            </w:pPr>
            <w:r w:rsidRPr="005979C4">
              <w:rPr>
                <w:sz w:val="24"/>
                <w:szCs w:val="24"/>
              </w:rPr>
              <w:t xml:space="preserve">MA.2.a. By the end of grade 2, </w:t>
            </w:r>
            <w:r w:rsidRPr="005979C4">
              <w:rPr>
                <w:i/>
                <w:sz w:val="24"/>
                <w:szCs w:val="24"/>
              </w:rPr>
              <w:t xml:space="preserve">know from memory </w:t>
            </w:r>
            <w:r w:rsidRPr="005979C4">
              <w:rPr>
                <w:sz w:val="24"/>
                <w:szCs w:val="24"/>
              </w:rPr>
              <w:t>related subtraction facts of sums of two one-digit numbers.</w:t>
            </w:r>
          </w:p>
          <w:p w14:paraId="18192AD1" w14:textId="77777777" w:rsidR="005979C4" w:rsidRPr="002204ED" w:rsidRDefault="005979C4" w:rsidP="002204ED">
            <w:pPr>
              <w:pStyle w:val="ListParagraph"/>
              <w:numPr>
                <w:ilvl w:val="0"/>
                <w:numId w:val="15"/>
              </w:numPr>
              <w:ind w:left="252" w:hanging="162"/>
              <w:rPr>
                <w:sz w:val="24"/>
                <w:szCs w:val="24"/>
              </w:rPr>
            </w:pPr>
            <w:r w:rsidRPr="005979C4">
              <w:rPr>
                <w:sz w:val="24"/>
                <w:szCs w:val="24"/>
              </w:rPr>
              <w:t xml:space="preserve">Grade 3: 3.OA.7. </w:t>
            </w:r>
            <w:r w:rsidRPr="005979C4">
              <w:rPr>
                <w:i/>
                <w:sz w:val="24"/>
                <w:szCs w:val="24"/>
              </w:rPr>
              <w:t xml:space="preserve">Fluently </w:t>
            </w:r>
            <w:r w:rsidRPr="005979C4">
              <w:rPr>
                <w:sz w:val="24"/>
                <w:szCs w:val="24"/>
              </w:rPr>
              <w:t>multiply and divide within 100, using strategies such as the relationship between multiplication and division (e.g. knowing that 8x5=40, one knows 40 divided by 5=8) or properties of operations. By the end of grade 3</w:t>
            </w:r>
            <w:r w:rsidRPr="005979C4">
              <w:rPr>
                <w:i/>
                <w:sz w:val="24"/>
                <w:szCs w:val="24"/>
              </w:rPr>
              <w:t>, know from memory</w:t>
            </w:r>
            <w:r w:rsidRPr="005979C4">
              <w:rPr>
                <w:sz w:val="24"/>
                <w:szCs w:val="24"/>
              </w:rPr>
              <w:t xml:space="preserve"> all products of two one-digit numbers. </w:t>
            </w:r>
            <w:r w:rsidRPr="002204ED">
              <w:rPr>
                <w:sz w:val="24"/>
                <w:szCs w:val="24"/>
              </w:rPr>
              <w:t xml:space="preserve">3.NBT.2. </w:t>
            </w:r>
            <w:r w:rsidRPr="002204ED">
              <w:rPr>
                <w:i/>
                <w:sz w:val="24"/>
                <w:szCs w:val="24"/>
              </w:rPr>
              <w:t>Fluently</w:t>
            </w:r>
            <w:r w:rsidRPr="002204ED">
              <w:rPr>
                <w:sz w:val="24"/>
                <w:szCs w:val="24"/>
              </w:rPr>
              <w:t xml:space="preserve"> add and subtract within 1000 using strategies and </w:t>
            </w:r>
            <w:r w:rsidRPr="002204ED">
              <w:rPr>
                <w:i/>
                <w:sz w:val="24"/>
                <w:szCs w:val="24"/>
              </w:rPr>
              <w:t xml:space="preserve">algorithms </w:t>
            </w:r>
            <w:r w:rsidRPr="002204ED">
              <w:rPr>
                <w:sz w:val="24"/>
                <w:szCs w:val="24"/>
              </w:rPr>
              <w:t xml:space="preserve">based on place value, properties of operations, and/or the relationship between addition and subtraction. </w:t>
            </w:r>
          </w:p>
          <w:p w14:paraId="18192AD2" w14:textId="77777777" w:rsidR="005979C4" w:rsidRPr="005979C4" w:rsidRDefault="005979C4" w:rsidP="005979C4">
            <w:pPr>
              <w:pStyle w:val="ListParagraph"/>
              <w:numPr>
                <w:ilvl w:val="0"/>
                <w:numId w:val="15"/>
              </w:numPr>
              <w:ind w:left="252" w:hanging="162"/>
              <w:rPr>
                <w:i/>
                <w:sz w:val="24"/>
                <w:szCs w:val="24"/>
              </w:rPr>
            </w:pPr>
            <w:r w:rsidRPr="005979C4">
              <w:rPr>
                <w:sz w:val="24"/>
                <w:szCs w:val="24"/>
              </w:rPr>
              <w:t>Grade 4:</w:t>
            </w:r>
            <w:r w:rsidRPr="005979C4">
              <w:rPr>
                <w:b/>
                <w:sz w:val="24"/>
                <w:szCs w:val="24"/>
              </w:rPr>
              <w:t xml:space="preserve"> </w:t>
            </w:r>
            <w:r w:rsidRPr="005979C4">
              <w:rPr>
                <w:sz w:val="24"/>
                <w:szCs w:val="24"/>
              </w:rPr>
              <w:t>4.NBT.4.</w:t>
            </w:r>
            <w:r w:rsidRPr="005979C4">
              <w:rPr>
                <w:i/>
                <w:sz w:val="24"/>
                <w:szCs w:val="24"/>
              </w:rPr>
              <w:t xml:space="preserve"> Fluently </w:t>
            </w:r>
            <w:r w:rsidRPr="005979C4">
              <w:rPr>
                <w:sz w:val="24"/>
                <w:szCs w:val="24"/>
              </w:rPr>
              <w:t xml:space="preserve">add and subtract multi-digit whole numbers </w:t>
            </w:r>
            <w:r w:rsidRPr="005979C4">
              <w:rPr>
                <w:i/>
                <w:sz w:val="24"/>
                <w:szCs w:val="24"/>
              </w:rPr>
              <w:t>using the standard algorithm.</w:t>
            </w:r>
          </w:p>
          <w:p w14:paraId="18192AD3" w14:textId="77777777" w:rsidR="005979C4" w:rsidRPr="005979C4" w:rsidRDefault="005979C4" w:rsidP="005979C4">
            <w:pPr>
              <w:pStyle w:val="ListParagraph"/>
              <w:numPr>
                <w:ilvl w:val="0"/>
                <w:numId w:val="15"/>
              </w:numPr>
              <w:ind w:left="252" w:hanging="162"/>
              <w:rPr>
                <w:i/>
                <w:sz w:val="24"/>
                <w:szCs w:val="24"/>
              </w:rPr>
            </w:pPr>
            <w:r w:rsidRPr="005979C4">
              <w:rPr>
                <w:sz w:val="24"/>
                <w:szCs w:val="24"/>
              </w:rPr>
              <w:t>Grade 5: 5NBT.5.</w:t>
            </w:r>
            <w:r w:rsidRPr="005979C4">
              <w:rPr>
                <w:i/>
                <w:sz w:val="24"/>
                <w:szCs w:val="24"/>
              </w:rPr>
              <w:t xml:space="preserve"> Fluently</w:t>
            </w:r>
            <w:r w:rsidRPr="005979C4">
              <w:rPr>
                <w:sz w:val="24"/>
                <w:szCs w:val="24"/>
              </w:rPr>
              <w:t xml:space="preserve"> multiply multi-digit whole numbers </w:t>
            </w:r>
            <w:r w:rsidRPr="005979C4">
              <w:rPr>
                <w:i/>
                <w:sz w:val="24"/>
                <w:szCs w:val="24"/>
              </w:rPr>
              <w:t>using the standard algorithm.</w:t>
            </w:r>
          </w:p>
          <w:p w14:paraId="18192AD4" w14:textId="77777777" w:rsidR="005979C4" w:rsidRDefault="005979C4" w:rsidP="002204ED">
            <w:pPr>
              <w:pStyle w:val="ListParagraph"/>
              <w:numPr>
                <w:ilvl w:val="0"/>
                <w:numId w:val="15"/>
              </w:numPr>
              <w:spacing w:after="60"/>
              <w:ind w:left="244" w:hanging="158"/>
              <w:rPr>
                <w:sz w:val="24"/>
                <w:szCs w:val="24"/>
              </w:rPr>
            </w:pPr>
            <w:r w:rsidRPr="005979C4">
              <w:rPr>
                <w:sz w:val="24"/>
                <w:szCs w:val="24"/>
              </w:rPr>
              <w:t xml:space="preserve">Grade 6: 6.NS.2. </w:t>
            </w:r>
            <w:r w:rsidRPr="005979C4">
              <w:rPr>
                <w:i/>
                <w:sz w:val="24"/>
                <w:szCs w:val="24"/>
              </w:rPr>
              <w:t>Fluently</w:t>
            </w:r>
            <w:r w:rsidRPr="005979C4">
              <w:rPr>
                <w:sz w:val="24"/>
                <w:szCs w:val="24"/>
              </w:rPr>
              <w:t xml:space="preserve"> divide multi-digit numbers using the </w:t>
            </w:r>
            <w:r w:rsidRPr="005979C4">
              <w:rPr>
                <w:i/>
                <w:sz w:val="24"/>
                <w:szCs w:val="24"/>
              </w:rPr>
              <w:t>standard algorithm</w:t>
            </w:r>
            <w:r w:rsidRPr="005979C4">
              <w:rPr>
                <w:sz w:val="24"/>
                <w:szCs w:val="24"/>
              </w:rPr>
              <w:t>.</w:t>
            </w:r>
            <w:r w:rsidR="002204ED">
              <w:rPr>
                <w:sz w:val="24"/>
                <w:szCs w:val="24"/>
              </w:rPr>
              <w:t xml:space="preserve"> </w:t>
            </w:r>
            <w:r w:rsidRPr="002204ED">
              <w:rPr>
                <w:sz w:val="24"/>
                <w:szCs w:val="24"/>
              </w:rPr>
              <w:t xml:space="preserve">6.NS.3. </w:t>
            </w:r>
            <w:r w:rsidRPr="002204ED">
              <w:rPr>
                <w:i/>
                <w:sz w:val="24"/>
                <w:szCs w:val="24"/>
              </w:rPr>
              <w:t>Fluently</w:t>
            </w:r>
            <w:r w:rsidRPr="002204ED">
              <w:rPr>
                <w:sz w:val="24"/>
                <w:szCs w:val="24"/>
              </w:rPr>
              <w:t xml:space="preserve"> add, subtract, multiply and divide multi-digit decimals </w:t>
            </w:r>
            <w:r w:rsidRPr="002204ED">
              <w:rPr>
                <w:i/>
                <w:sz w:val="24"/>
                <w:szCs w:val="24"/>
              </w:rPr>
              <w:t>using the standard algorithm</w:t>
            </w:r>
            <w:r w:rsidRPr="002204ED">
              <w:rPr>
                <w:sz w:val="24"/>
                <w:szCs w:val="24"/>
              </w:rPr>
              <w:t xml:space="preserve"> for each operation.</w:t>
            </w:r>
          </w:p>
          <w:p w14:paraId="18192AD5" w14:textId="77777777" w:rsidR="002204ED" w:rsidRPr="002204ED" w:rsidRDefault="002204ED" w:rsidP="009C6428">
            <w:pPr>
              <w:rPr>
                <w:sz w:val="24"/>
                <w:szCs w:val="24"/>
              </w:rPr>
            </w:pPr>
            <w:r>
              <w:rPr>
                <w:rFonts w:cstheme="minorHAnsi"/>
                <w:i/>
                <w:szCs w:val="24"/>
              </w:rPr>
              <w:t>T</w:t>
            </w:r>
            <w:r w:rsidRPr="002204ED">
              <w:rPr>
                <w:rFonts w:cstheme="minorHAnsi"/>
                <w:i/>
                <w:szCs w:val="24"/>
              </w:rPr>
              <w:t>he</w:t>
            </w:r>
            <w:r>
              <w:rPr>
                <w:rFonts w:cstheme="minorHAnsi"/>
                <w:i/>
                <w:szCs w:val="24"/>
              </w:rPr>
              <w:t xml:space="preserve"> 2011 Framework lacks </w:t>
            </w:r>
            <w:r w:rsidRPr="002204ED">
              <w:rPr>
                <w:rFonts w:cstheme="minorHAnsi"/>
                <w:i/>
                <w:szCs w:val="24"/>
              </w:rPr>
              <w:t xml:space="preserve">definitions for “fluency” “know from memory,” “standard algorithm,” </w:t>
            </w:r>
            <w:r w:rsidR="009C6428">
              <w:rPr>
                <w:rFonts w:cstheme="minorHAnsi"/>
                <w:i/>
                <w:szCs w:val="24"/>
              </w:rPr>
              <w:t>and</w:t>
            </w:r>
            <w:r w:rsidRPr="002204ED">
              <w:rPr>
                <w:rFonts w:cstheme="minorHAnsi"/>
                <w:i/>
                <w:szCs w:val="24"/>
              </w:rPr>
              <w:t xml:space="preserve"> “algorithm.”</w:t>
            </w:r>
          </w:p>
        </w:tc>
      </w:tr>
    </w:tbl>
    <w:p w14:paraId="18192AD7" w14:textId="77777777" w:rsidR="00006FC6" w:rsidRDefault="00006FC6"/>
    <w:tbl>
      <w:tblPr>
        <w:tblStyle w:val="TableGrid"/>
        <w:tblpPr w:leftFromText="180" w:rightFromText="180" w:vertAnchor="text" w:horzAnchor="margin" w:tblpY="-13"/>
        <w:tblW w:w="13068" w:type="dxa"/>
        <w:tblLayout w:type="fixed"/>
        <w:tblLook w:val="04A0" w:firstRow="1" w:lastRow="0" w:firstColumn="1" w:lastColumn="0" w:noHBand="0" w:noVBand="1"/>
      </w:tblPr>
      <w:tblGrid>
        <w:gridCol w:w="13068"/>
      </w:tblGrid>
      <w:tr w:rsidR="00C86BE4" w:rsidRPr="002E4E8C" w14:paraId="18192ADB" w14:textId="77777777" w:rsidTr="00D74630">
        <w:tc>
          <w:tcPr>
            <w:tcW w:w="13068" w:type="dxa"/>
            <w:tcBorders>
              <w:top w:val="single" w:sz="4" w:space="0" w:color="BFBFBF" w:themeColor="background1" w:themeShade="BF"/>
            </w:tcBorders>
            <w:shd w:val="clear" w:color="auto" w:fill="FDE9D9" w:themeFill="accent6" w:themeFillTint="33"/>
          </w:tcPr>
          <w:p w14:paraId="18192AD8" w14:textId="77777777" w:rsidR="00C86BE4" w:rsidRPr="006B1D0A" w:rsidRDefault="00C86BE4" w:rsidP="00C86BE4">
            <w:pPr>
              <w:pStyle w:val="NoSpacing"/>
              <w:rPr>
                <w:rFonts w:cs="Times New Roman"/>
                <w:szCs w:val="22"/>
              </w:rPr>
            </w:pPr>
            <w:r w:rsidRPr="006B1D0A">
              <w:rPr>
                <w:rFonts w:cs="Times New Roman"/>
                <w:b/>
                <w:szCs w:val="22"/>
              </w:rPr>
              <w:t>Rationale:</w:t>
            </w:r>
            <w:r w:rsidRPr="006B1D0A">
              <w:rPr>
                <w:rFonts w:cs="Times New Roman"/>
                <w:szCs w:val="22"/>
              </w:rPr>
              <w:t xml:space="preserve"> There is a very strong and coherent progression that develops students’ fluency in number sense and operations. This progression begins in prior grades where they develop an understanding of the concept (for example: addition and subtraction) by exploring number relationships and place value, including grouping in tens and ones. They use models and solve problems. They build their understanding of the relationship between addition and subtraction. Then in grade 2 they become fluent in adding and subtracting within 20 and are able to use a variety of strategies to solve problems; and by the end of grade 2 they are expected to know the addition and related subtraction facts from memory. This same progression of developing understanding and learning is presented for the grade 3 standard that expects students to first fluently multiply and divide within 100, using strategies or properties of operations. By the end of grade 3 students are expected to know from memory multiplication and related division math facts. </w:t>
            </w:r>
          </w:p>
          <w:p w14:paraId="18192AD9" w14:textId="77777777" w:rsidR="00C86BE4" w:rsidRPr="006B1D0A" w:rsidRDefault="00C86BE4" w:rsidP="00C86BE4">
            <w:pPr>
              <w:pStyle w:val="NoSpacing"/>
              <w:rPr>
                <w:rFonts w:cs="Times New Roman"/>
                <w:szCs w:val="22"/>
              </w:rPr>
            </w:pPr>
          </w:p>
          <w:p w14:paraId="18192ADA" w14:textId="77777777" w:rsidR="00C86BE4" w:rsidRPr="006B1D0A" w:rsidRDefault="00C86BE4" w:rsidP="00691B55">
            <w:pPr>
              <w:pStyle w:val="NoSpacing"/>
              <w:rPr>
                <w:rFonts w:cs="Times New Roman"/>
                <w:szCs w:val="22"/>
              </w:rPr>
            </w:pPr>
            <w:r w:rsidRPr="006B1D0A">
              <w:rPr>
                <w:rFonts w:cs="Times New Roman"/>
                <w:szCs w:val="22"/>
              </w:rPr>
              <w:t>To further explain this progression and the key terms used in this progression, we will define these key terms, include them in the glossary, and provide explanatory text with links to related articles, and examples. Note: In our research o</w:t>
            </w:r>
            <w:r w:rsidR="00691B55">
              <w:rPr>
                <w:rFonts w:cs="Times New Roman"/>
                <w:szCs w:val="22"/>
              </w:rPr>
              <w:t>n</w:t>
            </w:r>
            <w:r w:rsidRPr="006B1D0A">
              <w:rPr>
                <w:rFonts w:cs="Times New Roman"/>
                <w:szCs w:val="22"/>
              </w:rPr>
              <w:t xml:space="preserve"> other states’ revisions, we noted that almost all of these states recognized the need to address the definition of fluency and know from memory. Several states debated whether students should be expected to know from memory the math facts. We propose retaining the two standards that include this expectation and will include the important message that it is critical to develop understanding as a foundation first, but that students need to be able to recall the math facts when needed in order to efficiently calculate and solve more complex calculations and problems as they advance in their mathematical studies. </w:t>
            </w:r>
          </w:p>
        </w:tc>
      </w:tr>
    </w:tbl>
    <w:p w14:paraId="18192ADC" w14:textId="77777777" w:rsidR="00F21C80" w:rsidRDefault="00F21C80" w:rsidP="00C36DEB"/>
    <w:tbl>
      <w:tblPr>
        <w:tblStyle w:val="TableGrid"/>
        <w:tblpPr w:leftFromText="180" w:rightFromText="180" w:vertAnchor="text" w:horzAnchor="margin" w:tblpY="-13"/>
        <w:tblW w:w="13068" w:type="dxa"/>
        <w:tblLayout w:type="fixed"/>
        <w:tblLook w:val="04A0" w:firstRow="1" w:lastRow="0" w:firstColumn="1" w:lastColumn="0" w:noHBand="0" w:noVBand="1"/>
      </w:tblPr>
      <w:tblGrid>
        <w:gridCol w:w="6534"/>
        <w:gridCol w:w="6534"/>
      </w:tblGrid>
      <w:tr w:rsidR="00C86BE4" w:rsidRPr="002E4E8C" w14:paraId="18192ADE" w14:textId="77777777" w:rsidTr="006B1D0A">
        <w:trPr>
          <w:trHeight w:val="288"/>
        </w:trPr>
        <w:tc>
          <w:tcPr>
            <w:tcW w:w="13068" w:type="dxa"/>
            <w:gridSpan w:val="2"/>
            <w:tcBorders>
              <w:bottom w:val="single" w:sz="4" w:space="0" w:color="auto"/>
            </w:tcBorders>
            <w:shd w:val="clear" w:color="auto" w:fill="FABF8F" w:themeFill="accent6" w:themeFillTint="99"/>
          </w:tcPr>
          <w:p w14:paraId="18192ADD" w14:textId="77777777" w:rsidR="00C86BE4" w:rsidRPr="00D74630" w:rsidRDefault="00C86BE4" w:rsidP="00D74630">
            <w:pPr>
              <w:pStyle w:val="MAstandard-parts"/>
              <w:tabs>
                <w:tab w:val="clear" w:pos="360"/>
                <w:tab w:val="clear" w:pos="720"/>
                <w:tab w:val="left" w:pos="0"/>
              </w:tabs>
              <w:ind w:left="0" w:firstLine="0"/>
              <w:rPr>
                <w:rFonts w:asciiTheme="minorHAnsi" w:hAnsiTheme="minorHAnsi"/>
                <w:b/>
                <w:sz w:val="28"/>
              </w:rPr>
            </w:pPr>
            <w:bookmarkStart w:id="4" w:name="_Toc464223609"/>
            <w:r w:rsidRPr="00D74630">
              <w:rPr>
                <w:rFonts w:asciiTheme="minorHAnsi" w:hAnsiTheme="minorHAnsi"/>
                <w:b/>
                <w:sz w:val="28"/>
              </w:rPr>
              <w:lastRenderedPageBreak/>
              <w:t>Examples of proposed revisions to standards</w:t>
            </w:r>
            <w:bookmarkEnd w:id="4"/>
          </w:p>
        </w:tc>
      </w:tr>
      <w:tr w:rsidR="00C86BE4" w:rsidRPr="002E4E8C" w14:paraId="18192AE0" w14:textId="77777777" w:rsidTr="006B1D0A">
        <w:trPr>
          <w:trHeight w:val="288"/>
        </w:trPr>
        <w:tc>
          <w:tcPr>
            <w:tcW w:w="13068" w:type="dxa"/>
            <w:gridSpan w:val="2"/>
            <w:tcBorders>
              <w:bottom w:val="single" w:sz="4" w:space="0" w:color="auto"/>
            </w:tcBorders>
            <w:shd w:val="clear" w:color="auto" w:fill="FDE9D9" w:themeFill="accent6" w:themeFillTint="33"/>
          </w:tcPr>
          <w:p w14:paraId="18192ADF" w14:textId="77777777" w:rsidR="00C86BE4" w:rsidRPr="005E7D79" w:rsidRDefault="00C86BE4" w:rsidP="00C86BE4">
            <w:pPr>
              <w:pStyle w:val="Heading2"/>
              <w:spacing w:before="0"/>
              <w:outlineLvl w:val="1"/>
              <w:rPr>
                <w:rFonts w:asciiTheme="minorHAnsi" w:hAnsiTheme="minorHAnsi"/>
                <w:color w:val="auto"/>
              </w:rPr>
            </w:pPr>
            <w:bookmarkStart w:id="5" w:name="_Toc464226412"/>
            <w:r w:rsidRPr="005E7D79">
              <w:rPr>
                <w:rFonts w:asciiTheme="minorHAnsi" w:hAnsiTheme="minorHAnsi"/>
                <w:color w:val="auto"/>
              </w:rPr>
              <w:t xml:space="preserve">To increase </w:t>
            </w:r>
            <w:r>
              <w:rPr>
                <w:rFonts w:asciiTheme="minorHAnsi" w:hAnsiTheme="minorHAnsi"/>
                <w:color w:val="auto"/>
              </w:rPr>
              <w:t>focus</w:t>
            </w:r>
            <w:bookmarkEnd w:id="5"/>
          </w:p>
        </w:tc>
      </w:tr>
      <w:tr w:rsidR="00C86BE4" w:rsidRPr="002E4E8C" w14:paraId="18192AE5" w14:textId="77777777" w:rsidTr="00234064">
        <w:trPr>
          <w:trHeight w:val="1109"/>
        </w:trPr>
        <w:tc>
          <w:tcPr>
            <w:tcW w:w="6534" w:type="dxa"/>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18192AE1" w14:textId="77777777" w:rsidR="00C86BE4" w:rsidRPr="00691B55" w:rsidRDefault="00C86BE4" w:rsidP="00C86BE4">
            <w:pPr>
              <w:rPr>
                <w:b/>
                <w:sz w:val="24"/>
                <w:szCs w:val="24"/>
              </w:rPr>
            </w:pPr>
            <w:r>
              <w:rPr>
                <w:b/>
                <w:sz w:val="24"/>
                <w:szCs w:val="24"/>
              </w:rPr>
              <w:t>Existing</w:t>
            </w:r>
            <w:r w:rsidR="00691B55">
              <w:rPr>
                <w:b/>
                <w:sz w:val="24"/>
                <w:szCs w:val="24"/>
              </w:rPr>
              <w:t xml:space="preserve"> </w:t>
            </w:r>
            <w:r>
              <w:rPr>
                <w:b/>
                <w:sz w:val="24"/>
                <w:szCs w:val="24"/>
              </w:rPr>
              <w:t>Grade 6 Ratio and Proportional Relationships Cluster Heading</w:t>
            </w:r>
            <w:r w:rsidR="00691B55">
              <w:rPr>
                <w:b/>
                <w:sz w:val="24"/>
                <w:szCs w:val="24"/>
              </w:rPr>
              <w:t>:</w:t>
            </w:r>
          </w:p>
          <w:p w14:paraId="18192AE2" w14:textId="77777777" w:rsidR="00C86BE4" w:rsidRPr="006B1D0A" w:rsidRDefault="00C86BE4" w:rsidP="006B1D0A">
            <w:pPr>
              <w:rPr>
                <w:sz w:val="24"/>
                <w:szCs w:val="24"/>
              </w:rPr>
            </w:pPr>
            <w:r>
              <w:rPr>
                <w:sz w:val="24"/>
                <w:szCs w:val="24"/>
              </w:rPr>
              <w:t xml:space="preserve">Understand ratio concepts and use ratio reasoning to solve problems. </w:t>
            </w:r>
          </w:p>
        </w:tc>
        <w:tc>
          <w:tcPr>
            <w:tcW w:w="6534" w:type="dxa"/>
            <w:tcBorders>
              <w:top w:val="single" w:sz="4" w:space="0" w:color="auto"/>
              <w:left w:val="single" w:sz="4" w:space="0" w:color="BFBFBF" w:themeColor="background1" w:themeShade="BF"/>
              <w:bottom w:val="single" w:sz="4" w:space="0" w:color="BFBFBF" w:themeColor="background1" w:themeShade="BF"/>
            </w:tcBorders>
          </w:tcPr>
          <w:p w14:paraId="18192AE3" w14:textId="77777777" w:rsidR="00691B55" w:rsidRDefault="00C86BE4" w:rsidP="00C86BE4">
            <w:pPr>
              <w:rPr>
                <w:sz w:val="24"/>
                <w:szCs w:val="24"/>
              </w:rPr>
            </w:pPr>
            <w:r>
              <w:rPr>
                <w:b/>
                <w:sz w:val="24"/>
                <w:szCs w:val="24"/>
              </w:rPr>
              <w:t>Proposed</w:t>
            </w:r>
            <w:r w:rsidR="00691B55">
              <w:rPr>
                <w:b/>
                <w:sz w:val="24"/>
                <w:szCs w:val="24"/>
              </w:rPr>
              <w:t xml:space="preserve">: </w:t>
            </w:r>
            <w:r>
              <w:rPr>
                <w:b/>
                <w:sz w:val="24"/>
                <w:szCs w:val="24"/>
              </w:rPr>
              <w:t>Grade 6 Ratio and Proportional Relationships Cluster Heading</w:t>
            </w:r>
            <w:r w:rsidR="00691B55" w:rsidRPr="00691B55">
              <w:rPr>
                <w:b/>
                <w:sz w:val="24"/>
                <w:szCs w:val="24"/>
              </w:rPr>
              <w:t>:</w:t>
            </w:r>
          </w:p>
          <w:p w14:paraId="18192AE4" w14:textId="77777777" w:rsidR="00C86BE4" w:rsidRPr="00691B55" w:rsidRDefault="00C86BE4" w:rsidP="00C86BE4">
            <w:pPr>
              <w:rPr>
                <w:b/>
                <w:sz w:val="24"/>
                <w:szCs w:val="24"/>
              </w:rPr>
            </w:pPr>
            <w:r w:rsidRPr="00C86BE4">
              <w:rPr>
                <w:sz w:val="24"/>
                <w:szCs w:val="24"/>
              </w:rPr>
              <w:t xml:space="preserve">Understand ratio </w:t>
            </w:r>
            <w:r w:rsidRPr="00C86BE4">
              <w:rPr>
                <w:sz w:val="24"/>
                <w:szCs w:val="24"/>
                <w:shd w:val="clear" w:color="auto" w:fill="FBD4B4" w:themeFill="accent6" w:themeFillTint="66"/>
              </w:rPr>
              <w:t>and rate</w:t>
            </w:r>
            <w:r w:rsidRPr="00C86BE4">
              <w:rPr>
                <w:sz w:val="24"/>
                <w:szCs w:val="24"/>
              </w:rPr>
              <w:t xml:space="preserve"> concepts and use ratio </w:t>
            </w:r>
            <w:r w:rsidRPr="00C86BE4">
              <w:rPr>
                <w:sz w:val="24"/>
                <w:szCs w:val="24"/>
                <w:shd w:val="clear" w:color="auto" w:fill="FBD4B4" w:themeFill="accent6" w:themeFillTint="66"/>
              </w:rPr>
              <w:t>and rate</w:t>
            </w:r>
            <w:r w:rsidRPr="00C86BE4">
              <w:rPr>
                <w:sz w:val="24"/>
                <w:szCs w:val="24"/>
              </w:rPr>
              <w:t xml:space="preserve"> reasoning to solve problems.</w:t>
            </w:r>
          </w:p>
        </w:tc>
      </w:tr>
      <w:tr w:rsidR="00C86BE4" w:rsidRPr="002E4E8C" w14:paraId="18192AE7" w14:textId="77777777" w:rsidTr="006B1D0A">
        <w:tc>
          <w:tcPr>
            <w:tcW w:w="13068" w:type="dxa"/>
            <w:gridSpan w:val="2"/>
            <w:tcBorders>
              <w:top w:val="single" w:sz="4" w:space="0" w:color="BFBFBF" w:themeColor="background1" w:themeShade="BF"/>
              <w:left w:val="single" w:sz="4" w:space="0" w:color="auto"/>
              <w:bottom w:val="single" w:sz="4" w:space="0" w:color="auto"/>
            </w:tcBorders>
            <w:shd w:val="clear" w:color="auto" w:fill="FDE9D9" w:themeFill="accent6" w:themeFillTint="33"/>
          </w:tcPr>
          <w:p w14:paraId="18192AE6" w14:textId="77777777" w:rsidR="00C86BE4" w:rsidRPr="00B93120" w:rsidRDefault="00C86BE4" w:rsidP="00C86BE4">
            <w:pPr>
              <w:rPr>
                <w:sz w:val="24"/>
                <w:szCs w:val="24"/>
              </w:rPr>
            </w:pPr>
            <w:r w:rsidRPr="00B93120">
              <w:rPr>
                <w:b/>
                <w:sz w:val="24"/>
                <w:szCs w:val="24"/>
              </w:rPr>
              <w:t>Rationale:</w:t>
            </w:r>
            <w:r w:rsidRPr="00B93120">
              <w:rPr>
                <w:sz w:val="24"/>
                <w:szCs w:val="24"/>
              </w:rPr>
              <w:t xml:space="preserve"> </w:t>
            </w:r>
            <w:r w:rsidR="006B1D0A" w:rsidRPr="006B1D0A">
              <w:rPr>
                <w:sz w:val="24"/>
                <w:szCs w:val="24"/>
              </w:rPr>
              <w:t>Grade 6 focuses on ratio, rate, and proportional reasoning. Connecting ratio and rate is an identified critical area for grade 6. The term “rate” was added to explicitly insure that the focus is on both ratio and rate concepts for the standards under this heading</w:t>
            </w:r>
            <w:r w:rsidR="006B1D0A">
              <w:rPr>
                <w:sz w:val="24"/>
                <w:szCs w:val="24"/>
              </w:rPr>
              <w:t>.</w:t>
            </w:r>
            <w:r w:rsidRPr="00B93120">
              <w:rPr>
                <w:sz w:val="24"/>
                <w:szCs w:val="24"/>
              </w:rPr>
              <w:t xml:space="preserve">  </w:t>
            </w:r>
          </w:p>
        </w:tc>
      </w:tr>
      <w:tr w:rsidR="006B1D0A" w:rsidRPr="002E4E8C" w14:paraId="18192AF2" w14:textId="77777777" w:rsidTr="007C2CA0">
        <w:tc>
          <w:tcPr>
            <w:tcW w:w="6534" w:type="dxa"/>
            <w:tcBorders>
              <w:top w:val="single" w:sz="4" w:space="0" w:color="BFBFBF" w:themeColor="background1" w:themeShade="BF"/>
              <w:left w:val="single" w:sz="4" w:space="0" w:color="auto"/>
              <w:bottom w:val="nil"/>
              <w:right w:val="single" w:sz="4" w:space="0" w:color="BFBFBF" w:themeColor="background1" w:themeShade="BF"/>
            </w:tcBorders>
          </w:tcPr>
          <w:p w14:paraId="18192AE8" w14:textId="77777777" w:rsidR="006B1D0A" w:rsidRPr="007C2CA0" w:rsidRDefault="00A53E77" w:rsidP="00C86BE4">
            <w:pPr>
              <w:rPr>
                <w:b/>
                <w:sz w:val="24"/>
                <w:szCs w:val="24"/>
              </w:rPr>
            </w:pPr>
            <w:r w:rsidRPr="007C2CA0">
              <w:rPr>
                <w:b/>
                <w:sz w:val="24"/>
                <w:szCs w:val="24"/>
              </w:rPr>
              <w:t>Exi</w:t>
            </w:r>
            <w:r w:rsidR="00691B55">
              <w:rPr>
                <w:b/>
                <w:sz w:val="24"/>
                <w:szCs w:val="24"/>
              </w:rPr>
              <w:t xml:space="preserve">sting </w:t>
            </w:r>
            <w:r w:rsidRPr="007C2CA0">
              <w:rPr>
                <w:b/>
                <w:sz w:val="24"/>
                <w:szCs w:val="24"/>
              </w:rPr>
              <w:t>Hi</w:t>
            </w:r>
            <w:r w:rsidR="00691B55">
              <w:rPr>
                <w:b/>
                <w:sz w:val="24"/>
                <w:szCs w:val="24"/>
              </w:rPr>
              <w:t>gh School Model Course Headings:</w:t>
            </w:r>
          </w:p>
          <w:p w14:paraId="18192AE9" w14:textId="77777777" w:rsidR="00A53E77" w:rsidRPr="007C2CA0" w:rsidRDefault="00A53E77" w:rsidP="00A53E77">
            <w:pPr>
              <w:rPr>
                <w:sz w:val="24"/>
                <w:szCs w:val="24"/>
              </w:rPr>
            </w:pPr>
            <w:r w:rsidRPr="007C2CA0">
              <w:rPr>
                <w:sz w:val="24"/>
                <w:szCs w:val="24"/>
              </w:rPr>
              <w:t xml:space="preserve">Algebra I – Building Functions:  Build a function with integer domains that models a relationship between two quantities. </w:t>
            </w:r>
          </w:p>
          <w:p w14:paraId="18192AEA" w14:textId="77777777" w:rsidR="00234064" w:rsidRPr="007C2CA0" w:rsidRDefault="00234064" w:rsidP="00A53E77">
            <w:pPr>
              <w:rPr>
                <w:sz w:val="24"/>
                <w:szCs w:val="24"/>
              </w:rPr>
            </w:pPr>
          </w:p>
          <w:p w14:paraId="18192AEB" w14:textId="77777777" w:rsidR="00234064" w:rsidRPr="007C2CA0" w:rsidRDefault="00234064" w:rsidP="00A53E77">
            <w:pPr>
              <w:rPr>
                <w:sz w:val="24"/>
                <w:szCs w:val="24"/>
              </w:rPr>
            </w:pPr>
          </w:p>
          <w:p w14:paraId="18192AEC" w14:textId="77777777" w:rsidR="00234064" w:rsidRPr="007C2CA0" w:rsidRDefault="00234064" w:rsidP="00A53E77">
            <w:pPr>
              <w:rPr>
                <w:sz w:val="24"/>
                <w:szCs w:val="24"/>
              </w:rPr>
            </w:pPr>
          </w:p>
          <w:p w14:paraId="18192AED" w14:textId="77777777" w:rsidR="00234064" w:rsidRPr="007C2CA0" w:rsidRDefault="00234064" w:rsidP="00A53E77">
            <w:pPr>
              <w:rPr>
                <w:sz w:val="24"/>
                <w:szCs w:val="24"/>
              </w:rPr>
            </w:pPr>
            <w:r w:rsidRPr="007C2CA0">
              <w:rPr>
                <w:sz w:val="24"/>
                <w:szCs w:val="24"/>
              </w:rPr>
              <w:t xml:space="preserve">Algebra I – Interpreting Functions:  Interpret functions that arise in applications in terms of the context. </w:t>
            </w:r>
          </w:p>
        </w:tc>
        <w:tc>
          <w:tcPr>
            <w:tcW w:w="6534" w:type="dxa"/>
            <w:tcBorders>
              <w:top w:val="single" w:sz="4" w:space="0" w:color="auto"/>
              <w:left w:val="single" w:sz="4" w:space="0" w:color="BFBFBF" w:themeColor="background1" w:themeShade="BF"/>
              <w:bottom w:val="single" w:sz="4" w:space="0" w:color="BFBFBF" w:themeColor="background1" w:themeShade="BF"/>
            </w:tcBorders>
            <w:shd w:val="clear" w:color="auto" w:fill="auto"/>
          </w:tcPr>
          <w:p w14:paraId="18192AEE" w14:textId="77777777" w:rsidR="00234064" w:rsidRPr="007C2CA0" w:rsidRDefault="00A53E77" w:rsidP="00C86BE4">
            <w:pPr>
              <w:rPr>
                <w:b/>
                <w:sz w:val="24"/>
                <w:szCs w:val="24"/>
              </w:rPr>
            </w:pPr>
            <w:r w:rsidRPr="007C2CA0">
              <w:rPr>
                <w:b/>
                <w:sz w:val="24"/>
                <w:szCs w:val="24"/>
              </w:rPr>
              <w:t>Proposed</w:t>
            </w:r>
            <w:r w:rsidR="00691B55">
              <w:rPr>
                <w:b/>
                <w:sz w:val="24"/>
                <w:szCs w:val="24"/>
              </w:rPr>
              <w:t xml:space="preserve">: </w:t>
            </w:r>
            <w:r w:rsidR="00234064" w:rsidRPr="007C2CA0">
              <w:rPr>
                <w:b/>
                <w:sz w:val="24"/>
                <w:szCs w:val="24"/>
              </w:rPr>
              <w:t>High School Model Course Headings:</w:t>
            </w:r>
          </w:p>
          <w:p w14:paraId="18192AEF" w14:textId="77777777" w:rsidR="006B1D0A" w:rsidRPr="007C2CA0" w:rsidRDefault="00234064" w:rsidP="00C86BE4">
            <w:pPr>
              <w:rPr>
                <w:sz w:val="24"/>
                <w:szCs w:val="24"/>
                <w:shd w:val="clear" w:color="auto" w:fill="FBD4B4" w:themeFill="accent6" w:themeFillTint="66"/>
              </w:rPr>
            </w:pPr>
            <w:r w:rsidRPr="007C2CA0">
              <w:rPr>
                <w:sz w:val="24"/>
                <w:szCs w:val="24"/>
              </w:rPr>
              <w:t xml:space="preserve">Algebra I – Building Functions: Build a function with integer domains that models a relationship between two quantities </w:t>
            </w:r>
            <w:r w:rsidRPr="007C2CA0">
              <w:rPr>
                <w:sz w:val="24"/>
                <w:szCs w:val="24"/>
                <w:shd w:val="clear" w:color="auto" w:fill="FBD4B4" w:themeFill="accent6" w:themeFillTint="66"/>
              </w:rPr>
              <w:t>using linear, quadratic, and exponential functions with integer exponents.</w:t>
            </w:r>
          </w:p>
          <w:p w14:paraId="18192AF0" w14:textId="77777777" w:rsidR="00234064" w:rsidRPr="007C2CA0" w:rsidRDefault="00234064" w:rsidP="00C86BE4">
            <w:pPr>
              <w:rPr>
                <w:sz w:val="24"/>
                <w:szCs w:val="24"/>
                <w:shd w:val="clear" w:color="auto" w:fill="FBD4B4" w:themeFill="accent6" w:themeFillTint="66"/>
              </w:rPr>
            </w:pPr>
          </w:p>
          <w:p w14:paraId="18192AF1" w14:textId="77777777" w:rsidR="00234064" w:rsidRPr="007C2CA0" w:rsidRDefault="00234064" w:rsidP="00234064">
            <w:pPr>
              <w:rPr>
                <w:sz w:val="24"/>
                <w:szCs w:val="24"/>
              </w:rPr>
            </w:pPr>
            <w:r w:rsidRPr="007C2CA0">
              <w:rPr>
                <w:sz w:val="24"/>
                <w:szCs w:val="24"/>
              </w:rPr>
              <w:t>Algeb</w:t>
            </w:r>
            <w:r w:rsidR="00691B55">
              <w:rPr>
                <w:sz w:val="24"/>
                <w:szCs w:val="24"/>
              </w:rPr>
              <w:t xml:space="preserve">ra I – Interpreting Functions: </w:t>
            </w:r>
            <w:r w:rsidR="007C2CA0" w:rsidRPr="007C2CA0">
              <w:rPr>
                <w:sz w:val="24"/>
                <w:szCs w:val="24"/>
              </w:rPr>
              <w:t xml:space="preserve">Interpret functions that arise in applications in terms of the context, </w:t>
            </w:r>
            <w:r w:rsidR="007C2CA0" w:rsidRPr="007C2CA0">
              <w:rPr>
                <w:sz w:val="24"/>
                <w:szCs w:val="24"/>
                <w:shd w:val="clear" w:color="auto" w:fill="FBD4B4" w:themeFill="accent6" w:themeFillTint="66"/>
              </w:rPr>
              <w:t>functions include linear, quadratic, and exponential functions with integer exponents.</w:t>
            </w:r>
          </w:p>
        </w:tc>
      </w:tr>
      <w:tr w:rsidR="007C2CA0" w:rsidRPr="002E4E8C" w14:paraId="18192AF4" w14:textId="77777777" w:rsidTr="007C2CA0">
        <w:tc>
          <w:tcPr>
            <w:tcW w:w="13068" w:type="dxa"/>
            <w:gridSpan w:val="2"/>
            <w:tcBorders>
              <w:top w:val="single" w:sz="4" w:space="0" w:color="BFBFBF" w:themeColor="background1" w:themeShade="BF"/>
            </w:tcBorders>
            <w:shd w:val="clear" w:color="auto" w:fill="FDE9D9" w:themeFill="accent6" w:themeFillTint="33"/>
          </w:tcPr>
          <w:p w14:paraId="18192AF3" w14:textId="77777777" w:rsidR="007C2CA0" w:rsidRPr="007C2CA0" w:rsidRDefault="007C2CA0" w:rsidP="007C2CA0">
            <w:pPr>
              <w:rPr>
                <w:rFonts w:cs="Times New Roman"/>
                <w:sz w:val="24"/>
                <w:szCs w:val="24"/>
                <w:highlight w:val="yellow"/>
              </w:rPr>
            </w:pPr>
            <w:r w:rsidRPr="007C2CA0">
              <w:rPr>
                <w:rFonts w:cs="Times New Roman"/>
                <w:b/>
                <w:sz w:val="24"/>
                <w:szCs w:val="24"/>
              </w:rPr>
              <w:t>Rationale:</w:t>
            </w:r>
            <w:r w:rsidRPr="007C2CA0">
              <w:rPr>
                <w:rFonts w:cs="Times New Roman"/>
                <w:sz w:val="24"/>
                <w:szCs w:val="24"/>
              </w:rPr>
              <w:t xml:space="preserve"> Edits were made to course headings and standards to identify </w:t>
            </w:r>
            <w:r w:rsidRPr="007C2CA0">
              <w:rPr>
                <w:rFonts w:cs="Times New Roman"/>
                <w:b/>
                <w:sz w:val="24"/>
                <w:szCs w:val="24"/>
              </w:rPr>
              <w:t>the types of functions</w:t>
            </w:r>
            <w:r w:rsidRPr="007C2CA0">
              <w:rPr>
                <w:rFonts w:cs="Times New Roman"/>
                <w:sz w:val="24"/>
                <w:szCs w:val="24"/>
              </w:rPr>
              <w:t xml:space="preserve"> that are the focus of the Model High School Algebra I course standards (</w:t>
            </w:r>
            <w:r>
              <w:rPr>
                <w:rFonts w:cs="Times New Roman"/>
                <w:sz w:val="24"/>
                <w:szCs w:val="24"/>
              </w:rPr>
              <w:t>t</w:t>
            </w:r>
            <w:r w:rsidRPr="007C2CA0">
              <w:rPr>
                <w:rFonts w:cs="Times New Roman"/>
                <w:sz w:val="24"/>
                <w:szCs w:val="24"/>
              </w:rPr>
              <w:t xml:space="preserve">his was also done </w:t>
            </w:r>
            <w:r>
              <w:rPr>
                <w:rFonts w:cs="Times New Roman"/>
                <w:sz w:val="24"/>
                <w:szCs w:val="24"/>
              </w:rPr>
              <w:t>for the Algebra II Model course</w:t>
            </w:r>
            <w:r w:rsidRPr="007C2CA0">
              <w:rPr>
                <w:rFonts w:cs="Times New Roman"/>
                <w:sz w:val="24"/>
                <w:szCs w:val="24"/>
              </w:rPr>
              <w:t>)</w:t>
            </w:r>
            <w:r>
              <w:rPr>
                <w:rFonts w:cs="Times New Roman"/>
                <w:sz w:val="24"/>
                <w:szCs w:val="24"/>
              </w:rPr>
              <w:t>.</w:t>
            </w:r>
          </w:p>
        </w:tc>
      </w:tr>
    </w:tbl>
    <w:p w14:paraId="18192AF5" w14:textId="77777777" w:rsidR="00C86BE4" w:rsidRDefault="00C86BE4" w:rsidP="00C36DEB"/>
    <w:tbl>
      <w:tblPr>
        <w:tblStyle w:val="TableGrid"/>
        <w:tblpPr w:leftFromText="180" w:rightFromText="180" w:vertAnchor="text" w:horzAnchor="margin" w:tblpY="-13"/>
        <w:tblW w:w="13068" w:type="dxa"/>
        <w:tblLayout w:type="fixed"/>
        <w:tblLook w:val="04A0" w:firstRow="1" w:lastRow="0" w:firstColumn="1" w:lastColumn="0" w:noHBand="0" w:noVBand="1"/>
      </w:tblPr>
      <w:tblGrid>
        <w:gridCol w:w="6534"/>
        <w:gridCol w:w="6534"/>
      </w:tblGrid>
      <w:tr w:rsidR="007C2CA0" w:rsidRPr="002E4E8C" w14:paraId="18192AF7" w14:textId="77777777" w:rsidTr="007C2CA0">
        <w:trPr>
          <w:trHeight w:val="288"/>
        </w:trPr>
        <w:tc>
          <w:tcPr>
            <w:tcW w:w="13068" w:type="dxa"/>
            <w:gridSpan w:val="2"/>
            <w:tcBorders>
              <w:bottom w:val="single" w:sz="4" w:space="0" w:color="auto"/>
            </w:tcBorders>
            <w:shd w:val="clear" w:color="auto" w:fill="FABF8F" w:themeFill="accent6" w:themeFillTint="99"/>
          </w:tcPr>
          <w:p w14:paraId="18192AF6" w14:textId="77777777" w:rsidR="007C2CA0" w:rsidRPr="00D74630" w:rsidRDefault="007C2CA0" w:rsidP="00D74630">
            <w:pPr>
              <w:rPr>
                <w:b/>
              </w:rPr>
            </w:pPr>
            <w:bookmarkStart w:id="6" w:name="_Toc464223611"/>
            <w:r w:rsidRPr="00D74630">
              <w:rPr>
                <w:b/>
                <w:sz w:val="28"/>
              </w:rPr>
              <w:lastRenderedPageBreak/>
              <w:t>Examples of proposed revisions to standards</w:t>
            </w:r>
            <w:bookmarkEnd w:id="6"/>
          </w:p>
        </w:tc>
      </w:tr>
      <w:tr w:rsidR="007C2CA0" w:rsidRPr="002E4E8C" w14:paraId="18192AF9" w14:textId="77777777" w:rsidTr="007C2CA0">
        <w:trPr>
          <w:trHeight w:val="288"/>
        </w:trPr>
        <w:tc>
          <w:tcPr>
            <w:tcW w:w="13068" w:type="dxa"/>
            <w:gridSpan w:val="2"/>
            <w:tcBorders>
              <w:bottom w:val="single" w:sz="4" w:space="0" w:color="auto"/>
            </w:tcBorders>
            <w:shd w:val="clear" w:color="auto" w:fill="FDE9D9" w:themeFill="accent6" w:themeFillTint="33"/>
          </w:tcPr>
          <w:p w14:paraId="18192AF8" w14:textId="77777777" w:rsidR="007C2CA0" w:rsidRPr="005E7D79" w:rsidRDefault="007C2CA0" w:rsidP="007C2CA0">
            <w:pPr>
              <w:pStyle w:val="Heading2"/>
              <w:spacing w:before="0"/>
              <w:outlineLvl w:val="1"/>
              <w:rPr>
                <w:rFonts w:asciiTheme="minorHAnsi" w:hAnsiTheme="minorHAnsi"/>
                <w:color w:val="auto"/>
              </w:rPr>
            </w:pPr>
            <w:bookmarkStart w:id="7" w:name="_Toc464226413"/>
            <w:r w:rsidRPr="005E7D79">
              <w:rPr>
                <w:rFonts w:asciiTheme="minorHAnsi" w:hAnsiTheme="minorHAnsi"/>
                <w:color w:val="auto"/>
              </w:rPr>
              <w:t xml:space="preserve">To increase </w:t>
            </w:r>
            <w:r>
              <w:rPr>
                <w:rFonts w:asciiTheme="minorHAnsi" w:hAnsiTheme="minorHAnsi"/>
                <w:color w:val="auto"/>
              </w:rPr>
              <w:t>or maintain rigor</w:t>
            </w:r>
            <w:bookmarkEnd w:id="7"/>
          </w:p>
        </w:tc>
      </w:tr>
      <w:tr w:rsidR="007C2CA0" w:rsidRPr="002E4E8C" w14:paraId="18192AFE" w14:textId="77777777" w:rsidTr="007C2CA0">
        <w:trPr>
          <w:trHeight w:val="1109"/>
        </w:trPr>
        <w:tc>
          <w:tcPr>
            <w:tcW w:w="6534" w:type="dxa"/>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18192AFA" w14:textId="77777777" w:rsidR="007C2CA0" w:rsidRDefault="007C2CA0" w:rsidP="007C2CA0">
            <w:pPr>
              <w:rPr>
                <w:b/>
                <w:sz w:val="24"/>
                <w:szCs w:val="24"/>
              </w:rPr>
            </w:pPr>
            <w:r>
              <w:rPr>
                <w:b/>
                <w:sz w:val="24"/>
                <w:szCs w:val="24"/>
              </w:rPr>
              <w:t>Proposed Decision:</w:t>
            </w:r>
          </w:p>
          <w:p w14:paraId="18192AFB" w14:textId="77777777" w:rsidR="007C2CA0" w:rsidRPr="007C2CA0" w:rsidRDefault="007C2CA0" w:rsidP="007C2CA0">
            <w:pPr>
              <w:rPr>
                <w:sz w:val="24"/>
                <w:szCs w:val="24"/>
              </w:rPr>
            </w:pPr>
            <w:r>
              <w:rPr>
                <w:sz w:val="24"/>
                <w:szCs w:val="24"/>
              </w:rPr>
              <w:t>Maintain a</w:t>
            </w:r>
            <w:r w:rsidR="00691B55">
              <w:rPr>
                <w:sz w:val="24"/>
                <w:szCs w:val="24"/>
              </w:rPr>
              <w:t xml:space="preserve">ll </w:t>
            </w:r>
            <w:r w:rsidRPr="007C2CA0">
              <w:rPr>
                <w:sz w:val="24"/>
                <w:szCs w:val="24"/>
              </w:rPr>
              <w:t xml:space="preserve">(+) Plus High School Conceptual Category Standards. </w:t>
            </w:r>
          </w:p>
        </w:tc>
        <w:tc>
          <w:tcPr>
            <w:tcW w:w="6534" w:type="dxa"/>
            <w:tcBorders>
              <w:top w:val="single" w:sz="4" w:space="0" w:color="auto"/>
              <w:left w:val="single" w:sz="4" w:space="0" w:color="BFBFBF" w:themeColor="background1" w:themeShade="BF"/>
              <w:bottom w:val="single" w:sz="4" w:space="0" w:color="BFBFBF" w:themeColor="background1" w:themeShade="BF"/>
            </w:tcBorders>
          </w:tcPr>
          <w:p w14:paraId="18192AFC" w14:textId="77777777" w:rsidR="007C2CA0" w:rsidRDefault="007C2CA0" w:rsidP="007C2CA0">
            <w:pPr>
              <w:rPr>
                <w:b/>
                <w:sz w:val="24"/>
                <w:szCs w:val="24"/>
              </w:rPr>
            </w:pPr>
            <w:r>
              <w:rPr>
                <w:b/>
                <w:sz w:val="24"/>
                <w:szCs w:val="24"/>
              </w:rPr>
              <w:t>Discussion:</w:t>
            </w:r>
          </w:p>
          <w:p w14:paraId="18192AFD" w14:textId="77777777" w:rsidR="007C2CA0" w:rsidRPr="006B1D0A" w:rsidRDefault="007C2CA0" w:rsidP="007C2CA0">
            <w:pPr>
              <w:rPr>
                <w:sz w:val="24"/>
                <w:szCs w:val="24"/>
                <w:shd w:val="clear" w:color="auto" w:fill="FBD4B4" w:themeFill="accent6" w:themeFillTint="66"/>
              </w:rPr>
            </w:pPr>
            <w:r w:rsidRPr="007C2CA0">
              <w:rPr>
                <w:sz w:val="24"/>
                <w:szCs w:val="24"/>
              </w:rPr>
              <w:t>Review Panel discussions focused on whether to maintain, move, or edit the (+) Plus High School Standards. The decision was made to keep the (+) plus standards in the Model HS Courses</w:t>
            </w:r>
          </w:p>
        </w:tc>
      </w:tr>
      <w:tr w:rsidR="007C2CA0" w:rsidRPr="002E4E8C" w14:paraId="18192B00" w14:textId="77777777" w:rsidTr="007C2CA0">
        <w:tc>
          <w:tcPr>
            <w:tcW w:w="13068" w:type="dxa"/>
            <w:gridSpan w:val="2"/>
            <w:tcBorders>
              <w:top w:val="single" w:sz="4" w:space="0" w:color="BFBFBF" w:themeColor="background1" w:themeShade="BF"/>
              <w:left w:val="single" w:sz="4" w:space="0" w:color="auto"/>
              <w:bottom w:val="single" w:sz="4" w:space="0" w:color="auto"/>
            </w:tcBorders>
            <w:shd w:val="clear" w:color="auto" w:fill="FDE9D9" w:themeFill="accent6" w:themeFillTint="33"/>
          </w:tcPr>
          <w:p w14:paraId="18192AFF" w14:textId="77777777" w:rsidR="007C2CA0" w:rsidRPr="007C2CA0" w:rsidRDefault="007C2CA0" w:rsidP="007C2CA0">
            <w:pPr>
              <w:rPr>
                <w:sz w:val="24"/>
                <w:szCs w:val="24"/>
              </w:rPr>
            </w:pPr>
            <w:r w:rsidRPr="007C2CA0">
              <w:rPr>
                <w:b/>
                <w:sz w:val="24"/>
                <w:szCs w:val="24"/>
              </w:rPr>
              <w:t>Rationale:</w:t>
            </w:r>
            <w:r w:rsidRPr="007C2CA0">
              <w:rPr>
                <w:sz w:val="24"/>
                <w:szCs w:val="24"/>
              </w:rPr>
              <w:t xml:space="preserve"> </w:t>
            </w:r>
            <w:r w:rsidRPr="007C2CA0">
              <w:rPr>
                <w:rFonts w:cs="Times New Roman"/>
                <w:sz w:val="24"/>
                <w:szCs w:val="24"/>
              </w:rPr>
              <w:t xml:space="preserve"> We discussed whether to maintain, edit, or revise the (+) plus standards located in the high school model and advanced high school model courses. In 2011 we were not able to edit any of these broad conceptual category (+) standards and they were included in the model high school courses and advanced model courses where appropriate. The rationale for keeping all of the (+) standards is that</w:t>
            </w:r>
            <w:r>
              <w:rPr>
                <w:rFonts w:cs="Times New Roman"/>
                <w:sz w:val="24"/>
                <w:szCs w:val="24"/>
              </w:rPr>
              <w:t>,</w:t>
            </w:r>
            <w:r w:rsidRPr="007C2CA0">
              <w:rPr>
                <w:rFonts w:cs="Times New Roman"/>
                <w:sz w:val="24"/>
                <w:szCs w:val="24"/>
              </w:rPr>
              <w:t xml:space="preserve"> as presented</w:t>
            </w:r>
            <w:r>
              <w:rPr>
                <w:rFonts w:cs="Times New Roman"/>
                <w:sz w:val="24"/>
                <w:szCs w:val="24"/>
              </w:rPr>
              <w:t>,</w:t>
            </w:r>
            <w:r w:rsidRPr="007C2CA0">
              <w:rPr>
                <w:rFonts w:cs="Times New Roman"/>
                <w:sz w:val="24"/>
                <w:szCs w:val="24"/>
              </w:rPr>
              <w:t xml:space="preserve"> they are optional and their inclusion provides options for differentiation and further challenge, rigor, and extended learning opportunities for students who are ready for more advanced content related to the course. Any footnotes helping to clarify the content have been incorporated into the wording of the standard itself.</w:t>
            </w:r>
          </w:p>
        </w:tc>
      </w:tr>
    </w:tbl>
    <w:p w14:paraId="18192B01" w14:textId="77777777" w:rsidR="00006FC6" w:rsidRDefault="00006FC6" w:rsidP="00006FC6">
      <w:pPr>
        <w:spacing w:after="0" w:line="240" w:lineRule="auto"/>
      </w:pPr>
    </w:p>
    <w:tbl>
      <w:tblPr>
        <w:tblStyle w:val="TableGrid"/>
        <w:tblpPr w:leftFromText="180" w:rightFromText="180" w:vertAnchor="text" w:horzAnchor="margin" w:tblpY="-13"/>
        <w:tblW w:w="13068" w:type="dxa"/>
        <w:tblLayout w:type="fixed"/>
        <w:tblLook w:val="04A0" w:firstRow="1" w:lastRow="0" w:firstColumn="1" w:lastColumn="0" w:noHBand="0" w:noVBand="1"/>
      </w:tblPr>
      <w:tblGrid>
        <w:gridCol w:w="6534"/>
        <w:gridCol w:w="6534"/>
      </w:tblGrid>
      <w:tr w:rsidR="00006FC6" w:rsidRPr="002E4E8C" w14:paraId="18192B03" w14:textId="77777777" w:rsidTr="00320BA5">
        <w:trPr>
          <w:trHeight w:val="288"/>
        </w:trPr>
        <w:tc>
          <w:tcPr>
            <w:tcW w:w="13068" w:type="dxa"/>
            <w:gridSpan w:val="2"/>
            <w:tcBorders>
              <w:bottom w:val="single" w:sz="4" w:space="0" w:color="auto"/>
            </w:tcBorders>
            <w:shd w:val="clear" w:color="auto" w:fill="FABF8F" w:themeFill="accent6" w:themeFillTint="99"/>
          </w:tcPr>
          <w:p w14:paraId="18192B02" w14:textId="77777777" w:rsidR="00006FC6" w:rsidRPr="00D74630" w:rsidRDefault="00006FC6" w:rsidP="00D74630">
            <w:pPr>
              <w:rPr>
                <w:b/>
                <w:sz w:val="28"/>
              </w:rPr>
            </w:pPr>
            <w:bookmarkStart w:id="8" w:name="_Toc464223613"/>
            <w:r w:rsidRPr="00D74630">
              <w:rPr>
                <w:b/>
                <w:sz w:val="28"/>
              </w:rPr>
              <w:lastRenderedPageBreak/>
              <w:t>Examples of proposed revisions to standards</w:t>
            </w:r>
            <w:bookmarkEnd w:id="8"/>
          </w:p>
        </w:tc>
      </w:tr>
      <w:tr w:rsidR="00006FC6" w:rsidRPr="002E4E8C" w14:paraId="18192B05" w14:textId="77777777" w:rsidTr="00320BA5">
        <w:trPr>
          <w:trHeight w:val="288"/>
        </w:trPr>
        <w:tc>
          <w:tcPr>
            <w:tcW w:w="13068" w:type="dxa"/>
            <w:gridSpan w:val="2"/>
            <w:tcBorders>
              <w:bottom w:val="single" w:sz="4" w:space="0" w:color="auto"/>
            </w:tcBorders>
            <w:shd w:val="clear" w:color="auto" w:fill="FDE9D9" w:themeFill="accent6" w:themeFillTint="33"/>
          </w:tcPr>
          <w:p w14:paraId="18192B04" w14:textId="77777777" w:rsidR="00006FC6" w:rsidRPr="005E7D79" w:rsidRDefault="00006FC6" w:rsidP="00320BA5">
            <w:pPr>
              <w:pStyle w:val="Heading2"/>
              <w:spacing w:before="0"/>
              <w:outlineLvl w:val="1"/>
              <w:rPr>
                <w:rFonts w:asciiTheme="minorHAnsi" w:hAnsiTheme="minorHAnsi"/>
                <w:color w:val="auto"/>
              </w:rPr>
            </w:pPr>
            <w:bookmarkStart w:id="9" w:name="_Toc464226414"/>
            <w:r w:rsidRPr="005E7D79">
              <w:rPr>
                <w:rFonts w:asciiTheme="minorHAnsi" w:hAnsiTheme="minorHAnsi"/>
                <w:color w:val="auto"/>
              </w:rPr>
              <w:t xml:space="preserve">To increase </w:t>
            </w:r>
            <w:r>
              <w:rPr>
                <w:rFonts w:asciiTheme="minorHAnsi" w:hAnsiTheme="minorHAnsi"/>
                <w:color w:val="auto"/>
              </w:rPr>
              <w:t>clarity</w:t>
            </w:r>
            <w:bookmarkEnd w:id="9"/>
          </w:p>
        </w:tc>
      </w:tr>
      <w:tr w:rsidR="00006FC6" w:rsidRPr="002E4E8C" w14:paraId="18192B0C" w14:textId="77777777" w:rsidTr="00320BA5">
        <w:trPr>
          <w:trHeight w:val="1109"/>
        </w:trPr>
        <w:tc>
          <w:tcPr>
            <w:tcW w:w="6534" w:type="dxa"/>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18192B06" w14:textId="77777777" w:rsidR="00006FC6" w:rsidRDefault="00006FC6" w:rsidP="00320BA5">
            <w:pPr>
              <w:rPr>
                <w:b/>
                <w:sz w:val="24"/>
                <w:szCs w:val="24"/>
              </w:rPr>
            </w:pPr>
            <w:r>
              <w:rPr>
                <w:b/>
                <w:sz w:val="24"/>
                <w:szCs w:val="24"/>
              </w:rPr>
              <w:t>Existing:</w:t>
            </w:r>
          </w:p>
          <w:p w14:paraId="18192B07" w14:textId="77777777" w:rsidR="00006FC6" w:rsidRDefault="00006FC6" w:rsidP="00320BA5">
            <w:pPr>
              <w:rPr>
                <w:b/>
                <w:sz w:val="24"/>
                <w:szCs w:val="24"/>
              </w:rPr>
            </w:pPr>
            <w:r>
              <w:rPr>
                <w:b/>
                <w:sz w:val="24"/>
                <w:szCs w:val="24"/>
              </w:rPr>
              <w:t>Grade 4 Number and Operations in Base Ten Standard 2</w:t>
            </w:r>
          </w:p>
          <w:p w14:paraId="18192B08" w14:textId="77777777" w:rsidR="00006FC6" w:rsidRPr="007C2CA0" w:rsidRDefault="00006FC6" w:rsidP="00320BA5">
            <w:pPr>
              <w:rPr>
                <w:sz w:val="24"/>
                <w:szCs w:val="24"/>
              </w:rPr>
            </w:pPr>
            <w:r w:rsidRPr="007C2CA0">
              <w:rPr>
                <w:sz w:val="24"/>
                <w:szCs w:val="24"/>
              </w:rPr>
              <w:t>4.NBT.2</w:t>
            </w:r>
            <w:r>
              <w:rPr>
                <w:sz w:val="24"/>
                <w:szCs w:val="24"/>
              </w:rPr>
              <w:t>.</w:t>
            </w:r>
            <w:r w:rsidRPr="007C2CA0">
              <w:rPr>
                <w:sz w:val="24"/>
                <w:szCs w:val="24"/>
              </w:rPr>
              <w:t xml:space="preserve"> Read and write multi-digit whole numbers using base-ten numerals, number names, and expanded form. Compare two multi-digit numbers based on meanings of the digits in each place, using &lt;, =, and &gt; symbols to record the results of the comparisons</w:t>
            </w:r>
            <w:r>
              <w:rPr>
                <w:sz w:val="24"/>
                <w:szCs w:val="24"/>
              </w:rPr>
              <w:t>.</w:t>
            </w:r>
          </w:p>
        </w:tc>
        <w:tc>
          <w:tcPr>
            <w:tcW w:w="6534" w:type="dxa"/>
            <w:tcBorders>
              <w:top w:val="single" w:sz="4" w:space="0" w:color="auto"/>
              <w:left w:val="single" w:sz="4" w:space="0" w:color="BFBFBF" w:themeColor="background1" w:themeShade="BF"/>
              <w:bottom w:val="single" w:sz="4" w:space="0" w:color="BFBFBF" w:themeColor="background1" w:themeShade="BF"/>
            </w:tcBorders>
          </w:tcPr>
          <w:p w14:paraId="18192B09" w14:textId="77777777" w:rsidR="00006FC6" w:rsidRDefault="00006FC6" w:rsidP="00320BA5">
            <w:pPr>
              <w:rPr>
                <w:b/>
                <w:sz w:val="24"/>
                <w:szCs w:val="24"/>
              </w:rPr>
            </w:pPr>
            <w:r>
              <w:rPr>
                <w:b/>
                <w:sz w:val="24"/>
                <w:szCs w:val="24"/>
              </w:rPr>
              <w:t>Proposed:</w:t>
            </w:r>
          </w:p>
          <w:p w14:paraId="18192B0A" w14:textId="77777777" w:rsidR="00006FC6" w:rsidRDefault="00006FC6" w:rsidP="00320BA5">
            <w:pPr>
              <w:rPr>
                <w:b/>
                <w:sz w:val="24"/>
                <w:szCs w:val="24"/>
              </w:rPr>
            </w:pPr>
            <w:r>
              <w:rPr>
                <w:b/>
                <w:sz w:val="24"/>
                <w:szCs w:val="24"/>
              </w:rPr>
              <w:t>Grade 4 Number and Operations in Base Ten Standard 2</w:t>
            </w:r>
          </w:p>
          <w:p w14:paraId="18192B0B" w14:textId="77777777" w:rsidR="00006FC6" w:rsidRPr="006B1D0A" w:rsidRDefault="00006FC6" w:rsidP="00320BA5">
            <w:pPr>
              <w:rPr>
                <w:sz w:val="24"/>
                <w:szCs w:val="24"/>
                <w:shd w:val="clear" w:color="auto" w:fill="FBD4B4" w:themeFill="accent6" w:themeFillTint="66"/>
              </w:rPr>
            </w:pPr>
            <w:r>
              <w:rPr>
                <w:sz w:val="24"/>
                <w:szCs w:val="24"/>
              </w:rPr>
              <w:t>4.NBT.2</w:t>
            </w:r>
            <w:r w:rsidRPr="007C2CA0">
              <w:rPr>
                <w:sz w:val="24"/>
                <w:szCs w:val="24"/>
              </w:rPr>
              <w:t xml:space="preserve">. </w:t>
            </w:r>
            <w:r w:rsidRPr="007C2CA0">
              <w:rPr>
                <w:rFonts w:cs="Times New Roman"/>
                <w:sz w:val="24"/>
                <w:szCs w:val="24"/>
              </w:rPr>
              <w:t xml:space="preserve">Read and write multi-digit whole numbers </w:t>
            </w:r>
            <w:r w:rsidRPr="007C2CA0">
              <w:rPr>
                <w:rFonts w:cs="Times New Roman"/>
                <w:sz w:val="24"/>
                <w:szCs w:val="24"/>
                <w:shd w:val="clear" w:color="auto" w:fill="FBD4B4" w:themeFill="accent6" w:themeFillTint="66"/>
              </w:rPr>
              <w:t>to the millions place</w:t>
            </w:r>
            <w:r w:rsidRPr="007C2CA0">
              <w:rPr>
                <w:rFonts w:cs="Times New Roman"/>
                <w:sz w:val="24"/>
                <w:szCs w:val="24"/>
              </w:rPr>
              <w:t>,</w:t>
            </w:r>
            <w:r w:rsidRPr="007C2CA0">
              <w:rPr>
                <w:rFonts w:cs="Times New Roman"/>
                <w:color w:val="FF0000"/>
                <w:sz w:val="24"/>
                <w:szCs w:val="24"/>
              </w:rPr>
              <w:t xml:space="preserve"> </w:t>
            </w:r>
            <w:r w:rsidRPr="007C2CA0">
              <w:rPr>
                <w:rFonts w:cs="Times New Roman"/>
                <w:sz w:val="24"/>
                <w:szCs w:val="24"/>
              </w:rPr>
              <w:t xml:space="preserve">using base-ten numerals, number names, and expanded form. Compare two multi-digit numbers </w:t>
            </w:r>
            <w:r w:rsidRPr="007C2CA0">
              <w:rPr>
                <w:rFonts w:cs="Times New Roman"/>
                <w:sz w:val="24"/>
                <w:szCs w:val="24"/>
                <w:shd w:val="clear" w:color="auto" w:fill="FBD4B4" w:themeFill="accent6" w:themeFillTint="66"/>
              </w:rPr>
              <w:t>within a million</w:t>
            </w:r>
            <w:r w:rsidRPr="007C2CA0">
              <w:rPr>
                <w:rFonts w:cs="Times New Roman"/>
                <w:sz w:val="24"/>
                <w:szCs w:val="24"/>
              </w:rPr>
              <w:t>,</w:t>
            </w:r>
            <w:r w:rsidRPr="007C2CA0">
              <w:rPr>
                <w:rFonts w:cs="Times New Roman"/>
                <w:color w:val="FF0000"/>
                <w:sz w:val="24"/>
                <w:szCs w:val="24"/>
              </w:rPr>
              <w:t xml:space="preserve"> </w:t>
            </w:r>
            <w:r w:rsidRPr="007C2CA0">
              <w:rPr>
                <w:rFonts w:cs="Times New Roman"/>
                <w:sz w:val="24"/>
                <w:szCs w:val="24"/>
              </w:rPr>
              <w:t>based on meanings of the digits in each place, using &lt;, =, and &gt; symbols to record the results of the comparisons.</w:t>
            </w:r>
          </w:p>
        </w:tc>
      </w:tr>
      <w:tr w:rsidR="00006FC6" w:rsidRPr="002E4E8C" w14:paraId="18192B0E" w14:textId="77777777" w:rsidTr="00320BA5">
        <w:tc>
          <w:tcPr>
            <w:tcW w:w="13068"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FDE9D9" w:themeFill="accent6" w:themeFillTint="33"/>
          </w:tcPr>
          <w:p w14:paraId="18192B0D" w14:textId="77777777" w:rsidR="00006FC6" w:rsidRPr="007C2CA0" w:rsidRDefault="00006FC6" w:rsidP="00320BA5">
            <w:pPr>
              <w:rPr>
                <w:sz w:val="24"/>
                <w:szCs w:val="24"/>
              </w:rPr>
            </w:pPr>
            <w:r w:rsidRPr="007C2CA0">
              <w:rPr>
                <w:b/>
                <w:sz w:val="24"/>
                <w:szCs w:val="24"/>
              </w:rPr>
              <w:t>Rationale:</w:t>
            </w:r>
            <w:r w:rsidRPr="007C2CA0">
              <w:rPr>
                <w:sz w:val="24"/>
                <w:szCs w:val="24"/>
              </w:rPr>
              <w:t xml:space="preserve"> </w:t>
            </w:r>
            <w:r w:rsidRPr="007C2CA0">
              <w:rPr>
                <w:rFonts w:cs="Times New Roman"/>
                <w:sz w:val="24"/>
                <w:szCs w:val="24"/>
              </w:rPr>
              <w:t xml:space="preserve"> </w:t>
            </w:r>
            <w:r>
              <w:t xml:space="preserve"> </w:t>
            </w:r>
            <w:r w:rsidRPr="007C2CA0">
              <w:rPr>
                <w:rFonts w:cs="Times New Roman"/>
                <w:sz w:val="24"/>
                <w:szCs w:val="24"/>
              </w:rPr>
              <w:t>To clarify the term multi-digit whole number. The standard was edited to identify the place value (millions place) and boundary (up to and including 1,000,000</w:t>
            </w:r>
            <w:r>
              <w:rPr>
                <w:rFonts w:cs="Times New Roman"/>
                <w:sz w:val="24"/>
                <w:szCs w:val="24"/>
              </w:rPr>
              <w:t>)</w:t>
            </w:r>
            <w:r w:rsidRPr="007C2CA0">
              <w:rPr>
                <w:rFonts w:cs="Times New Roman"/>
                <w:sz w:val="24"/>
                <w:szCs w:val="24"/>
              </w:rPr>
              <w:t>.</w:t>
            </w:r>
          </w:p>
        </w:tc>
      </w:tr>
      <w:tr w:rsidR="00006FC6" w:rsidRPr="002E4E8C" w14:paraId="18192B17" w14:textId="77777777" w:rsidTr="00D74630">
        <w:tc>
          <w:tcPr>
            <w:tcW w:w="6534"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auto"/>
          </w:tcPr>
          <w:p w14:paraId="18192B0F" w14:textId="77777777" w:rsidR="00006FC6" w:rsidRDefault="00006FC6" w:rsidP="00320BA5">
            <w:pPr>
              <w:rPr>
                <w:b/>
                <w:sz w:val="24"/>
                <w:szCs w:val="24"/>
              </w:rPr>
            </w:pPr>
            <w:r>
              <w:rPr>
                <w:b/>
                <w:sz w:val="24"/>
                <w:szCs w:val="24"/>
              </w:rPr>
              <w:t>Existing Standard and Related Footnote:</w:t>
            </w:r>
          </w:p>
          <w:p w14:paraId="18192B10" w14:textId="77777777" w:rsidR="00006FC6" w:rsidRDefault="00006FC6" w:rsidP="00320BA5">
            <w:pPr>
              <w:rPr>
                <w:b/>
                <w:sz w:val="24"/>
                <w:szCs w:val="24"/>
              </w:rPr>
            </w:pPr>
            <w:r>
              <w:rPr>
                <w:b/>
                <w:sz w:val="24"/>
                <w:szCs w:val="24"/>
              </w:rPr>
              <w:t>Model Algebra I, Reasoning with Equations and Inequalities Standard 10</w:t>
            </w:r>
          </w:p>
          <w:p w14:paraId="18192B11" w14:textId="77777777" w:rsidR="00006FC6" w:rsidRDefault="00006FC6" w:rsidP="00320BA5">
            <w:pPr>
              <w:rPr>
                <w:sz w:val="24"/>
                <w:szCs w:val="24"/>
              </w:rPr>
            </w:pPr>
            <w:r w:rsidRPr="005C1E40">
              <w:rPr>
                <w:sz w:val="24"/>
                <w:szCs w:val="24"/>
              </w:rPr>
              <w:t>A.REI.10</w:t>
            </w:r>
            <w:r>
              <w:t xml:space="preserve"> </w:t>
            </w:r>
            <w:r w:rsidRPr="005C1E40">
              <w:rPr>
                <w:sz w:val="24"/>
                <w:szCs w:val="24"/>
              </w:rPr>
              <w:t>Understand that the graph of an equation in two variables is the set of all the solutions plotted in the coordinate plane, often forming a curve (which could be a line). Show that any point on the graph of an equation in two variables is a solution to the equation.</w:t>
            </w:r>
          </w:p>
          <w:p w14:paraId="18192B12" w14:textId="77777777" w:rsidR="00006FC6" w:rsidRPr="005C1E40" w:rsidRDefault="00006FC6" w:rsidP="00320BA5">
            <w:pPr>
              <w:rPr>
                <w:i/>
                <w:sz w:val="24"/>
                <w:szCs w:val="24"/>
              </w:rPr>
            </w:pPr>
            <w:r w:rsidRPr="005C1E40">
              <w:rPr>
                <w:i/>
                <w:sz w:val="24"/>
                <w:szCs w:val="24"/>
              </w:rPr>
              <w:t>Related footnote: In Algebra I, functions are limited to linear, absolute value, and exponential functions for this cluster.</w:t>
            </w:r>
          </w:p>
        </w:tc>
        <w:tc>
          <w:tcPr>
            <w:tcW w:w="6534" w:type="dxa"/>
            <w:tcBorders>
              <w:top w:val="single" w:sz="4" w:space="0" w:color="auto"/>
              <w:left w:val="single" w:sz="4" w:space="0" w:color="BFBFBF" w:themeColor="background1" w:themeShade="BF"/>
              <w:bottom w:val="single" w:sz="4" w:space="0" w:color="BFBFBF" w:themeColor="background1" w:themeShade="BF"/>
            </w:tcBorders>
            <w:shd w:val="clear" w:color="auto" w:fill="auto"/>
          </w:tcPr>
          <w:p w14:paraId="18192B13" w14:textId="77777777" w:rsidR="00006FC6" w:rsidRDefault="00006FC6" w:rsidP="00320BA5">
            <w:pPr>
              <w:rPr>
                <w:b/>
                <w:sz w:val="24"/>
                <w:szCs w:val="24"/>
              </w:rPr>
            </w:pPr>
            <w:r>
              <w:rPr>
                <w:b/>
                <w:sz w:val="24"/>
                <w:szCs w:val="24"/>
              </w:rPr>
              <w:t>Proposed:</w:t>
            </w:r>
          </w:p>
          <w:p w14:paraId="18192B14" w14:textId="77777777" w:rsidR="00006FC6" w:rsidRDefault="00006FC6" w:rsidP="00320BA5">
            <w:pPr>
              <w:rPr>
                <w:b/>
                <w:sz w:val="24"/>
                <w:szCs w:val="24"/>
              </w:rPr>
            </w:pPr>
            <w:r>
              <w:rPr>
                <w:b/>
                <w:sz w:val="24"/>
                <w:szCs w:val="24"/>
              </w:rPr>
              <w:t>Model Algebra I, Reasoning with Equations and Inequalities Standard 10</w:t>
            </w:r>
          </w:p>
          <w:p w14:paraId="18192B15" w14:textId="77777777" w:rsidR="00006FC6" w:rsidRPr="005C1E40" w:rsidRDefault="00006FC6" w:rsidP="00320BA5">
            <w:pPr>
              <w:rPr>
                <w:sz w:val="24"/>
                <w:szCs w:val="24"/>
              </w:rPr>
            </w:pPr>
            <w:r w:rsidRPr="005C1E40">
              <w:rPr>
                <w:sz w:val="24"/>
                <w:szCs w:val="24"/>
              </w:rPr>
              <w:t xml:space="preserve">Understand that the graph of an equation </w:t>
            </w:r>
            <w:r w:rsidRPr="005C1E40">
              <w:rPr>
                <w:sz w:val="24"/>
                <w:szCs w:val="24"/>
                <w:shd w:val="clear" w:color="auto" w:fill="FBD4B4" w:themeFill="accent6" w:themeFillTint="66"/>
              </w:rPr>
              <w:t>(equations to include linear, absolute value, and exponential)</w:t>
            </w:r>
            <w:r w:rsidRPr="005C1E40">
              <w:rPr>
                <w:sz w:val="24"/>
                <w:szCs w:val="24"/>
              </w:rPr>
              <w:t xml:space="preserve"> in two variables is the set of all the solutions plotted in the coordinate plane, often forming a curve (which could be a line). Show that any point on the graph of an equation in two variables is a solution to the equation.</w:t>
            </w:r>
          </w:p>
          <w:p w14:paraId="18192B16" w14:textId="77777777" w:rsidR="00006FC6" w:rsidRPr="005C1E40" w:rsidRDefault="00006FC6" w:rsidP="00320BA5">
            <w:pPr>
              <w:rPr>
                <w:i/>
                <w:sz w:val="24"/>
                <w:szCs w:val="24"/>
              </w:rPr>
            </w:pPr>
            <w:r w:rsidRPr="005C1E40">
              <w:rPr>
                <w:i/>
                <w:sz w:val="24"/>
                <w:szCs w:val="24"/>
              </w:rPr>
              <w:t>Footnote eliminated.</w:t>
            </w:r>
          </w:p>
        </w:tc>
      </w:tr>
      <w:tr w:rsidR="00006FC6" w:rsidRPr="002E4E8C" w14:paraId="18192B19" w14:textId="77777777" w:rsidTr="00320BA5">
        <w:tc>
          <w:tcPr>
            <w:tcW w:w="13068" w:type="dxa"/>
            <w:gridSpan w:val="2"/>
            <w:tcBorders>
              <w:top w:val="single" w:sz="4" w:space="0" w:color="BFBFBF" w:themeColor="background1" w:themeShade="BF"/>
              <w:left w:val="single" w:sz="4" w:space="0" w:color="auto"/>
              <w:bottom w:val="single" w:sz="4" w:space="0" w:color="auto"/>
            </w:tcBorders>
            <w:shd w:val="clear" w:color="auto" w:fill="FDE9D9" w:themeFill="accent6" w:themeFillTint="33"/>
          </w:tcPr>
          <w:p w14:paraId="18192B18" w14:textId="77777777" w:rsidR="00006FC6" w:rsidRPr="00E120E1" w:rsidRDefault="00006FC6" w:rsidP="00320BA5">
            <w:pPr>
              <w:rPr>
                <w:sz w:val="24"/>
                <w:szCs w:val="24"/>
              </w:rPr>
            </w:pPr>
            <w:r w:rsidRPr="00E120E1">
              <w:rPr>
                <w:b/>
                <w:sz w:val="24"/>
                <w:szCs w:val="24"/>
              </w:rPr>
              <w:t>Rationale:</w:t>
            </w:r>
            <w:r w:rsidRPr="00E120E1">
              <w:rPr>
                <w:sz w:val="24"/>
                <w:szCs w:val="24"/>
              </w:rPr>
              <w:t xml:space="preserve"> </w:t>
            </w:r>
            <w:r w:rsidRPr="00E120E1">
              <w:rPr>
                <w:rFonts w:cs="Times New Roman"/>
                <w:sz w:val="24"/>
                <w:szCs w:val="24"/>
              </w:rPr>
              <w:t>In 2011 MA was not able to edit the existing CCSS. In order to develop the Model High School Courses, we had to use the broad Conceptual Category standards to create the standards for the model courses and because of their breadth they often crossed a number of traditional course boundaries.  In order to define the content of each course and to present a coherent progression of concepts and skills, we listed the conceptual category standards relevant for each course and then had to create a set of footnotes to explain and clarify the content expectation</w:t>
            </w:r>
            <w:r>
              <w:rPr>
                <w:rFonts w:cs="Times New Roman"/>
                <w:sz w:val="24"/>
                <w:szCs w:val="24"/>
              </w:rPr>
              <w:t>s</w:t>
            </w:r>
            <w:r w:rsidRPr="00E120E1">
              <w:rPr>
                <w:rFonts w:cs="Times New Roman"/>
                <w:sz w:val="24"/>
                <w:szCs w:val="24"/>
              </w:rPr>
              <w:t xml:space="preserve"> and boundaries appropriate for each course. The proposed revisions have edited these broader standards, eliminated most of the footnotes and now provide clearer wording and expectations and more focused progressions of standards for each high school course.</w:t>
            </w:r>
          </w:p>
        </w:tc>
      </w:tr>
    </w:tbl>
    <w:p w14:paraId="18192B1A" w14:textId="77777777" w:rsidR="00006FC6" w:rsidRDefault="00006FC6" w:rsidP="00006FC6">
      <w:pPr>
        <w:spacing w:after="0" w:line="240" w:lineRule="auto"/>
      </w:pPr>
    </w:p>
    <w:tbl>
      <w:tblPr>
        <w:tblStyle w:val="TableGrid"/>
        <w:tblW w:w="13050" w:type="dxa"/>
        <w:tblInd w:w="18" w:type="dxa"/>
        <w:tblLayout w:type="fixed"/>
        <w:tblLook w:val="04A0" w:firstRow="1" w:lastRow="0" w:firstColumn="1" w:lastColumn="0" w:noHBand="0" w:noVBand="1"/>
      </w:tblPr>
      <w:tblGrid>
        <w:gridCol w:w="13050"/>
      </w:tblGrid>
      <w:tr w:rsidR="00AC372B" w:rsidRPr="002E4E8C" w14:paraId="18192B1C" w14:textId="77777777" w:rsidTr="005C1E40">
        <w:tc>
          <w:tcPr>
            <w:tcW w:w="13050" w:type="dxa"/>
            <w:shd w:val="clear" w:color="auto" w:fill="C2D69B" w:themeFill="accent3" w:themeFillTint="99"/>
          </w:tcPr>
          <w:p w14:paraId="18192B1B" w14:textId="77777777" w:rsidR="00BF07CE" w:rsidRPr="009C35B3" w:rsidRDefault="00EC70C4" w:rsidP="009C35B3">
            <w:pPr>
              <w:pStyle w:val="Heading1"/>
              <w:spacing w:before="0"/>
              <w:outlineLvl w:val="0"/>
              <w:rPr>
                <w:rFonts w:asciiTheme="minorHAnsi" w:hAnsiTheme="minorHAnsi"/>
                <w:color w:val="auto"/>
              </w:rPr>
            </w:pPr>
            <w:bookmarkStart w:id="10" w:name="_Toc464226415"/>
            <w:r w:rsidRPr="009C35B3">
              <w:rPr>
                <w:rFonts w:asciiTheme="minorHAnsi" w:hAnsiTheme="minorHAnsi"/>
                <w:color w:val="auto"/>
              </w:rPr>
              <w:lastRenderedPageBreak/>
              <w:t xml:space="preserve">Revisions </w:t>
            </w:r>
            <w:r w:rsidR="0008378F" w:rsidRPr="009C35B3">
              <w:rPr>
                <w:rFonts w:asciiTheme="minorHAnsi" w:hAnsiTheme="minorHAnsi"/>
                <w:color w:val="auto"/>
              </w:rPr>
              <w:t>to Introductory Section and Appendices</w:t>
            </w:r>
            <w:bookmarkEnd w:id="10"/>
          </w:p>
        </w:tc>
      </w:tr>
      <w:tr w:rsidR="00CE003E" w:rsidRPr="002E4E8C" w14:paraId="18192B1E" w14:textId="77777777" w:rsidTr="005C1E40">
        <w:tc>
          <w:tcPr>
            <w:tcW w:w="13050" w:type="dxa"/>
            <w:shd w:val="clear" w:color="auto" w:fill="EAF1DD" w:themeFill="accent3" w:themeFillTint="33"/>
          </w:tcPr>
          <w:p w14:paraId="18192B1D" w14:textId="77777777" w:rsidR="00CE003E" w:rsidRPr="002E4E8C" w:rsidRDefault="00CE003E" w:rsidP="00054EA8">
            <w:pPr>
              <w:rPr>
                <w:b/>
                <w:sz w:val="26"/>
                <w:szCs w:val="26"/>
              </w:rPr>
            </w:pPr>
            <w:r w:rsidRPr="002E4E8C">
              <w:rPr>
                <w:b/>
                <w:sz w:val="26"/>
                <w:szCs w:val="26"/>
              </w:rPr>
              <w:t>Introductory Section</w:t>
            </w:r>
          </w:p>
        </w:tc>
      </w:tr>
      <w:tr w:rsidR="00CE003E" w:rsidRPr="002E4E8C" w14:paraId="18192B20" w14:textId="77777777" w:rsidTr="00CE003E">
        <w:tc>
          <w:tcPr>
            <w:tcW w:w="13050" w:type="dxa"/>
          </w:tcPr>
          <w:p w14:paraId="18192B1F" w14:textId="77777777" w:rsidR="00CE003E" w:rsidRPr="002E4E8C" w:rsidRDefault="005C1E40" w:rsidP="005C1E40">
            <w:pPr>
              <w:pStyle w:val="ListParagraph"/>
              <w:numPr>
                <w:ilvl w:val="0"/>
                <w:numId w:val="3"/>
              </w:numPr>
              <w:rPr>
                <w:sz w:val="24"/>
                <w:szCs w:val="24"/>
              </w:rPr>
            </w:pPr>
            <w:r w:rsidRPr="005C1E40">
              <w:rPr>
                <w:sz w:val="24"/>
                <w:szCs w:val="24"/>
              </w:rPr>
              <w:t xml:space="preserve">Shorten </w:t>
            </w:r>
            <w:r>
              <w:rPr>
                <w:sz w:val="24"/>
                <w:szCs w:val="24"/>
              </w:rPr>
              <w:t>i</w:t>
            </w:r>
            <w:r w:rsidRPr="005C1E40">
              <w:rPr>
                <w:sz w:val="24"/>
                <w:szCs w:val="24"/>
              </w:rPr>
              <w:t xml:space="preserve">ntroductory </w:t>
            </w:r>
            <w:r>
              <w:rPr>
                <w:sz w:val="24"/>
                <w:szCs w:val="24"/>
              </w:rPr>
              <w:t>s</w:t>
            </w:r>
            <w:r w:rsidRPr="005C1E40">
              <w:rPr>
                <w:sz w:val="24"/>
                <w:szCs w:val="24"/>
              </w:rPr>
              <w:t>ection and update it to focus on standards development in Massachusetts 1993-2017.</w:t>
            </w:r>
          </w:p>
        </w:tc>
      </w:tr>
      <w:tr w:rsidR="005C1E40" w:rsidRPr="002E4E8C" w14:paraId="18192B22" w14:textId="77777777" w:rsidTr="005C1E40">
        <w:tc>
          <w:tcPr>
            <w:tcW w:w="13050" w:type="dxa"/>
            <w:shd w:val="clear" w:color="auto" w:fill="EAF1DD" w:themeFill="accent3" w:themeFillTint="33"/>
          </w:tcPr>
          <w:p w14:paraId="18192B21" w14:textId="77777777" w:rsidR="005C1E40" w:rsidRPr="00D74630" w:rsidRDefault="005C1E40" w:rsidP="00CE003E">
            <w:pPr>
              <w:rPr>
                <w:b/>
                <w:bCs/>
                <w:sz w:val="26"/>
                <w:szCs w:val="26"/>
              </w:rPr>
            </w:pPr>
            <w:r w:rsidRPr="00D74630">
              <w:rPr>
                <w:b/>
                <w:bCs/>
                <w:sz w:val="26"/>
                <w:szCs w:val="26"/>
              </w:rPr>
              <w:t>Standards for Mathematical Practice</w:t>
            </w:r>
          </w:p>
        </w:tc>
      </w:tr>
      <w:tr w:rsidR="005C1E40" w:rsidRPr="002E4E8C" w14:paraId="18192B24" w14:textId="77777777" w:rsidTr="005C1E40">
        <w:tc>
          <w:tcPr>
            <w:tcW w:w="13050" w:type="dxa"/>
            <w:shd w:val="clear" w:color="auto" w:fill="auto"/>
          </w:tcPr>
          <w:p w14:paraId="18192B23" w14:textId="77777777" w:rsidR="005C1E40" w:rsidRPr="005C1E40" w:rsidRDefault="005C1E40" w:rsidP="005C1E40">
            <w:pPr>
              <w:pStyle w:val="ListParagraph"/>
              <w:numPr>
                <w:ilvl w:val="0"/>
                <w:numId w:val="18"/>
              </w:numPr>
              <w:rPr>
                <w:sz w:val="24"/>
                <w:szCs w:val="24"/>
              </w:rPr>
            </w:pPr>
            <w:r w:rsidRPr="005C1E40">
              <w:rPr>
                <w:rFonts w:cs="Times New Roman"/>
                <w:sz w:val="24"/>
                <w:szCs w:val="24"/>
              </w:rPr>
              <w:t>The descriptive texts of the practices were revised by grade span- PK-5; 6-8; and high school. Further feedback suggested that we present even more customized descriptions at narrower grade-spans, such as:  PK-1; 2-3; 4-5; 6-8; HS. We are presently developing these descriptions and designing a new format to present more specific examples in a more condensed chart form</w:t>
            </w:r>
            <w:r>
              <w:rPr>
                <w:rFonts w:cs="Times New Roman"/>
                <w:sz w:val="24"/>
                <w:szCs w:val="24"/>
              </w:rPr>
              <w:t xml:space="preserve"> in an effort to </w:t>
            </w:r>
            <w:r w:rsidRPr="005C1E40">
              <w:rPr>
                <w:rFonts w:cs="Times New Roman"/>
                <w:sz w:val="24"/>
                <w:szCs w:val="24"/>
              </w:rPr>
              <w:t>make the standards for mathematical practice more relevant and understandable for teachers of math at all grade levels.</w:t>
            </w:r>
          </w:p>
        </w:tc>
      </w:tr>
      <w:tr w:rsidR="00CE003E" w:rsidRPr="002E4E8C" w14:paraId="18192B26" w14:textId="77777777" w:rsidTr="005C1E40">
        <w:tc>
          <w:tcPr>
            <w:tcW w:w="13050" w:type="dxa"/>
            <w:shd w:val="clear" w:color="auto" w:fill="EAF1DD" w:themeFill="accent3" w:themeFillTint="33"/>
          </w:tcPr>
          <w:p w14:paraId="18192B25" w14:textId="77777777" w:rsidR="00CE003E" w:rsidRPr="002E4E8C" w:rsidRDefault="00CE003E" w:rsidP="00CE003E">
            <w:pPr>
              <w:rPr>
                <w:b/>
                <w:bCs/>
                <w:sz w:val="26"/>
                <w:szCs w:val="26"/>
              </w:rPr>
            </w:pPr>
            <w:r w:rsidRPr="002E4E8C">
              <w:rPr>
                <w:b/>
                <w:bCs/>
                <w:sz w:val="26"/>
                <w:szCs w:val="26"/>
              </w:rPr>
              <w:t>Appendices</w:t>
            </w:r>
          </w:p>
        </w:tc>
      </w:tr>
      <w:tr w:rsidR="00CE003E" w:rsidRPr="002E4E8C" w14:paraId="18192B29" w14:textId="77777777" w:rsidTr="00CE003E">
        <w:tc>
          <w:tcPr>
            <w:tcW w:w="13050" w:type="dxa"/>
          </w:tcPr>
          <w:p w14:paraId="18192B27" w14:textId="77777777" w:rsidR="00CE003E" w:rsidRPr="002E4E8C" w:rsidRDefault="00CE003E" w:rsidP="00CE003E">
            <w:pPr>
              <w:pStyle w:val="ListParagraph"/>
              <w:numPr>
                <w:ilvl w:val="0"/>
                <w:numId w:val="3"/>
              </w:numPr>
              <w:rPr>
                <w:sz w:val="24"/>
                <w:szCs w:val="24"/>
              </w:rPr>
            </w:pPr>
            <w:r w:rsidRPr="002E4E8C">
              <w:rPr>
                <w:sz w:val="24"/>
                <w:szCs w:val="24"/>
              </w:rPr>
              <w:t xml:space="preserve">Update Glossary entries to include important terms in the </w:t>
            </w:r>
            <w:r w:rsidR="00D74630">
              <w:rPr>
                <w:sz w:val="24"/>
                <w:szCs w:val="24"/>
              </w:rPr>
              <w:t>F</w:t>
            </w:r>
            <w:r w:rsidRPr="002E4E8C">
              <w:rPr>
                <w:sz w:val="24"/>
                <w:szCs w:val="24"/>
              </w:rPr>
              <w:t>ramework</w:t>
            </w:r>
            <w:r w:rsidR="005C1E40">
              <w:rPr>
                <w:sz w:val="24"/>
                <w:szCs w:val="24"/>
              </w:rPr>
              <w:t>.</w:t>
            </w:r>
            <w:r w:rsidRPr="002E4E8C">
              <w:rPr>
                <w:sz w:val="24"/>
                <w:szCs w:val="24"/>
              </w:rPr>
              <w:t xml:space="preserve"> </w:t>
            </w:r>
          </w:p>
          <w:p w14:paraId="18192B28" w14:textId="77777777" w:rsidR="00CE003E" w:rsidRPr="005C1E40" w:rsidRDefault="00CE003E" w:rsidP="00D74630">
            <w:pPr>
              <w:pStyle w:val="ListParagraph"/>
              <w:numPr>
                <w:ilvl w:val="0"/>
                <w:numId w:val="3"/>
              </w:numPr>
              <w:rPr>
                <w:sz w:val="24"/>
                <w:szCs w:val="24"/>
              </w:rPr>
            </w:pPr>
            <w:r w:rsidRPr="002E4E8C">
              <w:rPr>
                <w:sz w:val="24"/>
                <w:szCs w:val="24"/>
              </w:rPr>
              <w:t xml:space="preserve">In a digital version of the </w:t>
            </w:r>
            <w:r w:rsidR="00D74630">
              <w:rPr>
                <w:sz w:val="24"/>
                <w:szCs w:val="24"/>
              </w:rPr>
              <w:t>F</w:t>
            </w:r>
            <w:r w:rsidRPr="002E4E8C">
              <w:rPr>
                <w:sz w:val="24"/>
                <w:szCs w:val="24"/>
              </w:rPr>
              <w:t>ramework, hyperlink standards, examples, and glossary terms where appropriate.</w:t>
            </w:r>
          </w:p>
        </w:tc>
      </w:tr>
    </w:tbl>
    <w:p w14:paraId="18192B2A" w14:textId="77777777" w:rsidR="00644CD7" w:rsidRDefault="00644CD7" w:rsidP="007B073E">
      <w:pPr>
        <w:spacing w:after="0"/>
        <w:rPr>
          <w:rFonts w:ascii="Calibri" w:hAnsi="Calibri" w:cs="Calibri"/>
          <w:bCs/>
          <w:sz w:val="24"/>
          <w:szCs w:val="24"/>
        </w:rPr>
      </w:pPr>
    </w:p>
    <w:sectPr w:rsidR="00644CD7" w:rsidSect="009C35B3">
      <w:headerReference w:type="default" r:id="rId13"/>
      <w:footerReference w:type="default" r:id="rId14"/>
      <w:pgSz w:w="15840" w:h="12240" w:orient="landscape"/>
      <w:pgMar w:top="1328" w:right="1440" w:bottom="1440" w:left="1440" w:header="720" w:footer="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92B2D" w14:textId="77777777" w:rsidR="0037632F" w:rsidRDefault="0037632F" w:rsidP="00C36DEB">
      <w:pPr>
        <w:spacing w:after="0" w:line="240" w:lineRule="auto"/>
      </w:pPr>
      <w:r>
        <w:separator/>
      </w:r>
    </w:p>
  </w:endnote>
  <w:endnote w:type="continuationSeparator" w:id="0">
    <w:p w14:paraId="18192B2E" w14:textId="77777777" w:rsidR="0037632F" w:rsidRDefault="0037632F" w:rsidP="00C3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2B33" w14:textId="77777777" w:rsidR="005979C4" w:rsidRDefault="005979C4" w:rsidP="00C36DEB">
    <w:pPr>
      <w:pStyle w:val="Footer"/>
    </w:pPr>
    <w:r>
      <w:t xml:space="preserve">Massachusetts Department of Elementary and Secondary Education  </w:t>
    </w:r>
  </w:p>
  <w:p w14:paraId="18192B34" w14:textId="77777777" w:rsidR="005979C4" w:rsidRDefault="005979C4" w:rsidP="00C36DEB">
    <w:pPr>
      <w:pStyle w:val="Footer"/>
    </w:pPr>
    <w:r>
      <w:t xml:space="preserve">October 24, 2016                                                                                                                                                                                                                              </w:t>
    </w:r>
    <w:sdt>
      <w:sdtPr>
        <w:id w:val="551810810"/>
        <w:docPartObj>
          <w:docPartGallery w:val="Page Numbers (Bottom of Page)"/>
          <w:docPartUnique/>
        </w:docPartObj>
      </w:sdtPr>
      <w:sdtEndPr>
        <w:rPr>
          <w:noProof/>
        </w:rPr>
      </w:sdtEndPr>
      <w:sdtContent>
        <w:r w:rsidR="000C51DF">
          <w:fldChar w:fldCharType="begin"/>
        </w:r>
        <w:r w:rsidR="000C51DF">
          <w:instrText xml:space="preserve"> PAGE   \* MERGEFORMAT </w:instrText>
        </w:r>
        <w:r w:rsidR="000C51DF">
          <w:fldChar w:fldCharType="separate"/>
        </w:r>
        <w:r w:rsidR="000C51DF">
          <w:rPr>
            <w:noProof/>
          </w:rPr>
          <w:t>2</w:t>
        </w:r>
        <w:r w:rsidR="000C51DF">
          <w:rPr>
            <w:noProof/>
          </w:rPr>
          <w:fldChar w:fldCharType="end"/>
        </w:r>
      </w:sdtContent>
    </w:sdt>
  </w:p>
  <w:p w14:paraId="18192B35" w14:textId="77777777" w:rsidR="005979C4" w:rsidRDefault="00597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92B2B" w14:textId="77777777" w:rsidR="0037632F" w:rsidRDefault="0037632F" w:rsidP="00C36DEB">
      <w:pPr>
        <w:spacing w:after="0" w:line="240" w:lineRule="auto"/>
      </w:pPr>
      <w:r>
        <w:separator/>
      </w:r>
    </w:p>
  </w:footnote>
  <w:footnote w:type="continuationSeparator" w:id="0">
    <w:p w14:paraId="18192B2C" w14:textId="77777777" w:rsidR="0037632F" w:rsidRDefault="0037632F" w:rsidP="00C36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2B2F" w14:textId="77777777" w:rsidR="005979C4" w:rsidRDefault="005979C4" w:rsidP="00FD7BC7">
    <w:pPr>
      <w:pStyle w:val="Header"/>
      <w:jc w:val="center"/>
      <w:rPr>
        <w:b/>
        <w:sz w:val="28"/>
        <w:szCs w:val="28"/>
      </w:rPr>
    </w:pPr>
    <w:r w:rsidRPr="00C57A7E">
      <w:rPr>
        <w:b/>
        <w:sz w:val="28"/>
        <w:szCs w:val="28"/>
      </w:rPr>
      <w:t xml:space="preserve">Massachusetts Curriculum Framework for </w:t>
    </w:r>
    <w:r>
      <w:rPr>
        <w:b/>
        <w:sz w:val="28"/>
        <w:szCs w:val="28"/>
      </w:rPr>
      <w:t>Mathematics</w:t>
    </w:r>
    <w:r w:rsidRPr="00C57A7E">
      <w:rPr>
        <w:b/>
        <w:sz w:val="28"/>
        <w:szCs w:val="28"/>
      </w:rPr>
      <w:t xml:space="preserve">   </w:t>
    </w:r>
  </w:p>
  <w:p w14:paraId="18192B30" w14:textId="77777777" w:rsidR="005979C4" w:rsidRDefault="005979C4" w:rsidP="00FD7BC7">
    <w:pPr>
      <w:pStyle w:val="Header"/>
      <w:jc w:val="center"/>
      <w:rPr>
        <w:b/>
        <w:sz w:val="28"/>
        <w:szCs w:val="28"/>
      </w:rPr>
    </w:pPr>
    <w:r w:rsidRPr="00C57A7E">
      <w:rPr>
        <w:b/>
        <w:sz w:val="28"/>
        <w:szCs w:val="28"/>
      </w:rPr>
      <w:t>Standards Review Progress to October 24, 2016</w:t>
    </w:r>
  </w:p>
  <w:p w14:paraId="18192B31" w14:textId="77777777" w:rsidR="005979C4" w:rsidRPr="00C57A7E" w:rsidRDefault="005979C4" w:rsidP="00FD7BC7">
    <w:pPr>
      <w:pStyle w:val="Header"/>
      <w:pBdr>
        <w:bottom w:val="single" w:sz="24" w:space="1" w:color="1F497D" w:themeColor="text2"/>
      </w:pBdr>
      <w:jc w:val="center"/>
      <w:rPr>
        <w:rFonts w:eastAsiaTheme="majorEastAsia" w:cstheme="majorBidi"/>
        <w:sz w:val="32"/>
        <w:szCs w:val="32"/>
      </w:rPr>
    </w:pPr>
    <w:r w:rsidRPr="00C57A7E">
      <w:rPr>
        <w:b/>
        <w:sz w:val="28"/>
        <w:szCs w:val="28"/>
      </w:rPr>
      <w:t xml:space="preserve">Phase 2 - Overview of Major Recommendations                                                                                                                                                                              </w:t>
    </w:r>
  </w:p>
  <w:p w14:paraId="18192B32" w14:textId="77777777" w:rsidR="005979C4" w:rsidRDefault="005979C4" w:rsidP="009C35B3">
    <w:pPr>
      <w:pStyle w:val="Header"/>
      <w:tabs>
        <w:tab w:val="clear" w:pos="9360"/>
        <w:tab w:val="left" w:pos="4680"/>
      </w:tabs>
    </w:pPr>
    <w:r>
      <w:rPr>
        <w:rFonts w:asciiTheme="majorHAnsi" w:hAnsiTheme="majorHAnsi"/>
        <w:b/>
        <w:noProof/>
        <w:sz w:val="24"/>
        <w:szCs w:val="24"/>
      </w:rPr>
      <w:drawing>
        <wp:anchor distT="0" distB="0" distL="114300" distR="114300" simplePos="0" relativeHeight="251660288" behindDoc="0" locked="0" layoutInCell="1" allowOverlap="1" wp14:anchorId="18192B36" wp14:editId="18192B37">
          <wp:simplePos x="0" y="0"/>
          <wp:positionH relativeFrom="column">
            <wp:posOffset>7620497</wp:posOffset>
          </wp:positionH>
          <wp:positionV relativeFrom="paragraph">
            <wp:posOffset>-1001450</wp:posOffset>
          </wp:positionV>
          <wp:extent cx="1205451" cy="596348"/>
          <wp:effectExtent l="19050" t="0" r="0" b="0"/>
          <wp:wrapNone/>
          <wp:docPr id="3" name="Picture 1"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Curriculum/Full%20Logo/695x338/Curriculum-Visual-Tag_695x338_color.jpg"/>
                  <pic:cNvPicPr>
                    <a:picLocks noChangeAspect="1" noChangeArrowheads="1"/>
                  </pic:cNvPicPr>
                </pic:nvPicPr>
                <pic:blipFill>
                  <a:blip r:embed="rId1"/>
                  <a:srcRect/>
                  <a:stretch>
                    <a:fillRect/>
                  </a:stretch>
                </pic:blipFill>
                <pic:spPr bwMode="auto">
                  <a:xfrm>
                    <a:off x="0" y="0"/>
                    <a:ext cx="1205451" cy="596348"/>
                  </a:xfrm>
                  <a:prstGeom prst="rect">
                    <a:avLst/>
                  </a:prstGeom>
                  <a:noFill/>
                  <a:ln w="9525">
                    <a:noFill/>
                    <a:miter lim="800000"/>
                    <a:headEnd/>
                    <a:tailEnd/>
                  </a:ln>
                </pic:spPr>
              </pic:pic>
            </a:graphicData>
          </a:graphic>
        </wp:anchor>
      </w:drawing>
    </w:r>
    <w:r>
      <w:rPr>
        <w:rFonts w:asciiTheme="majorHAnsi" w:hAnsiTheme="majorHAnsi"/>
        <w:b/>
        <w:noProof/>
        <w:sz w:val="24"/>
        <w:szCs w:val="24"/>
      </w:rPr>
      <w:drawing>
        <wp:anchor distT="0" distB="0" distL="114300" distR="114300" simplePos="0" relativeHeight="251659264" behindDoc="0" locked="0" layoutInCell="1" allowOverlap="1" wp14:anchorId="18192B38" wp14:editId="18192B39">
          <wp:simplePos x="0" y="0"/>
          <wp:positionH relativeFrom="column">
            <wp:posOffset>-648860</wp:posOffset>
          </wp:positionH>
          <wp:positionV relativeFrom="paragraph">
            <wp:posOffset>-1001450</wp:posOffset>
          </wp:positionV>
          <wp:extent cx="1288471" cy="628153"/>
          <wp:effectExtent l="19050" t="0" r="6929" b="0"/>
          <wp:wrapNone/>
          <wp:docPr id="4" name="Picture 1" descr="Massachusetts Department of Elementary and Secondary Education Star 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jpg"/>
                  <pic:cNvPicPr>
                    <a:picLocks noChangeAspect="1" noChangeArrowheads="1"/>
                  </pic:cNvPicPr>
                </pic:nvPicPr>
                <pic:blipFill>
                  <a:blip r:embed="rId2"/>
                  <a:srcRect/>
                  <a:stretch>
                    <a:fillRect/>
                  </a:stretch>
                </pic:blipFill>
                <pic:spPr bwMode="auto">
                  <a:xfrm>
                    <a:off x="0" y="0"/>
                    <a:ext cx="1288471" cy="628153"/>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8F2"/>
    <w:multiLevelType w:val="hybridMultilevel"/>
    <w:tmpl w:val="E9423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641C1"/>
    <w:multiLevelType w:val="hybridMultilevel"/>
    <w:tmpl w:val="1AC08BD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793F5A"/>
    <w:multiLevelType w:val="hybridMultilevel"/>
    <w:tmpl w:val="371A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40C1E"/>
    <w:multiLevelType w:val="hybridMultilevel"/>
    <w:tmpl w:val="FB9E6162"/>
    <w:lvl w:ilvl="0" w:tplc="F1E6C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329E4"/>
    <w:multiLevelType w:val="hybridMultilevel"/>
    <w:tmpl w:val="93AA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F788C"/>
    <w:multiLevelType w:val="hybridMultilevel"/>
    <w:tmpl w:val="E2020E02"/>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C3B42D8"/>
    <w:multiLevelType w:val="hybridMultilevel"/>
    <w:tmpl w:val="5B48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B672E"/>
    <w:multiLevelType w:val="hybridMultilevel"/>
    <w:tmpl w:val="8AD8F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E70CB"/>
    <w:multiLevelType w:val="hybridMultilevel"/>
    <w:tmpl w:val="A34E8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904241"/>
    <w:multiLevelType w:val="hybridMultilevel"/>
    <w:tmpl w:val="0E8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80175"/>
    <w:multiLevelType w:val="hybridMultilevel"/>
    <w:tmpl w:val="309AE32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nsid w:val="3C5C57F4"/>
    <w:multiLevelType w:val="hybridMultilevel"/>
    <w:tmpl w:val="29700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A114D"/>
    <w:multiLevelType w:val="hybridMultilevel"/>
    <w:tmpl w:val="662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94D86"/>
    <w:multiLevelType w:val="hybridMultilevel"/>
    <w:tmpl w:val="BC383B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58DB06B2"/>
    <w:multiLevelType w:val="hybridMultilevel"/>
    <w:tmpl w:val="2DBE2B7C"/>
    <w:lvl w:ilvl="0" w:tplc="BC2A1CFE">
      <w:start w:val="1"/>
      <w:numFmt w:val="bullet"/>
      <w:lvlText w:val=""/>
      <w:lvlJc w:val="left"/>
      <w:pPr>
        <w:tabs>
          <w:tab w:val="num" w:pos="720"/>
        </w:tabs>
        <w:ind w:left="720" w:hanging="360"/>
      </w:pPr>
      <w:rPr>
        <w:rFonts w:ascii="Wingdings 2" w:hAnsi="Wingdings 2" w:hint="default"/>
      </w:rPr>
    </w:lvl>
    <w:lvl w:ilvl="1" w:tplc="9E4C6D60" w:tentative="1">
      <w:start w:val="1"/>
      <w:numFmt w:val="bullet"/>
      <w:lvlText w:val=""/>
      <w:lvlJc w:val="left"/>
      <w:pPr>
        <w:tabs>
          <w:tab w:val="num" w:pos="1440"/>
        </w:tabs>
        <w:ind w:left="1440" w:hanging="360"/>
      </w:pPr>
      <w:rPr>
        <w:rFonts w:ascii="Wingdings 2" w:hAnsi="Wingdings 2" w:hint="default"/>
      </w:rPr>
    </w:lvl>
    <w:lvl w:ilvl="2" w:tplc="60061B68" w:tentative="1">
      <w:start w:val="1"/>
      <w:numFmt w:val="bullet"/>
      <w:lvlText w:val=""/>
      <w:lvlJc w:val="left"/>
      <w:pPr>
        <w:tabs>
          <w:tab w:val="num" w:pos="2160"/>
        </w:tabs>
        <w:ind w:left="2160" w:hanging="360"/>
      </w:pPr>
      <w:rPr>
        <w:rFonts w:ascii="Wingdings 2" w:hAnsi="Wingdings 2" w:hint="default"/>
      </w:rPr>
    </w:lvl>
    <w:lvl w:ilvl="3" w:tplc="CC7427E0" w:tentative="1">
      <w:start w:val="1"/>
      <w:numFmt w:val="bullet"/>
      <w:lvlText w:val=""/>
      <w:lvlJc w:val="left"/>
      <w:pPr>
        <w:tabs>
          <w:tab w:val="num" w:pos="2880"/>
        </w:tabs>
        <w:ind w:left="2880" w:hanging="360"/>
      </w:pPr>
      <w:rPr>
        <w:rFonts w:ascii="Wingdings 2" w:hAnsi="Wingdings 2" w:hint="default"/>
      </w:rPr>
    </w:lvl>
    <w:lvl w:ilvl="4" w:tplc="44AA8506" w:tentative="1">
      <w:start w:val="1"/>
      <w:numFmt w:val="bullet"/>
      <w:lvlText w:val=""/>
      <w:lvlJc w:val="left"/>
      <w:pPr>
        <w:tabs>
          <w:tab w:val="num" w:pos="3600"/>
        </w:tabs>
        <w:ind w:left="3600" w:hanging="360"/>
      </w:pPr>
      <w:rPr>
        <w:rFonts w:ascii="Wingdings 2" w:hAnsi="Wingdings 2" w:hint="default"/>
      </w:rPr>
    </w:lvl>
    <w:lvl w:ilvl="5" w:tplc="9ED622AC" w:tentative="1">
      <w:start w:val="1"/>
      <w:numFmt w:val="bullet"/>
      <w:lvlText w:val=""/>
      <w:lvlJc w:val="left"/>
      <w:pPr>
        <w:tabs>
          <w:tab w:val="num" w:pos="4320"/>
        </w:tabs>
        <w:ind w:left="4320" w:hanging="360"/>
      </w:pPr>
      <w:rPr>
        <w:rFonts w:ascii="Wingdings 2" w:hAnsi="Wingdings 2" w:hint="default"/>
      </w:rPr>
    </w:lvl>
    <w:lvl w:ilvl="6" w:tplc="A3069ECA" w:tentative="1">
      <w:start w:val="1"/>
      <w:numFmt w:val="bullet"/>
      <w:lvlText w:val=""/>
      <w:lvlJc w:val="left"/>
      <w:pPr>
        <w:tabs>
          <w:tab w:val="num" w:pos="5040"/>
        </w:tabs>
        <w:ind w:left="5040" w:hanging="360"/>
      </w:pPr>
      <w:rPr>
        <w:rFonts w:ascii="Wingdings 2" w:hAnsi="Wingdings 2" w:hint="default"/>
      </w:rPr>
    </w:lvl>
    <w:lvl w:ilvl="7" w:tplc="568EEA72" w:tentative="1">
      <w:start w:val="1"/>
      <w:numFmt w:val="bullet"/>
      <w:lvlText w:val=""/>
      <w:lvlJc w:val="left"/>
      <w:pPr>
        <w:tabs>
          <w:tab w:val="num" w:pos="5760"/>
        </w:tabs>
        <w:ind w:left="5760" w:hanging="360"/>
      </w:pPr>
      <w:rPr>
        <w:rFonts w:ascii="Wingdings 2" w:hAnsi="Wingdings 2" w:hint="default"/>
      </w:rPr>
    </w:lvl>
    <w:lvl w:ilvl="8" w:tplc="9BDA74DA" w:tentative="1">
      <w:start w:val="1"/>
      <w:numFmt w:val="bullet"/>
      <w:lvlText w:val=""/>
      <w:lvlJc w:val="left"/>
      <w:pPr>
        <w:tabs>
          <w:tab w:val="num" w:pos="6480"/>
        </w:tabs>
        <w:ind w:left="6480" w:hanging="360"/>
      </w:pPr>
      <w:rPr>
        <w:rFonts w:ascii="Wingdings 2" w:hAnsi="Wingdings 2" w:hint="default"/>
      </w:rPr>
    </w:lvl>
  </w:abstractNum>
  <w:abstractNum w:abstractNumId="15">
    <w:nsid w:val="62523991"/>
    <w:multiLevelType w:val="hybridMultilevel"/>
    <w:tmpl w:val="793E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2D25BC"/>
    <w:multiLevelType w:val="hybridMultilevel"/>
    <w:tmpl w:val="139833C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2A2A7F"/>
    <w:multiLevelType w:val="hybridMultilevel"/>
    <w:tmpl w:val="1CB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5"/>
  </w:num>
  <w:num w:numId="5">
    <w:abstractNumId w:val="3"/>
  </w:num>
  <w:num w:numId="6">
    <w:abstractNumId w:val="17"/>
  </w:num>
  <w:num w:numId="7">
    <w:abstractNumId w:val="14"/>
  </w:num>
  <w:num w:numId="8">
    <w:abstractNumId w:val="1"/>
  </w:num>
  <w:num w:numId="9">
    <w:abstractNumId w:val="11"/>
  </w:num>
  <w:num w:numId="10">
    <w:abstractNumId w:val="5"/>
  </w:num>
  <w:num w:numId="11">
    <w:abstractNumId w:val="13"/>
  </w:num>
  <w:num w:numId="12">
    <w:abstractNumId w:val="4"/>
  </w:num>
  <w:num w:numId="13">
    <w:abstractNumId w:val="8"/>
  </w:num>
  <w:num w:numId="14">
    <w:abstractNumId w:val="16"/>
  </w:num>
  <w:num w:numId="15">
    <w:abstractNumId w:val="7"/>
  </w:num>
  <w:num w:numId="16">
    <w:abstractNumId w:val="10"/>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EB"/>
    <w:rsid w:val="00006FC6"/>
    <w:rsid w:val="00016186"/>
    <w:rsid w:val="00022012"/>
    <w:rsid w:val="0004103A"/>
    <w:rsid w:val="000468E0"/>
    <w:rsid w:val="00054EA8"/>
    <w:rsid w:val="00073110"/>
    <w:rsid w:val="0008378F"/>
    <w:rsid w:val="000844F0"/>
    <w:rsid w:val="00085288"/>
    <w:rsid w:val="000863F4"/>
    <w:rsid w:val="000863F7"/>
    <w:rsid w:val="00086D7B"/>
    <w:rsid w:val="00091099"/>
    <w:rsid w:val="00095AEB"/>
    <w:rsid w:val="000A619A"/>
    <w:rsid w:val="000B1B18"/>
    <w:rsid w:val="000C078E"/>
    <w:rsid w:val="000C51DF"/>
    <w:rsid w:val="000D3535"/>
    <w:rsid w:val="000F2CF6"/>
    <w:rsid w:val="000F644A"/>
    <w:rsid w:val="00100A83"/>
    <w:rsid w:val="00103E6D"/>
    <w:rsid w:val="00110268"/>
    <w:rsid w:val="00112316"/>
    <w:rsid w:val="00123622"/>
    <w:rsid w:val="00125D8A"/>
    <w:rsid w:val="00126D22"/>
    <w:rsid w:val="00132F30"/>
    <w:rsid w:val="00133B2B"/>
    <w:rsid w:val="00156B36"/>
    <w:rsid w:val="0016327A"/>
    <w:rsid w:val="001646DC"/>
    <w:rsid w:val="00194C8E"/>
    <w:rsid w:val="00195CDA"/>
    <w:rsid w:val="00195FD2"/>
    <w:rsid w:val="0019794E"/>
    <w:rsid w:val="001A58AF"/>
    <w:rsid w:val="001A6D5F"/>
    <w:rsid w:val="001C0411"/>
    <w:rsid w:val="001C0639"/>
    <w:rsid w:val="001C1717"/>
    <w:rsid w:val="001C711D"/>
    <w:rsid w:val="001C719A"/>
    <w:rsid w:val="001E048F"/>
    <w:rsid w:val="002010F3"/>
    <w:rsid w:val="0020111C"/>
    <w:rsid w:val="00204641"/>
    <w:rsid w:val="00207CE9"/>
    <w:rsid w:val="00217883"/>
    <w:rsid w:val="002204ED"/>
    <w:rsid w:val="00224950"/>
    <w:rsid w:val="00226BF2"/>
    <w:rsid w:val="00232509"/>
    <w:rsid w:val="00234064"/>
    <w:rsid w:val="0023545B"/>
    <w:rsid w:val="00236D04"/>
    <w:rsid w:val="002370D9"/>
    <w:rsid w:val="002453FA"/>
    <w:rsid w:val="0025057B"/>
    <w:rsid w:val="00254656"/>
    <w:rsid w:val="002552E7"/>
    <w:rsid w:val="0027245D"/>
    <w:rsid w:val="002779E2"/>
    <w:rsid w:val="00280A20"/>
    <w:rsid w:val="00282C15"/>
    <w:rsid w:val="00283A12"/>
    <w:rsid w:val="002909DE"/>
    <w:rsid w:val="00290D27"/>
    <w:rsid w:val="002A33D2"/>
    <w:rsid w:val="002B118F"/>
    <w:rsid w:val="002E4E8C"/>
    <w:rsid w:val="002E7B9B"/>
    <w:rsid w:val="002E7E25"/>
    <w:rsid w:val="002F6E1D"/>
    <w:rsid w:val="00301633"/>
    <w:rsid w:val="00303457"/>
    <w:rsid w:val="003110D9"/>
    <w:rsid w:val="003112B8"/>
    <w:rsid w:val="003113AE"/>
    <w:rsid w:val="00320BA5"/>
    <w:rsid w:val="00324AAF"/>
    <w:rsid w:val="00335A7D"/>
    <w:rsid w:val="00340039"/>
    <w:rsid w:val="00344766"/>
    <w:rsid w:val="003566D9"/>
    <w:rsid w:val="00362737"/>
    <w:rsid w:val="00367904"/>
    <w:rsid w:val="0037632F"/>
    <w:rsid w:val="003775B3"/>
    <w:rsid w:val="00382D9D"/>
    <w:rsid w:val="00391FE9"/>
    <w:rsid w:val="00395018"/>
    <w:rsid w:val="003A0821"/>
    <w:rsid w:val="003B2DB8"/>
    <w:rsid w:val="003C115C"/>
    <w:rsid w:val="003F2C42"/>
    <w:rsid w:val="00405989"/>
    <w:rsid w:val="0042209D"/>
    <w:rsid w:val="00430E42"/>
    <w:rsid w:val="00437204"/>
    <w:rsid w:val="00454516"/>
    <w:rsid w:val="004572A9"/>
    <w:rsid w:val="004606F5"/>
    <w:rsid w:val="00462C00"/>
    <w:rsid w:val="004839F2"/>
    <w:rsid w:val="00496DE2"/>
    <w:rsid w:val="004B0BD9"/>
    <w:rsid w:val="004B1193"/>
    <w:rsid w:val="004C70E0"/>
    <w:rsid w:val="004D3E4C"/>
    <w:rsid w:val="004D3FC8"/>
    <w:rsid w:val="004E2662"/>
    <w:rsid w:val="005036D4"/>
    <w:rsid w:val="00503CE2"/>
    <w:rsid w:val="00516328"/>
    <w:rsid w:val="00517EFC"/>
    <w:rsid w:val="005228E6"/>
    <w:rsid w:val="00524798"/>
    <w:rsid w:val="00535354"/>
    <w:rsid w:val="00537DDB"/>
    <w:rsid w:val="005501EF"/>
    <w:rsid w:val="005534A0"/>
    <w:rsid w:val="00554B2A"/>
    <w:rsid w:val="00560E3C"/>
    <w:rsid w:val="00574655"/>
    <w:rsid w:val="00586619"/>
    <w:rsid w:val="00587755"/>
    <w:rsid w:val="00594F62"/>
    <w:rsid w:val="00595687"/>
    <w:rsid w:val="005979C4"/>
    <w:rsid w:val="005A1137"/>
    <w:rsid w:val="005A6A08"/>
    <w:rsid w:val="005C085E"/>
    <w:rsid w:val="005C1E40"/>
    <w:rsid w:val="005E7D79"/>
    <w:rsid w:val="006013C9"/>
    <w:rsid w:val="00606892"/>
    <w:rsid w:val="0062189B"/>
    <w:rsid w:val="00624293"/>
    <w:rsid w:val="00631469"/>
    <w:rsid w:val="00635BA8"/>
    <w:rsid w:val="00640906"/>
    <w:rsid w:val="00644CD7"/>
    <w:rsid w:val="0064553A"/>
    <w:rsid w:val="006559DB"/>
    <w:rsid w:val="00661544"/>
    <w:rsid w:val="006621FA"/>
    <w:rsid w:val="006625FF"/>
    <w:rsid w:val="006724FD"/>
    <w:rsid w:val="0067393A"/>
    <w:rsid w:val="00675F8D"/>
    <w:rsid w:val="0068559A"/>
    <w:rsid w:val="006910BC"/>
    <w:rsid w:val="00691B55"/>
    <w:rsid w:val="0069458B"/>
    <w:rsid w:val="00694D61"/>
    <w:rsid w:val="00697FD4"/>
    <w:rsid w:val="006B1D0A"/>
    <w:rsid w:val="006C768C"/>
    <w:rsid w:val="006D205B"/>
    <w:rsid w:val="006E579E"/>
    <w:rsid w:val="00712B2D"/>
    <w:rsid w:val="00742578"/>
    <w:rsid w:val="007546EC"/>
    <w:rsid w:val="00773AEB"/>
    <w:rsid w:val="00781542"/>
    <w:rsid w:val="00784A65"/>
    <w:rsid w:val="00796494"/>
    <w:rsid w:val="007A4EEA"/>
    <w:rsid w:val="007A7278"/>
    <w:rsid w:val="007B073E"/>
    <w:rsid w:val="007B74F4"/>
    <w:rsid w:val="007C2CA0"/>
    <w:rsid w:val="007C34FD"/>
    <w:rsid w:val="007C5750"/>
    <w:rsid w:val="007D0CB7"/>
    <w:rsid w:val="007D2B4A"/>
    <w:rsid w:val="007E2723"/>
    <w:rsid w:val="00804F81"/>
    <w:rsid w:val="00811F06"/>
    <w:rsid w:val="0081237C"/>
    <w:rsid w:val="00824B6C"/>
    <w:rsid w:val="00825D0B"/>
    <w:rsid w:val="00826500"/>
    <w:rsid w:val="0082667D"/>
    <w:rsid w:val="0083326E"/>
    <w:rsid w:val="00840C1C"/>
    <w:rsid w:val="008630D7"/>
    <w:rsid w:val="00873DFB"/>
    <w:rsid w:val="00891872"/>
    <w:rsid w:val="008A4C0B"/>
    <w:rsid w:val="008A70BD"/>
    <w:rsid w:val="008B70F9"/>
    <w:rsid w:val="008C3254"/>
    <w:rsid w:val="008C3312"/>
    <w:rsid w:val="008D0F8F"/>
    <w:rsid w:val="008D7189"/>
    <w:rsid w:val="008E4BE9"/>
    <w:rsid w:val="008F734D"/>
    <w:rsid w:val="009071C5"/>
    <w:rsid w:val="009115D0"/>
    <w:rsid w:val="009118AD"/>
    <w:rsid w:val="00920E3D"/>
    <w:rsid w:val="009312B9"/>
    <w:rsid w:val="009323BC"/>
    <w:rsid w:val="00933C71"/>
    <w:rsid w:val="009540FC"/>
    <w:rsid w:val="009541FE"/>
    <w:rsid w:val="00963279"/>
    <w:rsid w:val="00973471"/>
    <w:rsid w:val="0097354A"/>
    <w:rsid w:val="00996DE3"/>
    <w:rsid w:val="009A00CB"/>
    <w:rsid w:val="009A1B6B"/>
    <w:rsid w:val="009A77D6"/>
    <w:rsid w:val="009B49DC"/>
    <w:rsid w:val="009C35B3"/>
    <w:rsid w:val="009C6428"/>
    <w:rsid w:val="009D5179"/>
    <w:rsid w:val="009F19A9"/>
    <w:rsid w:val="009F424D"/>
    <w:rsid w:val="00A01627"/>
    <w:rsid w:val="00A05804"/>
    <w:rsid w:val="00A06C50"/>
    <w:rsid w:val="00A22837"/>
    <w:rsid w:val="00A26F5A"/>
    <w:rsid w:val="00A33D58"/>
    <w:rsid w:val="00A424A1"/>
    <w:rsid w:val="00A50930"/>
    <w:rsid w:val="00A53E77"/>
    <w:rsid w:val="00A62440"/>
    <w:rsid w:val="00A858E4"/>
    <w:rsid w:val="00A90275"/>
    <w:rsid w:val="00A9351A"/>
    <w:rsid w:val="00A95E2A"/>
    <w:rsid w:val="00AA1352"/>
    <w:rsid w:val="00AA2036"/>
    <w:rsid w:val="00AA384B"/>
    <w:rsid w:val="00AC372B"/>
    <w:rsid w:val="00AD70CB"/>
    <w:rsid w:val="00AE1340"/>
    <w:rsid w:val="00AE4385"/>
    <w:rsid w:val="00AE6CE9"/>
    <w:rsid w:val="00AF4CAC"/>
    <w:rsid w:val="00B143F3"/>
    <w:rsid w:val="00B164A1"/>
    <w:rsid w:val="00B438D3"/>
    <w:rsid w:val="00B45F9F"/>
    <w:rsid w:val="00B54968"/>
    <w:rsid w:val="00B60830"/>
    <w:rsid w:val="00B63999"/>
    <w:rsid w:val="00B76826"/>
    <w:rsid w:val="00B81155"/>
    <w:rsid w:val="00B86DA9"/>
    <w:rsid w:val="00B93120"/>
    <w:rsid w:val="00B95545"/>
    <w:rsid w:val="00BA52CD"/>
    <w:rsid w:val="00BD115E"/>
    <w:rsid w:val="00BD6843"/>
    <w:rsid w:val="00BF07CE"/>
    <w:rsid w:val="00BF1224"/>
    <w:rsid w:val="00BF2857"/>
    <w:rsid w:val="00BF347B"/>
    <w:rsid w:val="00BF6BFE"/>
    <w:rsid w:val="00C00B56"/>
    <w:rsid w:val="00C04921"/>
    <w:rsid w:val="00C04E44"/>
    <w:rsid w:val="00C27A84"/>
    <w:rsid w:val="00C3653C"/>
    <w:rsid w:val="00C36DEB"/>
    <w:rsid w:val="00C44B5E"/>
    <w:rsid w:val="00C4787E"/>
    <w:rsid w:val="00C57A7E"/>
    <w:rsid w:val="00C65C5F"/>
    <w:rsid w:val="00C7248A"/>
    <w:rsid w:val="00C86BE4"/>
    <w:rsid w:val="00C87D32"/>
    <w:rsid w:val="00C91FB0"/>
    <w:rsid w:val="00CA1A0E"/>
    <w:rsid w:val="00CA42F8"/>
    <w:rsid w:val="00CB6697"/>
    <w:rsid w:val="00CC2183"/>
    <w:rsid w:val="00CD593C"/>
    <w:rsid w:val="00CE003E"/>
    <w:rsid w:val="00CE11F5"/>
    <w:rsid w:val="00CE6B68"/>
    <w:rsid w:val="00CF1D3F"/>
    <w:rsid w:val="00D03611"/>
    <w:rsid w:val="00D06D2C"/>
    <w:rsid w:val="00D11FA0"/>
    <w:rsid w:val="00D16EBF"/>
    <w:rsid w:val="00D50440"/>
    <w:rsid w:val="00D52546"/>
    <w:rsid w:val="00D5432E"/>
    <w:rsid w:val="00D54D95"/>
    <w:rsid w:val="00D72537"/>
    <w:rsid w:val="00D74630"/>
    <w:rsid w:val="00D74C12"/>
    <w:rsid w:val="00D752AB"/>
    <w:rsid w:val="00D7641D"/>
    <w:rsid w:val="00D95F2F"/>
    <w:rsid w:val="00DA7C07"/>
    <w:rsid w:val="00DB2F74"/>
    <w:rsid w:val="00DC0330"/>
    <w:rsid w:val="00DD0E23"/>
    <w:rsid w:val="00DD4981"/>
    <w:rsid w:val="00DF3A96"/>
    <w:rsid w:val="00E112FD"/>
    <w:rsid w:val="00E1182F"/>
    <w:rsid w:val="00E120E1"/>
    <w:rsid w:val="00E14A2B"/>
    <w:rsid w:val="00E304CD"/>
    <w:rsid w:val="00E307F4"/>
    <w:rsid w:val="00E35604"/>
    <w:rsid w:val="00E43789"/>
    <w:rsid w:val="00E43835"/>
    <w:rsid w:val="00E45298"/>
    <w:rsid w:val="00E52294"/>
    <w:rsid w:val="00E64260"/>
    <w:rsid w:val="00E7061E"/>
    <w:rsid w:val="00E771FE"/>
    <w:rsid w:val="00E8524A"/>
    <w:rsid w:val="00E941F8"/>
    <w:rsid w:val="00EA708F"/>
    <w:rsid w:val="00EC57BA"/>
    <w:rsid w:val="00EC70C4"/>
    <w:rsid w:val="00ED2D5D"/>
    <w:rsid w:val="00EE1159"/>
    <w:rsid w:val="00EF3C4C"/>
    <w:rsid w:val="00EF5CEF"/>
    <w:rsid w:val="00F11E41"/>
    <w:rsid w:val="00F1314F"/>
    <w:rsid w:val="00F13B7A"/>
    <w:rsid w:val="00F21C80"/>
    <w:rsid w:val="00F252FA"/>
    <w:rsid w:val="00F37B91"/>
    <w:rsid w:val="00F415BF"/>
    <w:rsid w:val="00F46CCA"/>
    <w:rsid w:val="00F47F28"/>
    <w:rsid w:val="00F60FB4"/>
    <w:rsid w:val="00F67018"/>
    <w:rsid w:val="00F67096"/>
    <w:rsid w:val="00F6779E"/>
    <w:rsid w:val="00F76BD1"/>
    <w:rsid w:val="00F83896"/>
    <w:rsid w:val="00F84B7F"/>
    <w:rsid w:val="00F91A81"/>
    <w:rsid w:val="00FA7BF7"/>
    <w:rsid w:val="00FB1549"/>
    <w:rsid w:val="00FB3B65"/>
    <w:rsid w:val="00FB7D05"/>
    <w:rsid w:val="00FC3888"/>
    <w:rsid w:val="00FD7BC7"/>
    <w:rsid w:val="00FE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819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3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EB"/>
  </w:style>
  <w:style w:type="paragraph" w:styleId="Footer">
    <w:name w:val="footer"/>
    <w:basedOn w:val="Normal"/>
    <w:link w:val="FooterChar"/>
    <w:uiPriority w:val="99"/>
    <w:unhideWhenUsed/>
    <w:rsid w:val="00C3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EB"/>
  </w:style>
  <w:style w:type="paragraph" w:styleId="BalloonText">
    <w:name w:val="Balloon Text"/>
    <w:basedOn w:val="Normal"/>
    <w:link w:val="BalloonTextChar"/>
    <w:uiPriority w:val="99"/>
    <w:semiHidden/>
    <w:unhideWhenUsed/>
    <w:rsid w:val="00C3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EB"/>
    <w:rPr>
      <w:rFonts w:ascii="Tahoma" w:hAnsi="Tahoma" w:cs="Tahoma"/>
      <w:sz w:val="16"/>
      <w:szCs w:val="16"/>
    </w:rPr>
  </w:style>
  <w:style w:type="table" w:styleId="TableGrid">
    <w:name w:val="Table Grid"/>
    <w:basedOn w:val="TableNormal"/>
    <w:uiPriority w:val="59"/>
    <w:rsid w:val="0055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1182F"/>
    <w:rPr>
      <w:color w:val="0000FF"/>
      <w:u w:val="single"/>
    </w:rPr>
  </w:style>
  <w:style w:type="paragraph" w:customStyle="1" w:styleId="HTMLAcronym1">
    <w:name w:val="HTML Acronym1"/>
    <w:rsid w:val="00631469"/>
    <w:pPr>
      <w:tabs>
        <w:tab w:val="left" w:pos="240"/>
      </w:tabs>
      <w:spacing w:after="0" w:line="260" w:lineRule="exact"/>
    </w:pPr>
    <w:rPr>
      <w:rFonts w:ascii="Times New Roman" w:eastAsia="Times New Roman" w:hAnsi="Times New Roman" w:cs="Times New Roman"/>
      <w:noProof/>
      <w:sz w:val="20"/>
      <w:szCs w:val="20"/>
    </w:rPr>
  </w:style>
  <w:style w:type="paragraph" w:customStyle="1" w:styleId="MAstandard-parts">
    <w:name w:val="MA standard-parts"/>
    <w:basedOn w:val="Normal"/>
    <w:qFormat/>
    <w:rsid w:val="00537DDB"/>
    <w:pPr>
      <w:tabs>
        <w:tab w:val="left" w:pos="360"/>
        <w:tab w:val="left" w:pos="720"/>
      </w:tabs>
      <w:spacing w:after="0" w:line="240" w:lineRule="auto"/>
      <w:ind w:left="1080" w:hanging="720"/>
    </w:pPr>
    <w:rPr>
      <w:rFonts w:ascii="Arial" w:eastAsia="Cambria" w:hAnsi="Arial" w:cs="Times New Roman"/>
      <w:sz w:val="18"/>
      <w:szCs w:val="24"/>
    </w:rPr>
  </w:style>
  <w:style w:type="paragraph" w:styleId="HTMLAddress">
    <w:name w:val="HTML Address"/>
    <w:link w:val="HTMLAddressChar"/>
    <w:semiHidden/>
    <w:unhideWhenUsed/>
    <w:rsid w:val="00AC372B"/>
    <w:pPr>
      <w:spacing w:before="65" w:after="130" w:line="260" w:lineRule="exact"/>
    </w:pPr>
    <w:rPr>
      <w:rFonts w:ascii="Times New Roman" w:eastAsia="Times New Roman" w:hAnsi="Times New Roman" w:cs="Times New Roman"/>
      <w:b/>
      <w:noProof/>
      <w:sz w:val="20"/>
      <w:szCs w:val="20"/>
    </w:rPr>
  </w:style>
  <w:style w:type="character" w:customStyle="1" w:styleId="HTMLAddressChar">
    <w:name w:val="HTML Address Char"/>
    <w:basedOn w:val="DefaultParagraphFont"/>
    <w:link w:val="HTMLAddress"/>
    <w:semiHidden/>
    <w:rsid w:val="00AC372B"/>
    <w:rPr>
      <w:rFonts w:ascii="Times New Roman" w:eastAsia="Times New Roman" w:hAnsi="Times New Roman" w:cs="Times New Roman"/>
      <w:b/>
      <w:noProof/>
      <w:sz w:val="20"/>
      <w:szCs w:val="20"/>
    </w:rPr>
  </w:style>
  <w:style w:type="paragraph" w:customStyle="1" w:styleId="Default">
    <w:name w:val="Default"/>
    <w:rsid w:val="0057465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9D5179"/>
    <w:pPr>
      <w:ind w:left="720"/>
      <w:contextualSpacing/>
    </w:pPr>
  </w:style>
  <w:style w:type="character" w:styleId="CommentReference">
    <w:name w:val="annotation reference"/>
    <w:basedOn w:val="DefaultParagraphFont"/>
    <w:uiPriority w:val="99"/>
    <w:semiHidden/>
    <w:unhideWhenUsed/>
    <w:rsid w:val="00873DFB"/>
    <w:rPr>
      <w:sz w:val="16"/>
      <w:szCs w:val="16"/>
    </w:rPr>
  </w:style>
  <w:style w:type="paragraph" w:styleId="CommentText">
    <w:name w:val="annotation text"/>
    <w:basedOn w:val="Normal"/>
    <w:link w:val="CommentTextChar"/>
    <w:uiPriority w:val="99"/>
    <w:semiHidden/>
    <w:unhideWhenUsed/>
    <w:rsid w:val="00873DFB"/>
    <w:pPr>
      <w:spacing w:line="240" w:lineRule="auto"/>
    </w:pPr>
    <w:rPr>
      <w:sz w:val="20"/>
      <w:szCs w:val="20"/>
    </w:rPr>
  </w:style>
  <w:style w:type="character" w:customStyle="1" w:styleId="CommentTextChar">
    <w:name w:val="Comment Text Char"/>
    <w:basedOn w:val="DefaultParagraphFont"/>
    <w:link w:val="CommentText"/>
    <w:uiPriority w:val="99"/>
    <w:semiHidden/>
    <w:rsid w:val="00873DFB"/>
    <w:rPr>
      <w:sz w:val="20"/>
      <w:szCs w:val="20"/>
    </w:rPr>
  </w:style>
  <w:style w:type="paragraph" w:styleId="CommentSubject">
    <w:name w:val="annotation subject"/>
    <w:basedOn w:val="CommentText"/>
    <w:next w:val="CommentText"/>
    <w:link w:val="CommentSubjectChar"/>
    <w:uiPriority w:val="99"/>
    <w:semiHidden/>
    <w:unhideWhenUsed/>
    <w:rsid w:val="00873DFB"/>
    <w:rPr>
      <w:b/>
      <w:bCs/>
    </w:rPr>
  </w:style>
  <w:style w:type="character" w:customStyle="1" w:styleId="CommentSubjectChar">
    <w:name w:val="Comment Subject Char"/>
    <w:basedOn w:val="CommentTextChar"/>
    <w:link w:val="CommentSubject"/>
    <w:uiPriority w:val="99"/>
    <w:semiHidden/>
    <w:rsid w:val="00873DFB"/>
    <w:rPr>
      <w:b/>
      <w:bCs/>
      <w:sz w:val="20"/>
      <w:szCs w:val="20"/>
    </w:rPr>
  </w:style>
  <w:style w:type="character" w:customStyle="1" w:styleId="Heading1Char">
    <w:name w:val="Heading 1 Char"/>
    <w:basedOn w:val="DefaultParagraphFont"/>
    <w:link w:val="Heading1"/>
    <w:uiPriority w:val="9"/>
    <w:rsid w:val="0011231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12316"/>
    <w:pPr>
      <w:outlineLvl w:val="9"/>
    </w:pPr>
  </w:style>
  <w:style w:type="paragraph" w:styleId="TOC1">
    <w:name w:val="toc 1"/>
    <w:basedOn w:val="Normal"/>
    <w:next w:val="Normal"/>
    <w:autoRedefine/>
    <w:uiPriority w:val="39"/>
    <w:unhideWhenUsed/>
    <w:rsid w:val="009C35B3"/>
    <w:pPr>
      <w:tabs>
        <w:tab w:val="right" w:leader="dot" w:pos="12950"/>
      </w:tabs>
      <w:spacing w:after="0" w:line="240" w:lineRule="auto"/>
    </w:pPr>
  </w:style>
  <w:style w:type="character" w:customStyle="1" w:styleId="Heading2Char">
    <w:name w:val="Heading 2 Char"/>
    <w:basedOn w:val="DefaultParagraphFont"/>
    <w:link w:val="Heading2"/>
    <w:uiPriority w:val="9"/>
    <w:rsid w:val="009C35B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C35B3"/>
    <w:pPr>
      <w:spacing w:after="100"/>
      <w:ind w:left="220"/>
    </w:pPr>
  </w:style>
  <w:style w:type="character" w:customStyle="1" w:styleId="ListParagraphChar">
    <w:name w:val="List Paragraph Char"/>
    <w:basedOn w:val="DefaultParagraphFont"/>
    <w:link w:val="ListParagraph"/>
    <w:uiPriority w:val="34"/>
    <w:rsid w:val="00C44B5E"/>
  </w:style>
  <w:style w:type="paragraph" w:styleId="NoSpacing">
    <w:name w:val="No Spacing"/>
    <w:uiPriority w:val="1"/>
    <w:qFormat/>
    <w:rsid w:val="00C86BE4"/>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3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EB"/>
  </w:style>
  <w:style w:type="paragraph" w:styleId="Footer">
    <w:name w:val="footer"/>
    <w:basedOn w:val="Normal"/>
    <w:link w:val="FooterChar"/>
    <w:uiPriority w:val="99"/>
    <w:unhideWhenUsed/>
    <w:rsid w:val="00C3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EB"/>
  </w:style>
  <w:style w:type="paragraph" w:styleId="BalloonText">
    <w:name w:val="Balloon Text"/>
    <w:basedOn w:val="Normal"/>
    <w:link w:val="BalloonTextChar"/>
    <w:uiPriority w:val="99"/>
    <w:semiHidden/>
    <w:unhideWhenUsed/>
    <w:rsid w:val="00C3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EB"/>
    <w:rPr>
      <w:rFonts w:ascii="Tahoma" w:hAnsi="Tahoma" w:cs="Tahoma"/>
      <w:sz w:val="16"/>
      <w:szCs w:val="16"/>
    </w:rPr>
  </w:style>
  <w:style w:type="table" w:styleId="TableGrid">
    <w:name w:val="Table Grid"/>
    <w:basedOn w:val="TableNormal"/>
    <w:uiPriority w:val="59"/>
    <w:rsid w:val="0055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1182F"/>
    <w:rPr>
      <w:color w:val="0000FF"/>
      <w:u w:val="single"/>
    </w:rPr>
  </w:style>
  <w:style w:type="paragraph" w:customStyle="1" w:styleId="HTMLAcronym1">
    <w:name w:val="HTML Acronym1"/>
    <w:rsid w:val="00631469"/>
    <w:pPr>
      <w:tabs>
        <w:tab w:val="left" w:pos="240"/>
      </w:tabs>
      <w:spacing w:after="0" w:line="260" w:lineRule="exact"/>
    </w:pPr>
    <w:rPr>
      <w:rFonts w:ascii="Times New Roman" w:eastAsia="Times New Roman" w:hAnsi="Times New Roman" w:cs="Times New Roman"/>
      <w:noProof/>
      <w:sz w:val="20"/>
      <w:szCs w:val="20"/>
    </w:rPr>
  </w:style>
  <w:style w:type="paragraph" w:customStyle="1" w:styleId="MAstandard-parts">
    <w:name w:val="MA standard-parts"/>
    <w:basedOn w:val="Normal"/>
    <w:qFormat/>
    <w:rsid w:val="00537DDB"/>
    <w:pPr>
      <w:tabs>
        <w:tab w:val="left" w:pos="360"/>
        <w:tab w:val="left" w:pos="720"/>
      </w:tabs>
      <w:spacing w:after="0" w:line="240" w:lineRule="auto"/>
      <w:ind w:left="1080" w:hanging="720"/>
    </w:pPr>
    <w:rPr>
      <w:rFonts w:ascii="Arial" w:eastAsia="Cambria" w:hAnsi="Arial" w:cs="Times New Roman"/>
      <w:sz w:val="18"/>
      <w:szCs w:val="24"/>
    </w:rPr>
  </w:style>
  <w:style w:type="paragraph" w:styleId="HTMLAddress">
    <w:name w:val="HTML Address"/>
    <w:link w:val="HTMLAddressChar"/>
    <w:semiHidden/>
    <w:unhideWhenUsed/>
    <w:rsid w:val="00AC372B"/>
    <w:pPr>
      <w:spacing w:before="65" w:after="130" w:line="260" w:lineRule="exact"/>
    </w:pPr>
    <w:rPr>
      <w:rFonts w:ascii="Times New Roman" w:eastAsia="Times New Roman" w:hAnsi="Times New Roman" w:cs="Times New Roman"/>
      <w:b/>
      <w:noProof/>
      <w:sz w:val="20"/>
      <w:szCs w:val="20"/>
    </w:rPr>
  </w:style>
  <w:style w:type="character" w:customStyle="1" w:styleId="HTMLAddressChar">
    <w:name w:val="HTML Address Char"/>
    <w:basedOn w:val="DefaultParagraphFont"/>
    <w:link w:val="HTMLAddress"/>
    <w:semiHidden/>
    <w:rsid w:val="00AC372B"/>
    <w:rPr>
      <w:rFonts w:ascii="Times New Roman" w:eastAsia="Times New Roman" w:hAnsi="Times New Roman" w:cs="Times New Roman"/>
      <w:b/>
      <w:noProof/>
      <w:sz w:val="20"/>
      <w:szCs w:val="20"/>
    </w:rPr>
  </w:style>
  <w:style w:type="paragraph" w:customStyle="1" w:styleId="Default">
    <w:name w:val="Default"/>
    <w:rsid w:val="0057465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9D5179"/>
    <w:pPr>
      <w:ind w:left="720"/>
      <w:contextualSpacing/>
    </w:pPr>
  </w:style>
  <w:style w:type="character" w:styleId="CommentReference">
    <w:name w:val="annotation reference"/>
    <w:basedOn w:val="DefaultParagraphFont"/>
    <w:uiPriority w:val="99"/>
    <w:semiHidden/>
    <w:unhideWhenUsed/>
    <w:rsid w:val="00873DFB"/>
    <w:rPr>
      <w:sz w:val="16"/>
      <w:szCs w:val="16"/>
    </w:rPr>
  </w:style>
  <w:style w:type="paragraph" w:styleId="CommentText">
    <w:name w:val="annotation text"/>
    <w:basedOn w:val="Normal"/>
    <w:link w:val="CommentTextChar"/>
    <w:uiPriority w:val="99"/>
    <w:semiHidden/>
    <w:unhideWhenUsed/>
    <w:rsid w:val="00873DFB"/>
    <w:pPr>
      <w:spacing w:line="240" w:lineRule="auto"/>
    </w:pPr>
    <w:rPr>
      <w:sz w:val="20"/>
      <w:szCs w:val="20"/>
    </w:rPr>
  </w:style>
  <w:style w:type="character" w:customStyle="1" w:styleId="CommentTextChar">
    <w:name w:val="Comment Text Char"/>
    <w:basedOn w:val="DefaultParagraphFont"/>
    <w:link w:val="CommentText"/>
    <w:uiPriority w:val="99"/>
    <w:semiHidden/>
    <w:rsid w:val="00873DFB"/>
    <w:rPr>
      <w:sz w:val="20"/>
      <w:szCs w:val="20"/>
    </w:rPr>
  </w:style>
  <w:style w:type="paragraph" w:styleId="CommentSubject">
    <w:name w:val="annotation subject"/>
    <w:basedOn w:val="CommentText"/>
    <w:next w:val="CommentText"/>
    <w:link w:val="CommentSubjectChar"/>
    <w:uiPriority w:val="99"/>
    <w:semiHidden/>
    <w:unhideWhenUsed/>
    <w:rsid w:val="00873DFB"/>
    <w:rPr>
      <w:b/>
      <w:bCs/>
    </w:rPr>
  </w:style>
  <w:style w:type="character" w:customStyle="1" w:styleId="CommentSubjectChar">
    <w:name w:val="Comment Subject Char"/>
    <w:basedOn w:val="CommentTextChar"/>
    <w:link w:val="CommentSubject"/>
    <w:uiPriority w:val="99"/>
    <w:semiHidden/>
    <w:rsid w:val="00873DFB"/>
    <w:rPr>
      <w:b/>
      <w:bCs/>
      <w:sz w:val="20"/>
      <w:szCs w:val="20"/>
    </w:rPr>
  </w:style>
  <w:style w:type="character" w:customStyle="1" w:styleId="Heading1Char">
    <w:name w:val="Heading 1 Char"/>
    <w:basedOn w:val="DefaultParagraphFont"/>
    <w:link w:val="Heading1"/>
    <w:uiPriority w:val="9"/>
    <w:rsid w:val="0011231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12316"/>
    <w:pPr>
      <w:outlineLvl w:val="9"/>
    </w:pPr>
  </w:style>
  <w:style w:type="paragraph" w:styleId="TOC1">
    <w:name w:val="toc 1"/>
    <w:basedOn w:val="Normal"/>
    <w:next w:val="Normal"/>
    <w:autoRedefine/>
    <w:uiPriority w:val="39"/>
    <w:unhideWhenUsed/>
    <w:rsid w:val="009C35B3"/>
    <w:pPr>
      <w:tabs>
        <w:tab w:val="right" w:leader="dot" w:pos="12950"/>
      </w:tabs>
      <w:spacing w:after="0" w:line="240" w:lineRule="auto"/>
    </w:pPr>
  </w:style>
  <w:style w:type="character" w:customStyle="1" w:styleId="Heading2Char">
    <w:name w:val="Heading 2 Char"/>
    <w:basedOn w:val="DefaultParagraphFont"/>
    <w:link w:val="Heading2"/>
    <w:uiPriority w:val="9"/>
    <w:rsid w:val="009C35B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C35B3"/>
    <w:pPr>
      <w:spacing w:after="100"/>
      <w:ind w:left="220"/>
    </w:pPr>
  </w:style>
  <w:style w:type="character" w:customStyle="1" w:styleId="ListParagraphChar">
    <w:name w:val="List Paragraph Char"/>
    <w:basedOn w:val="DefaultParagraphFont"/>
    <w:link w:val="ListParagraph"/>
    <w:uiPriority w:val="34"/>
    <w:rsid w:val="00C44B5E"/>
  </w:style>
  <w:style w:type="paragraph" w:styleId="NoSpacing">
    <w:name w:val="No Spacing"/>
    <w:uiPriority w:val="1"/>
    <w:qFormat/>
    <w:rsid w:val="00C86BE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9934">
      <w:bodyDiv w:val="1"/>
      <w:marLeft w:val="0"/>
      <w:marRight w:val="0"/>
      <w:marTop w:val="0"/>
      <w:marBottom w:val="0"/>
      <w:divBdr>
        <w:top w:val="none" w:sz="0" w:space="0" w:color="auto"/>
        <w:left w:val="none" w:sz="0" w:space="0" w:color="auto"/>
        <w:bottom w:val="none" w:sz="0" w:space="0" w:color="auto"/>
        <w:right w:val="none" w:sz="0" w:space="0" w:color="auto"/>
      </w:divBdr>
    </w:div>
    <w:div w:id="72942009">
      <w:bodyDiv w:val="1"/>
      <w:marLeft w:val="0"/>
      <w:marRight w:val="0"/>
      <w:marTop w:val="0"/>
      <w:marBottom w:val="0"/>
      <w:divBdr>
        <w:top w:val="none" w:sz="0" w:space="0" w:color="auto"/>
        <w:left w:val="none" w:sz="0" w:space="0" w:color="auto"/>
        <w:bottom w:val="none" w:sz="0" w:space="0" w:color="auto"/>
        <w:right w:val="none" w:sz="0" w:space="0" w:color="auto"/>
      </w:divBdr>
    </w:div>
    <w:div w:id="158928351">
      <w:bodyDiv w:val="1"/>
      <w:marLeft w:val="0"/>
      <w:marRight w:val="0"/>
      <w:marTop w:val="0"/>
      <w:marBottom w:val="0"/>
      <w:divBdr>
        <w:top w:val="none" w:sz="0" w:space="0" w:color="auto"/>
        <w:left w:val="none" w:sz="0" w:space="0" w:color="auto"/>
        <w:bottom w:val="none" w:sz="0" w:space="0" w:color="auto"/>
        <w:right w:val="none" w:sz="0" w:space="0" w:color="auto"/>
      </w:divBdr>
    </w:div>
    <w:div w:id="217009626">
      <w:bodyDiv w:val="1"/>
      <w:marLeft w:val="0"/>
      <w:marRight w:val="0"/>
      <w:marTop w:val="0"/>
      <w:marBottom w:val="0"/>
      <w:divBdr>
        <w:top w:val="none" w:sz="0" w:space="0" w:color="auto"/>
        <w:left w:val="none" w:sz="0" w:space="0" w:color="auto"/>
        <w:bottom w:val="none" w:sz="0" w:space="0" w:color="auto"/>
        <w:right w:val="none" w:sz="0" w:space="0" w:color="auto"/>
      </w:divBdr>
      <w:divsChild>
        <w:div w:id="307788345">
          <w:marLeft w:val="547"/>
          <w:marRight w:val="0"/>
          <w:marTop w:val="125"/>
          <w:marBottom w:val="0"/>
          <w:divBdr>
            <w:top w:val="none" w:sz="0" w:space="0" w:color="auto"/>
            <w:left w:val="none" w:sz="0" w:space="0" w:color="auto"/>
            <w:bottom w:val="none" w:sz="0" w:space="0" w:color="auto"/>
            <w:right w:val="none" w:sz="0" w:space="0" w:color="auto"/>
          </w:divBdr>
        </w:div>
      </w:divsChild>
    </w:div>
    <w:div w:id="333535802">
      <w:bodyDiv w:val="1"/>
      <w:marLeft w:val="0"/>
      <w:marRight w:val="0"/>
      <w:marTop w:val="0"/>
      <w:marBottom w:val="0"/>
      <w:divBdr>
        <w:top w:val="none" w:sz="0" w:space="0" w:color="auto"/>
        <w:left w:val="none" w:sz="0" w:space="0" w:color="auto"/>
        <w:bottom w:val="none" w:sz="0" w:space="0" w:color="auto"/>
        <w:right w:val="none" w:sz="0" w:space="0" w:color="auto"/>
      </w:divBdr>
    </w:div>
    <w:div w:id="469565802">
      <w:bodyDiv w:val="1"/>
      <w:marLeft w:val="0"/>
      <w:marRight w:val="0"/>
      <w:marTop w:val="0"/>
      <w:marBottom w:val="0"/>
      <w:divBdr>
        <w:top w:val="none" w:sz="0" w:space="0" w:color="auto"/>
        <w:left w:val="none" w:sz="0" w:space="0" w:color="auto"/>
        <w:bottom w:val="none" w:sz="0" w:space="0" w:color="auto"/>
        <w:right w:val="none" w:sz="0" w:space="0" w:color="auto"/>
      </w:divBdr>
    </w:div>
    <w:div w:id="556891679">
      <w:bodyDiv w:val="1"/>
      <w:marLeft w:val="0"/>
      <w:marRight w:val="0"/>
      <w:marTop w:val="0"/>
      <w:marBottom w:val="0"/>
      <w:divBdr>
        <w:top w:val="none" w:sz="0" w:space="0" w:color="auto"/>
        <w:left w:val="none" w:sz="0" w:space="0" w:color="auto"/>
        <w:bottom w:val="none" w:sz="0" w:space="0" w:color="auto"/>
        <w:right w:val="none" w:sz="0" w:space="0" w:color="auto"/>
      </w:divBdr>
    </w:div>
    <w:div w:id="885751355">
      <w:bodyDiv w:val="1"/>
      <w:marLeft w:val="0"/>
      <w:marRight w:val="0"/>
      <w:marTop w:val="0"/>
      <w:marBottom w:val="0"/>
      <w:divBdr>
        <w:top w:val="none" w:sz="0" w:space="0" w:color="auto"/>
        <w:left w:val="none" w:sz="0" w:space="0" w:color="auto"/>
        <w:bottom w:val="none" w:sz="0" w:space="0" w:color="auto"/>
        <w:right w:val="none" w:sz="0" w:space="0" w:color="auto"/>
      </w:divBdr>
    </w:div>
    <w:div w:id="932058226">
      <w:bodyDiv w:val="1"/>
      <w:marLeft w:val="0"/>
      <w:marRight w:val="0"/>
      <w:marTop w:val="0"/>
      <w:marBottom w:val="0"/>
      <w:divBdr>
        <w:top w:val="none" w:sz="0" w:space="0" w:color="auto"/>
        <w:left w:val="none" w:sz="0" w:space="0" w:color="auto"/>
        <w:bottom w:val="none" w:sz="0" w:space="0" w:color="auto"/>
        <w:right w:val="none" w:sz="0" w:space="0" w:color="auto"/>
      </w:divBdr>
    </w:div>
    <w:div w:id="938832570">
      <w:bodyDiv w:val="1"/>
      <w:marLeft w:val="0"/>
      <w:marRight w:val="0"/>
      <w:marTop w:val="0"/>
      <w:marBottom w:val="0"/>
      <w:divBdr>
        <w:top w:val="none" w:sz="0" w:space="0" w:color="auto"/>
        <w:left w:val="none" w:sz="0" w:space="0" w:color="auto"/>
        <w:bottom w:val="none" w:sz="0" w:space="0" w:color="auto"/>
        <w:right w:val="none" w:sz="0" w:space="0" w:color="auto"/>
      </w:divBdr>
    </w:div>
    <w:div w:id="1095663167">
      <w:bodyDiv w:val="1"/>
      <w:marLeft w:val="0"/>
      <w:marRight w:val="0"/>
      <w:marTop w:val="0"/>
      <w:marBottom w:val="0"/>
      <w:divBdr>
        <w:top w:val="none" w:sz="0" w:space="0" w:color="auto"/>
        <w:left w:val="none" w:sz="0" w:space="0" w:color="auto"/>
        <w:bottom w:val="none" w:sz="0" w:space="0" w:color="auto"/>
        <w:right w:val="none" w:sz="0" w:space="0" w:color="auto"/>
      </w:divBdr>
    </w:div>
    <w:div w:id="1371569487">
      <w:bodyDiv w:val="1"/>
      <w:marLeft w:val="0"/>
      <w:marRight w:val="0"/>
      <w:marTop w:val="0"/>
      <w:marBottom w:val="0"/>
      <w:divBdr>
        <w:top w:val="none" w:sz="0" w:space="0" w:color="auto"/>
        <w:left w:val="none" w:sz="0" w:space="0" w:color="auto"/>
        <w:bottom w:val="none" w:sz="0" w:space="0" w:color="auto"/>
        <w:right w:val="none" w:sz="0" w:space="0" w:color="auto"/>
      </w:divBdr>
    </w:div>
    <w:div w:id="1452548650">
      <w:bodyDiv w:val="1"/>
      <w:marLeft w:val="0"/>
      <w:marRight w:val="0"/>
      <w:marTop w:val="0"/>
      <w:marBottom w:val="0"/>
      <w:divBdr>
        <w:top w:val="none" w:sz="0" w:space="0" w:color="auto"/>
        <w:left w:val="none" w:sz="0" w:space="0" w:color="auto"/>
        <w:bottom w:val="none" w:sz="0" w:space="0" w:color="auto"/>
        <w:right w:val="none" w:sz="0" w:space="0" w:color="auto"/>
      </w:divBdr>
    </w:div>
    <w:div w:id="1744061136">
      <w:bodyDiv w:val="1"/>
      <w:marLeft w:val="0"/>
      <w:marRight w:val="0"/>
      <w:marTop w:val="0"/>
      <w:marBottom w:val="0"/>
      <w:divBdr>
        <w:top w:val="none" w:sz="0" w:space="0" w:color="auto"/>
        <w:left w:val="none" w:sz="0" w:space="0" w:color="auto"/>
        <w:bottom w:val="none" w:sz="0" w:space="0" w:color="auto"/>
        <w:right w:val="none" w:sz="0" w:space="0" w:color="auto"/>
      </w:divBdr>
    </w:div>
    <w:div w:id="1865290368">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DESE-231-28749</_dlc_DocId>
    <_dlc_DocIdUrl xmlns="733efe1c-5bbe-4968-87dc-d400e65c879f">
      <Url>https://sharepoint.doemass.org/ese/webteam/cps/_layouts/DocIdRedir.aspx?ID=DESE-231-28749</Url>
      <Description>DESE-231-28749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DA1C-9A62-45AD-92D6-964D7AF04216}">
  <ds:schemaRefs>
    <ds:schemaRef ds:uri="http://schemas.microsoft.com/sharepoint/events"/>
  </ds:schemaRefs>
</ds:datastoreItem>
</file>

<file path=customXml/itemProps2.xml><?xml version="1.0" encoding="utf-8"?>
<ds:datastoreItem xmlns:ds="http://schemas.openxmlformats.org/officeDocument/2006/customXml" ds:itemID="{3033D478-6763-49C4-A816-2BECF2DDE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FDC50-016B-4330-82A2-FB7F4841B231}">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733efe1c-5bbe-4968-87dc-d400e65c879f"/>
    <ds:schemaRef ds:uri="0a4e05da-b9bc-4326-ad73-01ef31b95567"/>
    <ds:schemaRef ds:uri="http://www.w3.org/XML/1998/namespace"/>
  </ds:schemaRefs>
</ds:datastoreItem>
</file>

<file path=customXml/itemProps4.xml><?xml version="1.0" encoding="utf-8"?>
<ds:datastoreItem xmlns:ds="http://schemas.openxmlformats.org/officeDocument/2006/customXml" ds:itemID="{0C3D6963-46BD-4405-A511-994D5611F1BC}">
  <ds:schemaRefs>
    <ds:schemaRef ds:uri="http://schemas.microsoft.com/sharepoint/v3/contenttype/forms"/>
  </ds:schemaRefs>
</ds:datastoreItem>
</file>

<file path=customXml/itemProps5.xml><?xml version="1.0" encoding="utf-8"?>
<ds:datastoreItem xmlns:ds="http://schemas.openxmlformats.org/officeDocument/2006/customXml" ds:itemID="{60C1201B-0F29-4470-B237-157D6370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2772</Words>
  <Characters>15777</Characters>
  <Application>Microsoft Office Word</Application>
  <DocSecurity>0</DocSecurity>
  <Lines>478</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4, Overview of Major Reccomendations MA Curriculum Frameworks for Mathematics</dc:title>
  <dc:creator/>
  <cp:lastModifiedBy/>
  <cp:revision>1</cp:revision>
  <dcterms:created xsi:type="dcterms:W3CDTF">2016-10-18T21:41:00Z</dcterms:created>
  <dcterms:modified xsi:type="dcterms:W3CDTF">2016-10-18T21:41:00Z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8800d0bf-2471-4291-9ba2-ea5e68bbf3b2</vt:lpwstr>
  </property>
</Properties>
</file>