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CC23" w14:textId="77777777" w:rsidR="00FD23FE" w:rsidRDefault="00DA738C">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335BCCE5" wp14:editId="335BCCE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FD23FE">
        <w:rPr>
          <w:rFonts w:ascii="Arial" w:hAnsi="Arial"/>
          <w:b/>
          <w:i/>
          <w:sz w:val="40"/>
        </w:rPr>
        <w:t>Massachusetts Department of</w:t>
      </w:r>
    </w:p>
    <w:p w14:paraId="335BCC24" w14:textId="77777777" w:rsidR="00FD23FE" w:rsidRDefault="00FD23FE">
      <w:pPr>
        <w:outlineLvl w:val="0"/>
        <w:rPr>
          <w:rFonts w:ascii="Arial" w:hAnsi="Arial"/>
          <w:b/>
          <w:i/>
          <w:sz w:val="50"/>
        </w:rPr>
      </w:pPr>
      <w:r>
        <w:rPr>
          <w:rFonts w:ascii="Arial" w:hAnsi="Arial"/>
          <w:b/>
          <w:i/>
          <w:sz w:val="40"/>
        </w:rPr>
        <w:t>Elementary and Secondary Education</w:t>
      </w:r>
    </w:p>
    <w:p w14:paraId="335BCC25" w14:textId="5E94E255" w:rsidR="00FD23FE" w:rsidRDefault="00D74C24">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35BCCE7" wp14:editId="2043A81B">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39C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335BCC26"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335BCC27" w14:textId="77777777" w:rsidR="00FD23FE" w:rsidRDefault="00FD23FE">
      <w:pPr>
        <w:pStyle w:val="Heading2"/>
        <w:tabs>
          <w:tab w:val="right" w:pos="9000"/>
        </w:tabs>
        <w:jc w:val="left"/>
        <w:rPr>
          <w:sz w:val="16"/>
          <w:szCs w:val="16"/>
        </w:rPr>
      </w:pPr>
      <w:r>
        <w:rPr>
          <w:sz w:val="16"/>
          <w:szCs w:val="16"/>
        </w:rPr>
        <w:t xml:space="preserve">                                                                                                                 TTY: N.E.T. Relay 1-800-439-2370</w:t>
      </w:r>
    </w:p>
    <w:p w14:paraId="335BCC28" w14:textId="77777777" w:rsidR="00FD23FE" w:rsidRDefault="00FD23FE">
      <w:pPr>
        <w:ind w:left="720"/>
        <w:rPr>
          <w:rFonts w:ascii="Arial" w:hAnsi="Arial"/>
          <w:i/>
          <w:sz w:val="16"/>
          <w:szCs w:val="16"/>
        </w:rPr>
      </w:pPr>
    </w:p>
    <w:p w14:paraId="335BCC29"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335BCC2A"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335BCC2E" w14:textId="77777777">
        <w:tc>
          <w:tcPr>
            <w:tcW w:w="2988" w:type="dxa"/>
          </w:tcPr>
          <w:p w14:paraId="335BCC2B" w14:textId="77777777" w:rsidR="00FD23FE" w:rsidRDefault="00FD23FE">
            <w:pPr>
              <w:jc w:val="center"/>
              <w:rPr>
                <w:rFonts w:ascii="Arial" w:hAnsi="Arial" w:cs="Arial"/>
                <w:sz w:val="16"/>
                <w:szCs w:val="16"/>
              </w:rPr>
            </w:pPr>
            <w:r>
              <w:rPr>
                <w:rFonts w:ascii="Arial" w:hAnsi="Arial" w:cs="Arial"/>
                <w:sz w:val="16"/>
                <w:szCs w:val="16"/>
              </w:rPr>
              <w:t>Mitchell D. Chester, Ed.D.</w:t>
            </w:r>
          </w:p>
          <w:p w14:paraId="335BCC2C"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335BCC2D" w14:textId="77777777" w:rsidR="00FD23FE" w:rsidRDefault="00FD23FE">
            <w:pPr>
              <w:jc w:val="center"/>
              <w:rPr>
                <w:rFonts w:ascii="Arial" w:hAnsi="Arial"/>
                <w:i/>
                <w:sz w:val="16"/>
                <w:szCs w:val="16"/>
              </w:rPr>
            </w:pPr>
          </w:p>
        </w:tc>
      </w:tr>
    </w:tbl>
    <w:p w14:paraId="335BCC2F" w14:textId="77777777" w:rsidR="00FD23FE" w:rsidRDefault="00FD23FE">
      <w:pPr>
        <w:rPr>
          <w:rFonts w:ascii="Arial" w:hAnsi="Arial"/>
          <w:i/>
          <w:sz w:val="18"/>
        </w:rPr>
      </w:pPr>
    </w:p>
    <w:p w14:paraId="335BCC30"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35BCC31" w14:textId="77777777" w:rsidR="00FD23FE" w:rsidRDefault="00FD23FE">
      <w:pPr>
        <w:pStyle w:val="Heading1"/>
        <w:tabs>
          <w:tab w:val="clear" w:pos="4680"/>
        </w:tabs>
      </w:pPr>
      <w:r>
        <w:t>MEMORANDUM</w:t>
      </w:r>
    </w:p>
    <w:p w14:paraId="335BCC32"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14:paraId="335BCC35" w14:textId="77777777">
        <w:tc>
          <w:tcPr>
            <w:tcW w:w="1188" w:type="dxa"/>
          </w:tcPr>
          <w:p w14:paraId="335BCC33" w14:textId="77777777" w:rsidR="00FD23FE" w:rsidRDefault="00FD23FE">
            <w:pPr>
              <w:rPr>
                <w:b/>
              </w:rPr>
            </w:pPr>
            <w:r>
              <w:rPr>
                <w:b/>
              </w:rPr>
              <w:t>To:</w:t>
            </w:r>
          </w:p>
        </w:tc>
        <w:tc>
          <w:tcPr>
            <w:tcW w:w="8388" w:type="dxa"/>
          </w:tcPr>
          <w:p w14:paraId="335BCC34" w14:textId="77777777"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14:paraId="335BCC38" w14:textId="77777777">
        <w:tc>
          <w:tcPr>
            <w:tcW w:w="1188" w:type="dxa"/>
          </w:tcPr>
          <w:p w14:paraId="335BCC36" w14:textId="77777777" w:rsidR="00FD23FE" w:rsidRDefault="00FD23FE">
            <w:pPr>
              <w:rPr>
                <w:b/>
              </w:rPr>
            </w:pPr>
            <w:r>
              <w:rPr>
                <w:b/>
              </w:rPr>
              <w:t>From:</w:t>
            </w:r>
            <w:r>
              <w:tab/>
            </w:r>
          </w:p>
        </w:tc>
        <w:tc>
          <w:tcPr>
            <w:tcW w:w="8388" w:type="dxa"/>
          </w:tcPr>
          <w:p w14:paraId="335BCC37" w14:textId="77777777" w:rsidR="00FD23FE"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FD23FE" w14:paraId="335BCC3B" w14:textId="77777777">
        <w:tc>
          <w:tcPr>
            <w:tcW w:w="1188" w:type="dxa"/>
          </w:tcPr>
          <w:p w14:paraId="335BCC39" w14:textId="77777777" w:rsidR="00FD23FE" w:rsidRDefault="00FD23FE">
            <w:pPr>
              <w:rPr>
                <w:b/>
              </w:rPr>
            </w:pPr>
            <w:r>
              <w:rPr>
                <w:b/>
              </w:rPr>
              <w:t>Date:</w:t>
            </w:r>
            <w:r>
              <w:tab/>
            </w:r>
          </w:p>
        </w:tc>
        <w:tc>
          <w:tcPr>
            <w:tcW w:w="8388" w:type="dxa"/>
          </w:tcPr>
          <w:p w14:paraId="335BCC3A" w14:textId="77777777" w:rsidR="00FD23FE" w:rsidRDefault="00270528">
            <w:pPr>
              <w:pStyle w:val="Footer"/>
              <w:widowControl w:val="0"/>
              <w:tabs>
                <w:tab w:val="clear" w:pos="4320"/>
                <w:tab w:val="clear" w:pos="8640"/>
              </w:tabs>
              <w:rPr>
                <w:bCs/>
                <w:snapToGrid w:val="0"/>
                <w:szCs w:val="20"/>
              </w:rPr>
            </w:pPr>
            <w:r>
              <w:rPr>
                <w:bCs/>
                <w:snapToGrid w:val="0"/>
                <w:szCs w:val="20"/>
              </w:rPr>
              <w:t>December 9, 2016</w:t>
            </w:r>
          </w:p>
        </w:tc>
      </w:tr>
      <w:tr w:rsidR="00FD23FE" w14:paraId="335BCC3E" w14:textId="77777777">
        <w:tc>
          <w:tcPr>
            <w:tcW w:w="1188" w:type="dxa"/>
          </w:tcPr>
          <w:p w14:paraId="335BCC3C" w14:textId="77777777" w:rsidR="00FD23FE" w:rsidRDefault="00FD23FE">
            <w:pPr>
              <w:rPr>
                <w:b/>
              </w:rPr>
            </w:pPr>
            <w:r>
              <w:rPr>
                <w:b/>
              </w:rPr>
              <w:t>Subject:</w:t>
            </w:r>
          </w:p>
        </w:tc>
        <w:tc>
          <w:tcPr>
            <w:tcW w:w="8388" w:type="dxa"/>
          </w:tcPr>
          <w:p w14:paraId="335BCC3D" w14:textId="77777777" w:rsidR="004E02B6" w:rsidRPr="00270528" w:rsidRDefault="00270528">
            <w:pPr>
              <w:pStyle w:val="Footer"/>
              <w:widowControl w:val="0"/>
              <w:tabs>
                <w:tab w:val="clear" w:pos="4320"/>
                <w:tab w:val="clear" w:pos="8640"/>
              </w:tabs>
              <w:rPr>
                <w:bCs/>
                <w:snapToGrid w:val="0"/>
                <w:szCs w:val="20"/>
              </w:rPr>
            </w:pPr>
            <w:bookmarkStart w:id="1" w:name="OLE_LINK3"/>
            <w:bookmarkStart w:id="2" w:name="OLE_LINK4"/>
            <w:r>
              <w:t xml:space="preserve">Charter Schools – </w:t>
            </w:r>
            <w:bookmarkStart w:id="3" w:name="OLE_LINK1"/>
            <w:bookmarkStart w:id="4" w:name="OLE_LINK2"/>
            <w:r>
              <w:t>Report on Probation for Martin Luther King, Jr. Charter School of Excellence</w:t>
            </w:r>
            <w:r w:rsidR="008C327E">
              <w:rPr>
                <w:bCs/>
                <w:snapToGrid w:val="0"/>
                <w:szCs w:val="20"/>
              </w:rPr>
              <w:t xml:space="preserve"> </w:t>
            </w:r>
            <w:bookmarkEnd w:id="1"/>
            <w:bookmarkEnd w:id="2"/>
            <w:bookmarkEnd w:id="3"/>
            <w:bookmarkEnd w:id="4"/>
          </w:p>
        </w:tc>
      </w:tr>
    </w:tbl>
    <w:p w14:paraId="335BCC3F" w14:textId="77777777" w:rsidR="00FD23FE" w:rsidRDefault="00FD23FE">
      <w:pPr>
        <w:pBdr>
          <w:bottom w:val="single" w:sz="4" w:space="1" w:color="auto"/>
        </w:pBdr>
      </w:pPr>
      <w:bookmarkStart w:id="5" w:name="TO"/>
      <w:bookmarkStart w:id="6" w:name="FROM"/>
      <w:bookmarkStart w:id="7" w:name="DATE"/>
      <w:bookmarkStart w:id="8" w:name="RE"/>
      <w:bookmarkEnd w:id="5"/>
      <w:bookmarkEnd w:id="6"/>
      <w:bookmarkEnd w:id="7"/>
      <w:bookmarkEnd w:id="8"/>
    </w:p>
    <w:p w14:paraId="335BCC40"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335BCC41" w14:textId="77777777" w:rsidR="007379AC" w:rsidRDefault="007379AC" w:rsidP="004E02B6">
      <w:pPr>
        <w:widowControl/>
        <w:autoSpaceDE w:val="0"/>
        <w:autoSpaceDN w:val="0"/>
        <w:adjustRightInd w:val="0"/>
      </w:pPr>
    </w:p>
    <w:p w14:paraId="335BCC42" w14:textId="77777777" w:rsidR="00270528" w:rsidRPr="0010469D" w:rsidRDefault="00270528" w:rsidP="00270528">
      <w:pPr>
        <w:widowControl/>
        <w:rPr>
          <w:szCs w:val="24"/>
        </w:rPr>
      </w:pPr>
      <w:r>
        <w:rPr>
          <w:szCs w:val="24"/>
        </w:rPr>
        <w:t>In January 2015, t</w:t>
      </w:r>
      <w:r w:rsidRPr="0010469D">
        <w:rPr>
          <w:szCs w:val="24"/>
        </w:rPr>
        <w:t>he Board of Elementary and Secondary Education (Board) placed Martin Luther King, Jr. Charter School of Excellence (MLK) on probation and imposed three conditions related to academic improvement and sustainability. At its meeting on February 23, 2016, the Board of Elementary and Secondary Education (Board) voted to renew the charter of MLK</w:t>
      </w:r>
      <w:r>
        <w:rPr>
          <w:szCs w:val="24"/>
        </w:rPr>
        <w:t xml:space="preserve"> and to extend </w:t>
      </w:r>
      <w:r w:rsidRPr="0010469D">
        <w:rPr>
          <w:szCs w:val="24"/>
        </w:rPr>
        <w:t xml:space="preserve">probation with four conditions related to governance and academic achievement. This </w:t>
      </w:r>
      <w:r>
        <w:rPr>
          <w:szCs w:val="24"/>
        </w:rPr>
        <w:t xml:space="preserve">informational </w:t>
      </w:r>
      <w:r w:rsidRPr="0010469D">
        <w:rPr>
          <w:szCs w:val="24"/>
        </w:rPr>
        <w:t>memorandum provides a report on the progress of MLK</w:t>
      </w:r>
      <w:r>
        <w:rPr>
          <w:szCs w:val="24"/>
        </w:rPr>
        <w:t xml:space="preserve"> in meeting these conditions</w:t>
      </w:r>
      <w:r w:rsidRPr="0010469D">
        <w:rPr>
          <w:szCs w:val="24"/>
        </w:rPr>
        <w:t>.</w:t>
      </w:r>
      <w:r>
        <w:rPr>
          <w:szCs w:val="24"/>
        </w:rPr>
        <w:t xml:space="preserve"> There is no action or vote associated with this memorandum. I will bring a recommendation to the Board regarding the school’s probation after the school’s fourth condition expires.</w:t>
      </w:r>
      <w:r w:rsidRPr="0010469D">
        <w:rPr>
          <w:szCs w:val="24"/>
        </w:rPr>
        <w:t xml:space="preserve"> </w:t>
      </w:r>
    </w:p>
    <w:p w14:paraId="335BCC43" w14:textId="77777777" w:rsidR="00270528" w:rsidRPr="0010469D" w:rsidRDefault="00270528" w:rsidP="00270528">
      <w:pPr>
        <w:widowControl/>
        <w:rPr>
          <w:szCs w:val="24"/>
        </w:rPr>
      </w:pPr>
    </w:p>
    <w:p w14:paraId="335BCC44" w14:textId="77777777" w:rsidR="00270528" w:rsidRPr="0010469D" w:rsidRDefault="00270528" w:rsidP="00270528">
      <w:pPr>
        <w:widowControl/>
        <w:rPr>
          <w:szCs w:val="24"/>
        </w:rPr>
      </w:pPr>
      <w:r w:rsidRPr="0010469D">
        <w:rPr>
          <w:szCs w:val="24"/>
        </w:rPr>
        <w:t>MLK has met three of the four conditions imposed</w:t>
      </w:r>
      <w:r>
        <w:rPr>
          <w:szCs w:val="24"/>
        </w:rPr>
        <w:t>; the</w:t>
      </w:r>
      <w:r w:rsidRPr="0010469D">
        <w:rPr>
          <w:szCs w:val="24"/>
        </w:rPr>
        <w:t xml:space="preserve"> deadline for the fourth condition is December 31, 2017. Due to the school’s </w:t>
      </w:r>
      <w:r>
        <w:rPr>
          <w:szCs w:val="24"/>
        </w:rPr>
        <w:t>achievement of Level 1 status in 2016</w:t>
      </w:r>
      <w:r w:rsidRPr="0010469D">
        <w:rPr>
          <w:szCs w:val="24"/>
        </w:rPr>
        <w:t xml:space="preserve">, the school did not receive a site visit this fall.  </w:t>
      </w:r>
    </w:p>
    <w:p w14:paraId="335BCC45" w14:textId="77777777" w:rsidR="00270528" w:rsidRDefault="00270528" w:rsidP="00270528">
      <w:pPr>
        <w:widowControl/>
        <w:rPr>
          <w:szCs w:val="24"/>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270528" w:rsidRPr="003C101A" w14:paraId="335BCC47" w14:textId="77777777" w:rsidTr="00036D80">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335BCC46" w14:textId="77777777" w:rsidR="00270528" w:rsidRPr="008068E8" w:rsidRDefault="00270528" w:rsidP="00036D80">
            <w:pPr>
              <w:rPr>
                <w:rFonts w:eastAsia="Batang"/>
                <w:b/>
                <w:bCs/>
                <w:i/>
                <w:sz w:val="28"/>
                <w:lang w:eastAsia="ko-KR"/>
              </w:rPr>
            </w:pPr>
            <w:r w:rsidRPr="008068E8">
              <w:rPr>
                <w:b/>
              </w:rPr>
              <w:t xml:space="preserve">Martin Luther King Jr. Charter School of Excellence </w:t>
            </w:r>
          </w:p>
        </w:tc>
      </w:tr>
      <w:tr w:rsidR="00270528" w:rsidRPr="003C101A" w14:paraId="335BCC4D" w14:textId="77777777" w:rsidTr="00036D80">
        <w:trPr>
          <w:trHeight w:val="700"/>
        </w:trPr>
        <w:tc>
          <w:tcPr>
            <w:tcW w:w="2970" w:type="dxa"/>
            <w:shd w:val="clear" w:color="auto" w:fill="F2F2F2"/>
            <w:tcMar>
              <w:top w:w="0" w:type="dxa"/>
              <w:left w:w="108" w:type="dxa"/>
              <w:bottom w:w="0" w:type="dxa"/>
              <w:right w:w="108" w:type="dxa"/>
            </w:tcMar>
            <w:vAlign w:val="center"/>
          </w:tcPr>
          <w:p w14:paraId="335BCC48"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14:paraId="335BCC49" w14:textId="77777777" w:rsidR="00270528" w:rsidRPr="003C101A" w:rsidRDefault="00270528" w:rsidP="00036D80">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14:paraId="335BCC4A" w14:textId="77777777" w:rsidR="00270528" w:rsidRPr="007C6799" w:rsidRDefault="00270528" w:rsidP="00036D80">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14:paraId="335BCC4B"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14:paraId="335BCC4C" w14:textId="77777777" w:rsidR="00270528" w:rsidRPr="007C6799" w:rsidRDefault="00270528" w:rsidP="00036D80">
            <w:pPr>
              <w:tabs>
                <w:tab w:val="left" w:pos="1940"/>
              </w:tabs>
              <w:spacing w:before="40" w:after="40"/>
              <w:ind w:left="162" w:hanging="193"/>
              <w:rPr>
                <w:rFonts w:eastAsia="Batang"/>
                <w:sz w:val="20"/>
                <w:lang w:eastAsia="ko-KR"/>
              </w:rPr>
            </w:pPr>
            <w:r>
              <w:rPr>
                <w:rFonts w:eastAsia="Batang"/>
                <w:sz w:val="20"/>
                <w:lang w:eastAsia="ko-KR"/>
              </w:rPr>
              <w:t>Springfield</w:t>
            </w:r>
          </w:p>
        </w:tc>
      </w:tr>
      <w:tr w:rsidR="00270528" w:rsidRPr="003C101A" w14:paraId="335BCC53" w14:textId="77777777" w:rsidTr="00036D80">
        <w:trPr>
          <w:trHeight w:val="503"/>
        </w:trPr>
        <w:tc>
          <w:tcPr>
            <w:tcW w:w="2970" w:type="dxa"/>
            <w:shd w:val="clear" w:color="auto" w:fill="F2F2F2"/>
            <w:tcMar>
              <w:top w:w="0" w:type="dxa"/>
              <w:left w:w="108" w:type="dxa"/>
              <w:bottom w:w="0" w:type="dxa"/>
              <w:right w:w="108" w:type="dxa"/>
            </w:tcMar>
            <w:vAlign w:val="center"/>
          </w:tcPr>
          <w:p w14:paraId="335BCC4E"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14:paraId="335BCC4F" w14:textId="77777777" w:rsidR="00270528" w:rsidRPr="007C6799" w:rsidRDefault="00270528" w:rsidP="00036D80">
            <w:pPr>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14:paraId="335BCC50"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14:paraId="335BCC51" w14:textId="77777777" w:rsidR="00270528" w:rsidRPr="003C101A" w:rsidRDefault="00270528" w:rsidP="00036D80">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335BCC52" w14:textId="77777777" w:rsidR="00270528" w:rsidRPr="007C6799" w:rsidRDefault="00270528" w:rsidP="00036D80">
            <w:pPr>
              <w:tabs>
                <w:tab w:val="left" w:pos="1940"/>
              </w:tabs>
              <w:spacing w:before="40" w:after="40"/>
              <w:ind w:left="162" w:hanging="193"/>
              <w:rPr>
                <w:rFonts w:eastAsia="Batang"/>
                <w:sz w:val="20"/>
                <w:lang w:eastAsia="ko-KR"/>
              </w:rPr>
            </w:pPr>
            <w:r>
              <w:rPr>
                <w:rFonts w:eastAsia="Batang"/>
                <w:sz w:val="20"/>
                <w:lang w:eastAsia="ko-KR"/>
              </w:rPr>
              <w:t>N/A</w:t>
            </w:r>
          </w:p>
        </w:tc>
      </w:tr>
      <w:tr w:rsidR="00270528" w:rsidRPr="003C101A" w14:paraId="335BCC59" w14:textId="77777777" w:rsidTr="00036D80">
        <w:trPr>
          <w:trHeight w:val="291"/>
        </w:trPr>
        <w:tc>
          <w:tcPr>
            <w:tcW w:w="2970" w:type="dxa"/>
            <w:shd w:val="clear" w:color="auto" w:fill="F2F2F2"/>
            <w:tcMar>
              <w:top w:w="0" w:type="dxa"/>
              <w:left w:w="108" w:type="dxa"/>
              <w:bottom w:w="0" w:type="dxa"/>
              <w:right w:w="108" w:type="dxa"/>
            </w:tcMar>
            <w:vAlign w:val="center"/>
          </w:tcPr>
          <w:p w14:paraId="335BCC54"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14:paraId="335BCC55" w14:textId="77777777" w:rsidR="00270528" w:rsidRPr="007C6799" w:rsidRDefault="00270528" w:rsidP="00036D80">
            <w:pPr>
              <w:tabs>
                <w:tab w:val="left" w:pos="1940"/>
              </w:tabs>
              <w:spacing w:before="40"/>
              <w:ind w:left="162" w:hanging="193"/>
              <w:rPr>
                <w:rFonts w:eastAsia="Batang"/>
                <w:sz w:val="20"/>
                <w:lang w:eastAsia="ko-KR"/>
              </w:rPr>
            </w:pPr>
            <w:r>
              <w:rPr>
                <w:rFonts w:eastAsia="Batang"/>
                <w:sz w:val="20"/>
                <w:lang w:eastAsia="ko-KR"/>
              </w:rPr>
              <w:t>2006</w:t>
            </w:r>
          </w:p>
        </w:tc>
        <w:tc>
          <w:tcPr>
            <w:tcW w:w="2250" w:type="dxa"/>
            <w:shd w:val="clear" w:color="auto" w:fill="F2F2F2"/>
            <w:tcMar>
              <w:top w:w="0" w:type="dxa"/>
              <w:left w:w="108" w:type="dxa"/>
              <w:bottom w:w="0" w:type="dxa"/>
              <w:right w:w="108" w:type="dxa"/>
            </w:tcMar>
            <w:vAlign w:val="center"/>
          </w:tcPr>
          <w:p w14:paraId="335BCC56"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14:paraId="335BCC57" w14:textId="77777777" w:rsidR="00270528" w:rsidRPr="003C101A" w:rsidRDefault="00270528" w:rsidP="00036D80">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335BCC58" w14:textId="77777777" w:rsidR="00270528" w:rsidRPr="007C6799" w:rsidRDefault="00270528" w:rsidP="00036D80">
            <w:pPr>
              <w:tabs>
                <w:tab w:val="left" w:pos="1940"/>
              </w:tabs>
              <w:spacing w:before="40" w:after="40"/>
              <w:ind w:left="162" w:hanging="193"/>
              <w:rPr>
                <w:rFonts w:eastAsia="Batang"/>
                <w:sz w:val="20"/>
                <w:lang w:eastAsia="ko-KR"/>
              </w:rPr>
            </w:pPr>
            <w:r>
              <w:rPr>
                <w:rFonts w:eastAsia="Batang"/>
                <w:sz w:val="20"/>
                <w:lang w:eastAsia="ko-KR"/>
              </w:rPr>
              <w:t>2011</w:t>
            </w:r>
          </w:p>
        </w:tc>
      </w:tr>
      <w:tr w:rsidR="00270528" w:rsidRPr="003C101A" w14:paraId="335BCC5E" w14:textId="77777777" w:rsidTr="00036D80">
        <w:trPr>
          <w:trHeight w:val="358"/>
        </w:trPr>
        <w:tc>
          <w:tcPr>
            <w:tcW w:w="2970" w:type="dxa"/>
            <w:shd w:val="clear" w:color="auto" w:fill="F2F2F2"/>
            <w:tcMar>
              <w:top w:w="0" w:type="dxa"/>
              <w:left w:w="108" w:type="dxa"/>
              <w:bottom w:w="0" w:type="dxa"/>
              <w:right w:w="108" w:type="dxa"/>
            </w:tcMar>
            <w:vAlign w:val="center"/>
          </w:tcPr>
          <w:p w14:paraId="335BCC5A"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14:paraId="335BCC5B" w14:textId="77777777" w:rsidR="00270528" w:rsidRPr="007C6799" w:rsidRDefault="00270528" w:rsidP="00036D80">
            <w:pPr>
              <w:tabs>
                <w:tab w:val="left" w:pos="1940"/>
              </w:tabs>
              <w:spacing w:before="40"/>
              <w:ind w:left="162" w:hanging="193"/>
              <w:rPr>
                <w:rFonts w:eastAsia="Batang"/>
                <w:sz w:val="20"/>
                <w:lang w:eastAsia="ko-KR"/>
              </w:rPr>
            </w:pPr>
            <w:r>
              <w:rPr>
                <w:rFonts w:eastAsia="Batang"/>
                <w:sz w:val="20"/>
                <w:lang w:eastAsia="ko-KR"/>
              </w:rPr>
              <w:t>360</w:t>
            </w:r>
          </w:p>
        </w:tc>
        <w:tc>
          <w:tcPr>
            <w:tcW w:w="2250" w:type="dxa"/>
            <w:shd w:val="clear" w:color="auto" w:fill="F2F2F2"/>
            <w:tcMar>
              <w:top w:w="0" w:type="dxa"/>
              <w:left w:w="108" w:type="dxa"/>
              <w:bottom w:w="0" w:type="dxa"/>
              <w:right w:w="108" w:type="dxa"/>
            </w:tcMar>
            <w:vAlign w:val="center"/>
          </w:tcPr>
          <w:p w14:paraId="335BCC5C" w14:textId="77777777" w:rsidR="00270528" w:rsidRPr="003C101A" w:rsidRDefault="00270528" w:rsidP="00036D80">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14:paraId="335BCC5D" w14:textId="77777777" w:rsidR="00270528" w:rsidRPr="007C6799" w:rsidRDefault="00270528" w:rsidP="00036D80">
            <w:pPr>
              <w:tabs>
                <w:tab w:val="left" w:pos="1940"/>
              </w:tabs>
              <w:spacing w:before="40" w:after="40"/>
              <w:ind w:left="162" w:hanging="193"/>
              <w:rPr>
                <w:rFonts w:eastAsia="Batang"/>
                <w:sz w:val="20"/>
                <w:lang w:eastAsia="ko-KR"/>
              </w:rPr>
            </w:pPr>
            <w:r>
              <w:rPr>
                <w:rFonts w:eastAsia="Batang"/>
                <w:sz w:val="20"/>
                <w:lang w:eastAsia="ko-KR"/>
              </w:rPr>
              <w:t>366</w:t>
            </w:r>
            <w:r w:rsidRPr="002F53B9">
              <w:rPr>
                <w:rStyle w:val="FootnoteReference"/>
                <w:rFonts w:eastAsia="Batang"/>
                <w:sz w:val="20"/>
                <w:vertAlign w:val="superscript"/>
                <w:lang w:eastAsia="ko-KR"/>
              </w:rPr>
              <w:footnoteReference w:id="1"/>
            </w:r>
          </w:p>
        </w:tc>
      </w:tr>
      <w:tr w:rsidR="00270528" w:rsidRPr="003C101A" w14:paraId="335BCC63" w14:textId="77777777" w:rsidTr="00036D80">
        <w:trPr>
          <w:trHeight w:val="520"/>
        </w:trPr>
        <w:tc>
          <w:tcPr>
            <w:tcW w:w="2970" w:type="dxa"/>
            <w:shd w:val="clear" w:color="auto" w:fill="F2F2F2"/>
            <w:tcMar>
              <w:top w:w="0" w:type="dxa"/>
              <w:left w:w="108" w:type="dxa"/>
              <w:bottom w:w="0" w:type="dxa"/>
              <w:right w:w="108" w:type="dxa"/>
            </w:tcMar>
            <w:vAlign w:val="center"/>
          </w:tcPr>
          <w:p w14:paraId="335BCC5F" w14:textId="77777777" w:rsidR="00270528" w:rsidRPr="003C101A" w:rsidRDefault="00270528" w:rsidP="00036D80">
            <w:pPr>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14:paraId="335BCC60" w14:textId="77777777" w:rsidR="00270528" w:rsidRPr="007C6799" w:rsidRDefault="00270528" w:rsidP="00036D80">
            <w:pPr>
              <w:tabs>
                <w:tab w:val="left" w:pos="1940"/>
              </w:tabs>
              <w:spacing w:before="40"/>
              <w:ind w:left="162" w:hanging="193"/>
              <w:rPr>
                <w:rFonts w:eastAsia="Batang"/>
                <w:sz w:val="20"/>
                <w:lang w:eastAsia="ko-KR"/>
              </w:rPr>
            </w:pPr>
            <w:r>
              <w:rPr>
                <w:rFonts w:eastAsia="Batang"/>
                <w:sz w:val="20"/>
                <w:lang w:eastAsia="ko-KR"/>
              </w:rPr>
              <w:t>K-5</w:t>
            </w:r>
          </w:p>
        </w:tc>
        <w:tc>
          <w:tcPr>
            <w:tcW w:w="2250" w:type="dxa"/>
            <w:shd w:val="clear" w:color="auto" w:fill="F2F2F2"/>
            <w:tcMar>
              <w:top w:w="0" w:type="dxa"/>
              <w:left w:w="108" w:type="dxa"/>
              <w:bottom w:w="0" w:type="dxa"/>
              <w:right w:w="108" w:type="dxa"/>
            </w:tcMar>
            <w:vAlign w:val="center"/>
          </w:tcPr>
          <w:p w14:paraId="335BCC61" w14:textId="77777777" w:rsidR="00270528" w:rsidRPr="003C101A" w:rsidRDefault="00270528" w:rsidP="00036D80">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14:paraId="335BCC62" w14:textId="77777777" w:rsidR="00270528" w:rsidRPr="007C6799" w:rsidRDefault="00270528" w:rsidP="00036D80">
            <w:pPr>
              <w:tabs>
                <w:tab w:val="left" w:pos="1940"/>
              </w:tabs>
              <w:spacing w:before="40" w:after="40"/>
              <w:ind w:left="162" w:hanging="193"/>
              <w:rPr>
                <w:rFonts w:eastAsia="Batang"/>
                <w:sz w:val="20"/>
                <w:lang w:eastAsia="ko-KR"/>
              </w:rPr>
            </w:pPr>
            <w:r>
              <w:rPr>
                <w:rFonts w:eastAsia="Batang"/>
                <w:sz w:val="20"/>
                <w:lang w:eastAsia="ko-KR"/>
              </w:rPr>
              <w:t>K-5</w:t>
            </w:r>
          </w:p>
        </w:tc>
      </w:tr>
      <w:tr w:rsidR="00270528" w:rsidRPr="003C101A" w14:paraId="335BCC68" w14:textId="77777777" w:rsidTr="00036D80">
        <w:trPr>
          <w:trHeight w:val="520"/>
        </w:trPr>
        <w:tc>
          <w:tcPr>
            <w:tcW w:w="2970" w:type="dxa"/>
            <w:shd w:val="clear" w:color="auto" w:fill="F2F2F2"/>
            <w:tcMar>
              <w:top w:w="0" w:type="dxa"/>
              <w:left w:w="108" w:type="dxa"/>
              <w:bottom w:w="0" w:type="dxa"/>
              <w:right w:w="108" w:type="dxa"/>
            </w:tcMar>
            <w:vAlign w:val="center"/>
          </w:tcPr>
          <w:p w14:paraId="335BCC64" w14:textId="77777777" w:rsidR="00270528" w:rsidRPr="003C101A" w:rsidRDefault="00270528" w:rsidP="00036D80">
            <w:pPr>
              <w:tabs>
                <w:tab w:val="left" w:pos="1940"/>
              </w:tabs>
              <w:spacing w:before="40"/>
              <w:rPr>
                <w:rFonts w:eastAsia="Batang"/>
                <w:b/>
                <w:sz w:val="20"/>
                <w:lang w:eastAsia="ko-KR"/>
              </w:rPr>
            </w:pPr>
            <w:r w:rsidRPr="003C101A">
              <w:rPr>
                <w:rFonts w:eastAsia="Batang"/>
                <w:b/>
                <w:sz w:val="20"/>
                <w:lang w:eastAsia="ko-KR"/>
              </w:rPr>
              <w:lastRenderedPageBreak/>
              <w:t>Students on Waitlist</w:t>
            </w:r>
          </w:p>
        </w:tc>
        <w:tc>
          <w:tcPr>
            <w:tcW w:w="2250" w:type="dxa"/>
            <w:tcMar>
              <w:top w:w="0" w:type="dxa"/>
              <w:left w:w="108" w:type="dxa"/>
              <w:bottom w:w="0" w:type="dxa"/>
              <w:right w:w="108" w:type="dxa"/>
            </w:tcMar>
            <w:vAlign w:val="center"/>
          </w:tcPr>
          <w:p w14:paraId="335BCC65" w14:textId="77777777" w:rsidR="00270528" w:rsidRPr="007C6799" w:rsidRDefault="00270528" w:rsidP="00036D80">
            <w:pPr>
              <w:tabs>
                <w:tab w:val="left" w:pos="1940"/>
              </w:tabs>
              <w:spacing w:before="40"/>
              <w:rPr>
                <w:rFonts w:eastAsia="Batang"/>
                <w:sz w:val="20"/>
                <w:lang w:eastAsia="ko-KR"/>
              </w:rPr>
            </w:pPr>
            <w:r>
              <w:rPr>
                <w:rFonts w:eastAsia="Batang"/>
                <w:sz w:val="20"/>
                <w:lang w:eastAsia="ko-KR"/>
              </w:rPr>
              <w:t>157</w:t>
            </w:r>
            <w:r w:rsidRPr="002F53B9">
              <w:rPr>
                <w:rStyle w:val="FootnoteReference"/>
                <w:rFonts w:eastAsia="Batang"/>
                <w:sz w:val="20"/>
                <w:vertAlign w:val="superscript"/>
                <w:lang w:eastAsia="ko-KR"/>
              </w:rPr>
              <w:footnoteReference w:id="2"/>
            </w:r>
          </w:p>
        </w:tc>
        <w:tc>
          <w:tcPr>
            <w:tcW w:w="2250" w:type="dxa"/>
            <w:shd w:val="clear" w:color="auto" w:fill="F2F2F2"/>
            <w:tcMar>
              <w:top w:w="0" w:type="dxa"/>
              <w:left w:w="108" w:type="dxa"/>
              <w:bottom w:w="0" w:type="dxa"/>
              <w:right w:w="108" w:type="dxa"/>
            </w:tcMar>
            <w:vAlign w:val="center"/>
          </w:tcPr>
          <w:p w14:paraId="335BCC66" w14:textId="77777777" w:rsidR="00270528" w:rsidRDefault="00270528" w:rsidP="00036D80">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14:paraId="335BCC67" w14:textId="77777777" w:rsidR="00270528" w:rsidRPr="007C6799" w:rsidRDefault="00270528" w:rsidP="00036D80">
            <w:pPr>
              <w:tabs>
                <w:tab w:val="left" w:pos="1940"/>
              </w:tabs>
              <w:spacing w:before="40" w:after="40"/>
              <w:ind w:left="162" w:hanging="193"/>
              <w:rPr>
                <w:rFonts w:eastAsia="Batang"/>
                <w:sz w:val="20"/>
                <w:lang w:eastAsia="ko-KR"/>
              </w:rPr>
            </w:pPr>
            <w:r>
              <w:rPr>
                <w:rFonts w:eastAsia="Batang"/>
                <w:sz w:val="20"/>
                <w:lang w:eastAsia="ko-KR"/>
              </w:rPr>
              <w:t>11 years</w:t>
            </w:r>
          </w:p>
        </w:tc>
      </w:tr>
      <w:tr w:rsidR="00270528" w:rsidRPr="003C101A" w14:paraId="335BCC6B" w14:textId="77777777" w:rsidTr="00036D80">
        <w:trPr>
          <w:trHeight w:val="1484"/>
        </w:trPr>
        <w:tc>
          <w:tcPr>
            <w:tcW w:w="9900" w:type="dxa"/>
            <w:gridSpan w:val="4"/>
            <w:shd w:val="clear" w:color="auto" w:fill="F2F2F2"/>
            <w:tcMar>
              <w:top w:w="0" w:type="dxa"/>
              <w:left w:w="108" w:type="dxa"/>
              <w:bottom w:w="0" w:type="dxa"/>
              <w:right w:w="108" w:type="dxa"/>
            </w:tcMar>
          </w:tcPr>
          <w:p w14:paraId="335BCC69" w14:textId="77777777" w:rsidR="00270528" w:rsidRDefault="00270528" w:rsidP="00036D80">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14:paraId="335BCC6A" w14:textId="77777777" w:rsidR="00270528" w:rsidRPr="003C101A" w:rsidRDefault="00270528" w:rsidP="00036D80">
            <w:pPr>
              <w:tabs>
                <w:tab w:val="left" w:pos="1940"/>
              </w:tabs>
              <w:spacing w:before="120" w:after="40"/>
              <w:ind w:left="-18" w:hanging="13"/>
              <w:rPr>
                <w:rFonts w:eastAsia="Batang"/>
                <w:b/>
                <w:sz w:val="20"/>
                <w:lang w:eastAsia="ko-KR"/>
              </w:rPr>
            </w:pPr>
            <w:r w:rsidRPr="006F37A5">
              <w:rPr>
                <w:rFonts w:eastAsia="Batang"/>
                <w:sz w:val="22"/>
                <w:szCs w:val="22"/>
                <w:lang w:eastAsia="ko-KR"/>
              </w:rPr>
              <w:t>Martin Luther King, Jr. Charter School of Excellence prepares kindergarten through 5</w:t>
            </w:r>
            <w:r w:rsidRPr="006F37A5">
              <w:rPr>
                <w:rFonts w:eastAsia="Batang"/>
                <w:sz w:val="22"/>
                <w:szCs w:val="22"/>
                <w:vertAlign w:val="superscript"/>
                <w:lang w:eastAsia="ko-KR"/>
              </w:rPr>
              <w:t>th</w:t>
            </w:r>
            <w:r>
              <w:rPr>
                <w:rFonts w:eastAsia="Batang"/>
                <w:sz w:val="22"/>
                <w:szCs w:val="22"/>
                <w:lang w:eastAsia="ko-KR"/>
              </w:rPr>
              <w:t xml:space="preserve"> grade students of </w:t>
            </w:r>
            <w:r w:rsidRPr="006F37A5">
              <w:rPr>
                <w:rFonts w:eastAsia="Batang"/>
                <w:sz w:val="22"/>
                <w:szCs w:val="22"/>
                <w:lang w:eastAsia="ko-KR"/>
              </w:rPr>
              <w:t>Springfield for academic success and engaged citizenship through insistence on rigorous, challenging work. The school incorporates Dr. King’s commitment to the highest standards in scholarship, civic participation and the ideal of the beloved community.</w:t>
            </w:r>
          </w:p>
        </w:tc>
      </w:tr>
    </w:tbl>
    <w:p w14:paraId="335BCC6C" w14:textId="77777777" w:rsidR="00270528" w:rsidRDefault="00270528" w:rsidP="00270528">
      <w:pPr>
        <w:widowControl/>
        <w:rPr>
          <w:szCs w:val="24"/>
        </w:rPr>
      </w:pPr>
    </w:p>
    <w:p w14:paraId="335BCC6D" w14:textId="77777777" w:rsidR="00270528" w:rsidRPr="006975F3" w:rsidRDefault="00270528" w:rsidP="00270528">
      <w:pPr>
        <w:widowControl/>
        <w:rPr>
          <w:b/>
          <w:szCs w:val="24"/>
        </w:rPr>
      </w:pPr>
      <w:r w:rsidRPr="006975F3">
        <w:rPr>
          <w:b/>
          <w:szCs w:val="24"/>
        </w:rPr>
        <w:t>School History</w:t>
      </w:r>
    </w:p>
    <w:p w14:paraId="335BCC6E" w14:textId="77777777" w:rsidR="00270528" w:rsidRDefault="00270528" w:rsidP="00270528">
      <w:pPr>
        <w:widowControl/>
        <w:rPr>
          <w:szCs w:val="24"/>
        </w:rPr>
      </w:pPr>
    </w:p>
    <w:p w14:paraId="335BCC6F" w14:textId="77777777" w:rsidR="00270528" w:rsidRDefault="00270528" w:rsidP="00270528">
      <w:pPr>
        <w:pStyle w:val="ListParagraph"/>
        <w:widowControl/>
        <w:numPr>
          <w:ilvl w:val="0"/>
          <w:numId w:val="14"/>
        </w:numPr>
        <w:rPr>
          <w:szCs w:val="24"/>
        </w:rPr>
      </w:pPr>
      <w:r w:rsidRPr="00A70D5A">
        <w:rPr>
          <w:szCs w:val="24"/>
        </w:rPr>
        <w:t>In 2009</w:t>
      </w:r>
      <w:r>
        <w:rPr>
          <w:szCs w:val="24"/>
        </w:rPr>
        <w:t>,</w:t>
      </w:r>
      <w:r w:rsidRPr="00A70D5A">
        <w:rPr>
          <w:szCs w:val="24"/>
        </w:rPr>
        <w:t xml:space="preserve"> the school was granted a temporary increase in </w:t>
      </w:r>
      <w:r>
        <w:rPr>
          <w:szCs w:val="24"/>
        </w:rPr>
        <w:t xml:space="preserve">maximum </w:t>
      </w:r>
      <w:r w:rsidRPr="00A70D5A">
        <w:rPr>
          <w:szCs w:val="24"/>
        </w:rPr>
        <w:t xml:space="preserve">enrollment from 360 to 380, and the maximum authorized enrollment was reduced back to 360 in 2012. </w:t>
      </w:r>
      <w:r>
        <w:rPr>
          <w:szCs w:val="24"/>
        </w:rPr>
        <w:t>During the school’s second charter term the school was persistently overenrolled beyond the maximum allowed by its charter, even during the temporary enrollment increase</w:t>
      </w:r>
      <w:r w:rsidRPr="0027444F">
        <w:rPr>
          <w:rStyle w:val="FootnoteReference"/>
          <w:szCs w:val="24"/>
          <w:vertAlign w:val="superscript"/>
        </w:rPr>
        <w:footnoteRef/>
      </w:r>
      <w:r>
        <w:rPr>
          <w:szCs w:val="24"/>
        </w:rPr>
        <w:t>.</w:t>
      </w:r>
    </w:p>
    <w:p w14:paraId="335BCC70" w14:textId="77777777" w:rsidR="00270528" w:rsidRDefault="00270528" w:rsidP="00270528">
      <w:pPr>
        <w:pStyle w:val="ListParagraph"/>
        <w:widowControl/>
        <w:rPr>
          <w:szCs w:val="24"/>
        </w:rPr>
      </w:pPr>
    </w:p>
    <w:p w14:paraId="335BCC71" w14:textId="77777777" w:rsidR="00270528" w:rsidRDefault="00270528" w:rsidP="00270528">
      <w:pPr>
        <w:pStyle w:val="ListParagraph"/>
        <w:widowControl/>
        <w:numPr>
          <w:ilvl w:val="0"/>
          <w:numId w:val="14"/>
        </w:numPr>
        <w:rPr>
          <w:szCs w:val="24"/>
        </w:rPr>
      </w:pPr>
      <w:r w:rsidRPr="00A70D5A">
        <w:rPr>
          <w:szCs w:val="24"/>
        </w:rPr>
        <w:t>In January 2011</w:t>
      </w:r>
      <w:r>
        <w:rPr>
          <w:szCs w:val="24"/>
        </w:rPr>
        <w:t>,</w:t>
      </w:r>
      <w:r w:rsidRPr="00A70D5A">
        <w:rPr>
          <w:szCs w:val="24"/>
        </w:rPr>
        <w:t xml:space="preserve"> the Board granted the school a probationary renewal with three conditions related to program delivery, academic performance, and organizational viability. </w:t>
      </w:r>
    </w:p>
    <w:p w14:paraId="335BCC72" w14:textId="77777777" w:rsidR="00270528" w:rsidRDefault="00270528" w:rsidP="00270528">
      <w:pPr>
        <w:pStyle w:val="ListParagraph"/>
        <w:widowControl/>
        <w:rPr>
          <w:szCs w:val="24"/>
        </w:rPr>
      </w:pPr>
    </w:p>
    <w:p w14:paraId="335BCC73" w14:textId="77777777" w:rsidR="00270528" w:rsidRDefault="00270528" w:rsidP="00270528">
      <w:pPr>
        <w:pStyle w:val="ListParagraph"/>
        <w:widowControl/>
        <w:numPr>
          <w:ilvl w:val="0"/>
          <w:numId w:val="14"/>
        </w:numPr>
        <w:rPr>
          <w:szCs w:val="24"/>
        </w:rPr>
      </w:pPr>
      <w:r w:rsidRPr="00A70D5A">
        <w:rPr>
          <w:szCs w:val="24"/>
        </w:rPr>
        <w:t>In January 2013, the Board</w:t>
      </w:r>
      <w:r>
        <w:rPr>
          <w:szCs w:val="24"/>
        </w:rPr>
        <w:t xml:space="preserve"> determined that MLK had s</w:t>
      </w:r>
      <w:r w:rsidRPr="00A70D5A">
        <w:rPr>
          <w:szCs w:val="24"/>
        </w:rPr>
        <w:t>ufficiently met conditions to remov</w:t>
      </w:r>
      <w:r>
        <w:rPr>
          <w:szCs w:val="24"/>
        </w:rPr>
        <w:t>e MLK from probation. The school had met conditions</w:t>
      </w:r>
      <w:r w:rsidRPr="00A70D5A">
        <w:rPr>
          <w:szCs w:val="24"/>
        </w:rPr>
        <w:t xml:space="preserve"> related to academic growth, </w:t>
      </w:r>
      <w:r>
        <w:rPr>
          <w:szCs w:val="24"/>
        </w:rPr>
        <w:t>had established</w:t>
      </w:r>
      <w:r w:rsidRPr="00A70D5A">
        <w:rPr>
          <w:szCs w:val="24"/>
        </w:rPr>
        <w:t xml:space="preserve"> a fully docum</w:t>
      </w:r>
      <w:r>
        <w:rPr>
          <w:szCs w:val="24"/>
        </w:rPr>
        <w:t>ented curriculum, and had evaluated and fully staffed</w:t>
      </w:r>
      <w:r w:rsidRPr="00A70D5A">
        <w:rPr>
          <w:szCs w:val="24"/>
        </w:rPr>
        <w:t xml:space="preserve"> its leadership structure</w:t>
      </w:r>
      <w:r>
        <w:rPr>
          <w:szCs w:val="24"/>
        </w:rPr>
        <w:t>.</w:t>
      </w:r>
      <w:r w:rsidRPr="00A70D5A">
        <w:rPr>
          <w:szCs w:val="24"/>
        </w:rPr>
        <w:t xml:space="preserve"> The Board imposed further academic conditions that required the demonstration of significant and sustained academic improvement by December 2014. </w:t>
      </w:r>
    </w:p>
    <w:p w14:paraId="335BCC74" w14:textId="77777777" w:rsidR="00270528" w:rsidRDefault="00270528" w:rsidP="00270528">
      <w:pPr>
        <w:widowControl/>
        <w:rPr>
          <w:szCs w:val="24"/>
        </w:rPr>
      </w:pPr>
    </w:p>
    <w:p w14:paraId="335BCC75" w14:textId="77777777" w:rsidR="00270528" w:rsidRPr="009F2FC1" w:rsidRDefault="00270528" w:rsidP="00270528">
      <w:pPr>
        <w:pStyle w:val="ListParagraph"/>
        <w:widowControl/>
        <w:numPr>
          <w:ilvl w:val="0"/>
          <w:numId w:val="14"/>
        </w:numPr>
        <w:rPr>
          <w:szCs w:val="24"/>
        </w:rPr>
      </w:pPr>
      <w:r w:rsidRPr="009F2FC1">
        <w:rPr>
          <w:szCs w:val="24"/>
        </w:rPr>
        <w:t xml:space="preserve">In January 2015, following a decline in student achievement, the Board again placed the school on probation. The Board established conditions of probation related to </w:t>
      </w:r>
      <w:r>
        <w:rPr>
          <w:szCs w:val="24"/>
        </w:rPr>
        <w:t xml:space="preserve">governance and </w:t>
      </w:r>
      <w:r w:rsidRPr="009F2FC1">
        <w:rPr>
          <w:szCs w:val="24"/>
        </w:rPr>
        <w:t>sustained academic improvement.</w:t>
      </w:r>
    </w:p>
    <w:p w14:paraId="335BCC76" w14:textId="77777777" w:rsidR="00270528" w:rsidRDefault="00270528" w:rsidP="00270528">
      <w:pPr>
        <w:widowControl/>
        <w:rPr>
          <w:b/>
          <w:szCs w:val="24"/>
        </w:rPr>
      </w:pPr>
    </w:p>
    <w:p w14:paraId="335BCC77" w14:textId="77777777" w:rsidR="00270528" w:rsidRPr="00DF70BB" w:rsidRDefault="00270528" w:rsidP="00270528">
      <w:pPr>
        <w:widowControl/>
        <w:rPr>
          <w:b/>
          <w:szCs w:val="24"/>
        </w:rPr>
      </w:pPr>
      <w:r w:rsidRPr="00DF70BB">
        <w:rPr>
          <w:b/>
          <w:szCs w:val="24"/>
        </w:rPr>
        <w:t>Report on Probation</w:t>
      </w:r>
    </w:p>
    <w:p w14:paraId="335BCC78" w14:textId="77777777" w:rsidR="00270528" w:rsidRDefault="00270528" w:rsidP="00270528">
      <w:pPr>
        <w:widowControl/>
        <w:rPr>
          <w:szCs w:val="24"/>
        </w:rPr>
      </w:pPr>
    </w:p>
    <w:p w14:paraId="335BCC79" w14:textId="77777777" w:rsidR="00270528" w:rsidRPr="0010469D" w:rsidRDefault="00270528" w:rsidP="00270528">
      <w:pPr>
        <w:widowControl/>
        <w:rPr>
          <w:szCs w:val="24"/>
        </w:rPr>
      </w:pPr>
      <w:r w:rsidRPr="0010469D">
        <w:rPr>
          <w:szCs w:val="24"/>
        </w:rPr>
        <w:t xml:space="preserve">Below is a summary of the school’s progress toward meeting the four conditions imposed on the school. </w:t>
      </w:r>
      <w:r>
        <w:rPr>
          <w:szCs w:val="24"/>
        </w:rPr>
        <w:t>The fourth condition</w:t>
      </w:r>
      <w:r w:rsidRPr="0010469D">
        <w:rPr>
          <w:szCs w:val="24"/>
        </w:rPr>
        <w:t xml:space="preserve"> does not expire until </w:t>
      </w:r>
      <w:r>
        <w:rPr>
          <w:szCs w:val="24"/>
        </w:rPr>
        <w:t>the end of 2017</w:t>
      </w:r>
      <w:r w:rsidRPr="0010469D">
        <w:rPr>
          <w:szCs w:val="24"/>
        </w:rPr>
        <w:t xml:space="preserve">. </w:t>
      </w:r>
    </w:p>
    <w:p w14:paraId="335BCC7A" w14:textId="77777777" w:rsidR="00270528" w:rsidRPr="0010469D" w:rsidRDefault="00270528" w:rsidP="00270528">
      <w:pPr>
        <w:widowControl/>
        <w:contextualSpacing/>
        <w:rPr>
          <w:szCs w:val="24"/>
        </w:rPr>
      </w:pPr>
    </w:p>
    <w:p w14:paraId="335BCC7B" w14:textId="77777777" w:rsidR="00270528" w:rsidRPr="0010469D" w:rsidRDefault="00270528" w:rsidP="00270528">
      <w:pPr>
        <w:widowControl/>
        <w:contextualSpacing/>
        <w:rPr>
          <w:szCs w:val="24"/>
        </w:rPr>
      </w:pPr>
      <w:r w:rsidRPr="0010469D">
        <w:rPr>
          <w:b/>
          <w:szCs w:val="24"/>
        </w:rPr>
        <w:t>Condition 1:</w:t>
      </w:r>
      <w:r w:rsidRPr="0010469D">
        <w:rPr>
          <w:szCs w:val="24"/>
        </w:rPr>
        <w:t xml:space="preserve"> Until further notice, Martin Luther King, Jr. Charter School of Excellence must submit to the Department, at </w:t>
      </w:r>
      <w:hyperlink r:id="rId14" w:history="1">
        <w:r w:rsidRPr="0010469D">
          <w:rPr>
            <w:rStyle w:val="Hyperlink"/>
            <w:szCs w:val="24"/>
          </w:rPr>
          <w:t>charterschools@doe.mass.edu</w:t>
        </w:r>
      </w:hyperlink>
      <w:r w:rsidRPr="0010469D">
        <w:rPr>
          <w:szCs w:val="24"/>
        </w:rPr>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335BCC7C" w14:textId="77777777" w:rsidR="00270528" w:rsidRPr="0010469D" w:rsidRDefault="00270528" w:rsidP="00270528">
      <w:pPr>
        <w:widowControl/>
        <w:contextualSpacing/>
        <w:rPr>
          <w:szCs w:val="24"/>
        </w:rPr>
      </w:pPr>
    </w:p>
    <w:p w14:paraId="335BCC7D" w14:textId="77777777" w:rsidR="00270528" w:rsidRPr="0010469D" w:rsidRDefault="00270528" w:rsidP="00270528">
      <w:pPr>
        <w:widowControl/>
        <w:ind w:left="720"/>
        <w:rPr>
          <w:b/>
          <w:szCs w:val="24"/>
        </w:rPr>
      </w:pPr>
      <w:r w:rsidRPr="0010469D">
        <w:rPr>
          <w:b/>
          <w:szCs w:val="24"/>
        </w:rPr>
        <w:t xml:space="preserve">Status: Met/Ongoing </w:t>
      </w:r>
    </w:p>
    <w:p w14:paraId="335BCC7E" w14:textId="77777777" w:rsidR="00270528" w:rsidRPr="0010469D" w:rsidRDefault="00270528" w:rsidP="00270528">
      <w:pPr>
        <w:widowControl/>
        <w:ind w:left="720"/>
        <w:rPr>
          <w:szCs w:val="24"/>
        </w:rPr>
      </w:pPr>
      <w:r w:rsidRPr="0010469D">
        <w:rPr>
          <w:szCs w:val="24"/>
        </w:rPr>
        <w:t xml:space="preserve">MLK has submitted board packages </w:t>
      </w:r>
      <w:r>
        <w:rPr>
          <w:szCs w:val="24"/>
        </w:rPr>
        <w:t>as directed by the condition</w:t>
      </w:r>
      <w:r w:rsidRPr="0010469D">
        <w:rPr>
          <w:szCs w:val="24"/>
        </w:rPr>
        <w:t xml:space="preserve">. Board packages contain board committee minutes, reports on academic data, financial updates and projections, budget documents, policy documents, and compliance documents. </w:t>
      </w:r>
    </w:p>
    <w:p w14:paraId="335BCC7F" w14:textId="77777777" w:rsidR="00270528" w:rsidRPr="0010469D" w:rsidRDefault="00270528" w:rsidP="00270528">
      <w:pPr>
        <w:widowControl/>
        <w:contextualSpacing/>
        <w:rPr>
          <w:b/>
          <w:szCs w:val="24"/>
        </w:rPr>
      </w:pPr>
    </w:p>
    <w:p w14:paraId="335BCC80" w14:textId="77777777" w:rsidR="00270528" w:rsidRPr="0010469D" w:rsidRDefault="00270528" w:rsidP="00270528">
      <w:pPr>
        <w:widowControl/>
        <w:contextualSpacing/>
        <w:rPr>
          <w:szCs w:val="24"/>
        </w:rPr>
      </w:pPr>
      <w:r w:rsidRPr="0010469D">
        <w:rPr>
          <w:b/>
          <w:szCs w:val="24"/>
        </w:rPr>
        <w:lastRenderedPageBreak/>
        <w:t xml:space="preserve">Condition 2: </w:t>
      </w:r>
      <w:r w:rsidRPr="0010469D">
        <w:rPr>
          <w:szCs w:val="24"/>
        </w:rPr>
        <w:t>The school must maintain the established escrow account to pay for any potential closing, legal, and audit expenses associated with closure, should that occur.</w:t>
      </w:r>
    </w:p>
    <w:p w14:paraId="335BCC81" w14:textId="77777777" w:rsidR="00270528" w:rsidRDefault="00270528" w:rsidP="00270528">
      <w:pPr>
        <w:widowControl/>
        <w:contextualSpacing/>
        <w:rPr>
          <w:szCs w:val="24"/>
        </w:rPr>
      </w:pPr>
    </w:p>
    <w:p w14:paraId="335BCC82" w14:textId="77777777" w:rsidR="00270528" w:rsidRDefault="00270528" w:rsidP="00270528">
      <w:pPr>
        <w:widowControl/>
        <w:contextualSpacing/>
        <w:rPr>
          <w:szCs w:val="24"/>
        </w:rPr>
      </w:pPr>
    </w:p>
    <w:p w14:paraId="335BCC83" w14:textId="77777777" w:rsidR="00270528" w:rsidRDefault="00270528" w:rsidP="00270528">
      <w:pPr>
        <w:widowControl/>
        <w:contextualSpacing/>
        <w:rPr>
          <w:szCs w:val="24"/>
        </w:rPr>
      </w:pPr>
    </w:p>
    <w:p w14:paraId="335BCC84" w14:textId="77777777" w:rsidR="00270528" w:rsidRPr="0010469D" w:rsidRDefault="00270528" w:rsidP="00270528">
      <w:pPr>
        <w:widowControl/>
        <w:contextualSpacing/>
        <w:rPr>
          <w:szCs w:val="24"/>
        </w:rPr>
      </w:pPr>
    </w:p>
    <w:p w14:paraId="335BCC85" w14:textId="77777777" w:rsidR="00270528" w:rsidRPr="0010469D" w:rsidRDefault="00270528" w:rsidP="00270528">
      <w:pPr>
        <w:widowControl/>
        <w:ind w:left="720"/>
        <w:rPr>
          <w:b/>
          <w:szCs w:val="24"/>
        </w:rPr>
      </w:pPr>
      <w:r w:rsidRPr="0010469D">
        <w:rPr>
          <w:b/>
          <w:szCs w:val="24"/>
        </w:rPr>
        <w:t xml:space="preserve">Status: Met </w:t>
      </w:r>
    </w:p>
    <w:p w14:paraId="335BCC86" w14:textId="77777777" w:rsidR="00270528" w:rsidRPr="0010469D" w:rsidRDefault="00270528" w:rsidP="00270528">
      <w:pPr>
        <w:widowControl/>
        <w:ind w:left="720"/>
        <w:rPr>
          <w:szCs w:val="24"/>
        </w:rPr>
      </w:pPr>
      <w:r>
        <w:rPr>
          <w:szCs w:val="24"/>
        </w:rPr>
        <w:t>As required by conditions established in January 2015, t</w:t>
      </w:r>
      <w:r w:rsidRPr="0010469D">
        <w:rPr>
          <w:szCs w:val="24"/>
        </w:rPr>
        <w:t xml:space="preserve">he school opened an escrow account at the Berkshire Bank by March 25, 2015. The account currently holds approximately $17,500 set aside for potential closing costs, should that occur. </w:t>
      </w:r>
    </w:p>
    <w:p w14:paraId="335BCC87" w14:textId="77777777" w:rsidR="00270528" w:rsidRPr="0010469D" w:rsidRDefault="00270528" w:rsidP="00270528">
      <w:pPr>
        <w:pStyle w:val="ListParagraph"/>
        <w:ind w:left="360"/>
        <w:rPr>
          <w:b/>
          <w:szCs w:val="24"/>
        </w:rPr>
      </w:pPr>
    </w:p>
    <w:p w14:paraId="335BCC88" w14:textId="77777777" w:rsidR="00270528" w:rsidRPr="0010469D" w:rsidRDefault="00270528" w:rsidP="00270528">
      <w:pPr>
        <w:widowControl/>
        <w:rPr>
          <w:szCs w:val="24"/>
        </w:rPr>
      </w:pPr>
      <w:r w:rsidRPr="0010469D">
        <w:rPr>
          <w:b/>
          <w:szCs w:val="24"/>
        </w:rPr>
        <w:t xml:space="preserve">Condition 3: </w:t>
      </w:r>
      <w:r w:rsidRPr="0010469D">
        <w:rPr>
          <w:szCs w:val="24"/>
        </w:rPr>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14:paraId="335BCC89" w14:textId="77777777" w:rsidR="00270528" w:rsidRPr="0010469D" w:rsidRDefault="00270528" w:rsidP="00270528">
      <w:pPr>
        <w:widowControl/>
        <w:rPr>
          <w:szCs w:val="24"/>
        </w:rPr>
      </w:pPr>
    </w:p>
    <w:p w14:paraId="335BCC8A" w14:textId="77777777" w:rsidR="00270528" w:rsidRPr="0010469D" w:rsidRDefault="00270528" w:rsidP="00270528">
      <w:pPr>
        <w:widowControl/>
        <w:rPr>
          <w:b/>
          <w:szCs w:val="24"/>
        </w:rPr>
      </w:pPr>
      <w:r w:rsidRPr="0010469D">
        <w:rPr>
          <w:szCs w:val="24"/>
        </w:rPr>
        <w:tab/>
      </w:r>
      <w:r w:rsidRPr="0010469D">
        <w:rPr>
          <w:b/>
          <w:szCs w:val="24"/>
        </w:rPr>
        <w:t>Status: Met</w:t>
      </w:r>
    </w:p>
    <w:p w14:paraId="335BCC8B" w14:textId="77777777" w:rsidR="00270528" w:rsidRPr="0010469D" w:rsidRDefault="00270528" w:rsidP="00270528">
      <w:pPr>
        <w:widowControl/>
        <w:ind w:left="720"/>
        <w:rPr>
          <w:szCs w:val="24"/>
        </w:rPr>
      </w:pPr>
      <w:r w:rsidRPr="0010469D">
        <w:rPr>
          <w:szCs w:val="24"/>
        </w:rPr>
        <w:t xml:space="preserve">Following the school’s academic improvement in 2015, MLK continued to demonstrate academic progress in 2016. </w:t>
      </w:r>
      <w:r>
        <w:rPr>
          <w:szCs w:val="24"/>
        </w:rPr>
        <w:t>Based on 2016 assessment results, t</w:t>
      </w:r>
      <w:r w:rsidRPr="0010469D">
        <w:rPr>
          <w:szCs w:val="24"/>
        </w:rPr>
        <w:t>he school is now in Level 1</w:t>
      </w:r>
      <w:r>
        <w:rPr>
          <w:szCs w:val="24"/>
        </w:rPr>
        <w:t xml:space="preserve"> and in the 33</w:t>
      </w:r>
      <w:r w:rsidRPr="00B97793">
        <w:rPr>
          <w:szCs w:val="24"/>
          <w:vertAlign w:val="superscript"/>
        </w:rPr>
        <w:t>rd</w:t>
      </w:r>
      <w:r>
        <w:rPr>
          <w:szCs w:val="24"/>
        </w:rPr>
        <w:t xml:space="preserve"> percentile when compared to other elementary schools statewide</w:t>
      </w:r>
      <w:r w:rsidRPr="0010469D">
        <w:rPr>
          <w:szCs w:val="24"/>
        </w:rPr>
        <w:t xml:space="preserve">. </w:t>
      </w:r>
    </w:p>
    <w:p w14:paraId="335BCC8C" w14:textId="77777777" w:rsidR="00270528" w:rsidRPr="0010469D" w:rsidRDefault="00270528" w:rsidP="00270528">
      <w:pPr>
        <w:widowControl/>
        <w:ind w:left="720"/>
        <w:rPr>
          <w:szCs w:val="24"/>
        </w:rPr>
      </w:pPr>
    </w:p>
    <w:p w14:paraId="335BCC8D" w14:textId="77777777" w:rsidR="00270528" w:rsidRPr="0010469D" w:rsidRDefault="00270528" w:rsidP="00270528">
      <w:pPr>
        <w:widowControl/>
        <w:ind w:left="720"/>
        <w:rPr>
          <w:szCs w:val="24"/>
        </w:rPr>
      </w:pPr>
      <w:r w:rsidRPr="0010469D">
        <w:rPr>
          <w:szCs w:val="24"/>
        </w:rPr>
        <w:t>In 2012, 2013, 2014, and 2015</w:t>
      </w:r>
      <w:r>
        <w:rPr>
          <w:szCs w:val="24"/>
        </w:rPr>
        <w:t>,</w:t>
      </w:r>
      <w:r w:rsidRPr="0010469D">
        <w:rPr>
          <w:szCs w:val="24"/>
        </w:rPr>
        <w:t xml:space="preserve"> MLK’s MCAS scores placed the school in Level 3. In 2016, MLK’s PARCC and MCAS scores placed the school in Level 1. The school’s percentile, when compared to other elementary schools statewide, continued to improve in 2016. In 2012, MLK was in the 12th percentile; in 2013, the 11th percentile; and in 2014, the 9th percentile. In 2015, the school was in the 16</w:t>
      </w:r>
      <w:r w:rsidRPr="0010469D">
        <w:rPr>
          <w:szCs w:val="24"/>
          <w:vertAlign w:val="superscript"/>
        </w:rPr>
        <w:t>th</w:t>
      </w:r>
      <w:r w:rsidRPr="0010469D">
        <w:rPr>
          <w:szCs w:val="24"/>
        </w:rPr>
        <w:t xml:space="preserve"> percentile. In 2016, the school is in the 33</w:t>
      </w:r>
      <w:r w:rsidRPr="0010469D">
        <w:rPr>
          <w:szCs w:val="24"/>
          <w:vertAlign w:val="superscript"/>
        </w:rPr>
        <w:t>rd</w:t>
      </w:r>
      <w:r w:rsidRPr="0010469D">
        <w:rPr>
          <w:szCs w:val="24"/>
        </w:rPr>
        <w:t xml:space="preserve"> percentile. </w:t>
      </w:r>
    </w:p>
    <w:p w14:paraId="335BCC8E" w14:textId="77777777" w:rsidR="00270528" w:rsidRPr="0010469D" w:rsidRDefault="00270528" w:rsidP="00270528">
      <w:pPr>
        <w:widowControl/>
        <w:ind w:left="720"/>
        <w:rPr>
          <w:szCs w:val="24"/>
        </w:rPr>
      </w:pPr>
    </w:p>
    <w:p w14:paraId="335BCC8F" w14:textId="77777777" w:rsidR="00270528" w:rsidRPr="0010469D" w:rsidRDefault="00270528" w:rsidP="00270528">
      <w:pPr>
        <w:widowControl/>
        <w:ind w:left="720"/>
        <w:rPr>
          <w:szCs w:val="24"/>
        </w:rPr>
      </w:pPr>
      <w:r w:rsidRPr="0010469D">
        <w:rPr>
          <w:szCs w:val="24"/>
        </w:rPr>
        <w:t xml:space="preserve">In 2016, the school has a cumulative Progress and Performance Index (PPI) of 88 for all students and 86 for the high needs subgroup. </w:t>
      </w:r>
      <w:r>
        <w:rPr>
          <w:szCs w:val="24"/>
        </w:rPr>
        <w:t xml:space="preserve">In 2016, the school met gap narrowing targets for both all students and the high needs subgroup. </w:t>
      </w:r>
    </w:p>
    <w:p w14:paraId="335BCC90" w14:textId="77777777" w:rsidR="00270528" w:rsidRPr="0010469D" w:rsidRDefault="00270528" w:rsidP="00270528">
      <w:pPr>
        <w:widowControl/>
        <w:ind w:left="720"/>
        <w:rPr>
          <w:szCs w:val="24"/>
        </w:rPr>
      </w:pPr>
    </w:p>
    <w:p w14:paraId="335BCC91" w14:textId="77777777" w:rsidR="00270528" w:rsidRPr="0010469D" w:rsidRDefault="00270528" w:rsidP="00270528">
      <w:pPr>
        <w:widowControl/>
        <w:ind w:left="720"/>
        <w:rPr>
          <w:szCs w:val="24"/>
        </w:rPr>
      </w:pPr>
      <w:r w:rsidRPr="0010469D">
        <w:rPr>
          <w:szCs w:val="24"/>
        </w:rPr>
        <w:t xml:space="preserve">PARCC scores are designated by Levels, with Levels 4 and 5 meeting and exceeding expectations respectively. In 2016, 42 percent of MLK students scored in Level 4 and 5 on the ELA PARCC assessment. In mathematics, 60 percent scored in Level 4 and 5. In science and technology/engineering, 40 percent scored Proficient and Advanced on the science and technology/engineering MCAS assessment, below the state average of 47 percent. </w:t>
      </w:r>
    </w:p>
    <w:p w14:paraId="335BCC92" w14:textId="77777777" w:rsidR="00270528" w:rsidRPr="0010469D" w:rsidRDefault="00270528" w:rsidP="00270528">
      <w:pPr>
        <w:widowControl/>
        <w:ind w:left="720"/>
        <w:rPr>
          <w:szCs w:val="24"/>
        </w:rPr>
      </w:pPr>
    </w:p>
    <w:p w14:paraId="335BCC93" w14:textId="77777777" w:rsidR="00270528" w:rsidRDefault="00270528" w:rsidP="00270528">
      <w:pPr>
        <w:widowControl/>
        <w:ind w:left="720"/>
        <w:rPr>
          <w:szCs w:val="24"/>
        </w:rPr>
      </w:pPr>
      <w:r w:rsidRPr="0010469D">
        <w:rPr>
          <w:szCs w:val="24"/>
        </w:rPr>
        <w:t>The transitional SGP was generated using current PARCC and prior MCAS scores. Student Growth Percentiles (SGP) have varied over the charter term but improved in 201</w:t>
      </w:r>
      <w:r>
        <w:rPr>
          <w:szCs w:val="24"/>
        </w:rPr>
        <w:t>5 and continued to show improvement in 2016 for ELA and mathematics.</w:t>
      </w:r>
      <w:r w:rsidRPr="0010469D">
        <w:rPr>
          <w:szCs w:val="24"/>
        </w:rPr>
        <w:t xml:space="preserve"> The school’s SGP for all students in 2016 was </w:t>
      </w:r>
      <w:r>
        <w:rPr>
          <w:szCs w:val="24"/>
        </w:rPr>
        <w:t>64.0</w:t>
      </w:r>
      <w:r w:rsidRPr="0010469D">
        <w:rPr>
          <w:szCs w:val="24"/>
        </w:rPr>
        <w:t xml:space="preserve"> in ELA (</w:t>
      </w:r>
      <w:r>
        <w:rPr>
          <w:szCs w:val="24"/>
        </w:rPr>
        <w:t>above</w:t>
      </w:r>
      <w:r w:rsidRPr="0010469D">
        <w:rPr>
          <w:szCs w:val="24"/>
        </w:rPr>
        <w:t xml:space="preserve"> target growth) and </w:t>
      </w:r>
      <w:r>
        <w:rPr>
          <w:szCs w:val="24"/>
        </w:rPr>
        <w:t>76</w:t>
      </w:r>
      <w:r w:rsidRPr="0010469D">
        <w:rPr>
          <w:szCs w:val="24"/>
        </w:rPr>
        <w:t xml:space="preserve">.0 in mathematics (above target growth). </w:t>
      </w:r>
    </w:p>
    <w:p w14:paraId="335BCC94" w14:textId="77777777" w:rsidR="00270528" w:rsidRDefault="00270528" w:rsidP="00270528">
      <w:pPr>
        <w:widowControl/>
        <w:ind w:left="720"/>
        <w:rPr>
          <w:szCs w:val="24"/>
        </w:rPr>
      </w:pPr>
    </w:p>
    <w:tbl>
      <w:tblPr>
        <w:tblpPr w:leftFromText="180" w:rightFromText="180" w:vertAnchor="text" w:horzAnchor="page" w:tblpX="3313" w:tblpY="65"/>
        <w:tblW w:w="63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9"/>
        <w:gridCol w:w="808"/>
        <w:gridCol w:w="917"/>
        <w:gridCol w:w="900"/>
        <w:gridCol w:w="900"/>
        <w:gridCol w:w="901"/>
        <w:gridCol w:w="901"/>
      </w:tblGrid>
      <w:tr w:rsidR="00270528" w:rsidRPr="00720D3B" w14:paraId="335BCC96" w14:textId="77777777" w:rsidTr="00036D80">
        <w:trPr>
          <w:trHeight w:val="168"/>
        </w:trPr>
        <w:tc>
          <w:tcPr>
            <w:tcW w:w="6316" w:type="dxa"/>
            <w:gridSpan w:val="7"/>
            <w:shd w:val="clear" w:color="auto" w:fill="A6A6A6" w:themeFill="background1" w:themeFillShade="A6"/>
            <w:vAlign w:val="center"/>
          </w:tcPr>
          <w:p w14:paraId="335BCC95" w14:textId="77777777" w:rsidR="00270528" w:rsidRDefault="00270528" w:rsidP="00036D80">
            <w:pPr>
              <w:widowControl/>
              <w:jc w:val="center"/>
              <w:rPr>
                <w:rFonts w:ascii="Calibri" w:hAnsi="Calibri"/>
                <w:b/>
                <w:bCs/>
                <w:color w:val="FFFFFF" w:themeColor="background1"/>
                <w:sz w:val="22"/>
                <w:szCs w:val="22"/>
              </w:rPr>
            </w:pPr>
            <w:r>
              <w:rPr>
                <w:rFonts w:ascii="Calibri" w:hAnsi="Calibri"/>
                <w:b/>
                <w:bCs/>
                <w:color w:val="FFFFFF" w:themeColor="background1"/>
                <w:sz w:val="22"/>
                <w:szCs w:val="22"/>
              </w:rPr>
              <w:t xml:space="preserve">Student </w:t>
            </w:r>
            <w:r w:rsidRPr="00720D3B">
              <w:rPr>
                <w:rFonts w:ascii="Calibri" w:hAnsi="Calibri"/>
                <w:b/>
                <w:bCs/>
                <w:color w:val="FFFFFF" w:themeColor="background1"/>
                <w:sz w:val="22"/>
                <w:szCs w:val="22"/>
              </w:rPr>
              <w:t>Growth</w:t>
            </w:r>
            <w:r>
              <w:rPr>
                <w:rFonts w:ascii="Calibri" w:hAnsi="Calibri"/>
                <w:b/>
                <w:bCs/>
                <w:color w:val="FFFFFF" w:themeColor="background1"/>
                <w:sz w:val="22"/>
                <w:szCs w:val="22"/>
              </w:rPr>
              <w:t xml:space="preserve"> Percentile</w:t>
            </w:r>
          </w:p>
        </w:tc>
      </w:tr>
      <w:tr w:rsidR="00270528" w:rsidRPr="00720D3B" w14:paraId="335BCC9E" w14:textId="77777777" w:rsidTr="00036D80">
        <w:trPr>
          <w:trHeight w:val="194"/>
        </w:trPr>
        <w:tc>
          <w:tcPr>
            <w:tcW w:w="989" w:type="dxa"/>
          </w:tcPr>
          <w:p w14:paraId="335BCC97" w14:textId="77777777" w:rsidR="00270528" w:rsidRDefault="00270528" w:rsidP="00036D80">
            <w:pPr>
              <w:widowControl/>
              <w:jc w:val="center"/>
              <w:rPr>
                <w:rFonts w:ascii="Calibri" w:hAnsi="Calibri"/>
                <w:b/>
                <w:bCs/>
                <w:sz w:val="22"/>
                <w:szCs w:val="22"/>
              </w:rPr>
            </w:pPr>
          </w:p>
        </w:tc>
        <w:tc>
          <w:tcPr>
            <w:tcW w:w="808" w:type="dxa"/>
          </w:tcPr>
          <w:p w14:paraId="335BCC98" w14:textId="77777777" w:rsidR="00270528" w:rsidRDefault="00270528" w:rsidP="00036D80">
            <w:pPr>
              <w:widowControl/>
              <w:jc w:val="center"/>
              <w:rPr>
                <w:rFonts w:ascii="Calibri" w:hAnsi="Calibri"/>
                <w:b/>
                <w:bCs/>
                <w:sz w:val="22"/>
                <w:szCs w:val="22"/>
              </w:rPr>
            </w:pPr>
          </w:p>
        </w:tc>
        <w:tc>
          <w:tcPr>
            <w:tcW w:w="917" w:type="dxa"/>
            <w:shd w:val="clear" w:color="000000" w:fill="FFFFFF"/>
            <w:noWrap/>
            <w:vAlign w:val="center"/>
            <w:hideMark/>
          </w:tcPr>
          <w:p w14:paraId="335BCC99" w14:textId="77777777" w:rsidR="00270528" w:rsidRDefault="00270528" w:rsidP="00036D80">
            <w:pPr>
              <w:widowControl/>
              <w:jc w:val="center"/>
              <w:rPr>
                <w:rFonts w:ascii="Calibri" w:hAnsi="Calibri"/>
                <w:b/>
                <w:bCs/>
                <w:color w:val="000000"/>
                <w:sz w:val="22"/>
                <w:szCs w:val="22"/>
              </w:rPr>
            </w:pPr>
            <w:r>
              <w:rPr>
                <w:rFonts w:ascii="Calibri" w:hAnsi="Calibri"/>
                <w:b/>
                <w:bCs/>
                <w:color w:val="000000"/>
                <w:sz w:val="22"/>
                <w:szCs w:val="22"/>
              </w:rPr>
              <w:t>2012</w:t>
            </w:r>
          </w:p>
        </w:tc>
        <w:tc>
          <w:tcPr>
            <w:tcW w:w="900" w:type="dxa"/>
            <w:shd w:val="clear" w:color="auto" w:fill="auto"/>
            <w:vAlign w:val="center"/>
            <w:hideMark/>
          </w:tcPr>
          <w:p w14:paraId="335BCC9A" w14:textId="77777777" w:rsidR="00270528" w:rsidRDefault="00270528" w:rsidP="00036D80">
            <w:pPr>
              <w:widowControl/>
              <w:jc w:val="center"/>
              <w:rPr>
                <w:rFonts w:ascii="Calibri" w:hAnsi="Calibri"/>
                <w:b/>
                <w:bCs/>
                <w:sz w:val="22"/>
                <w:szCs w:val="22"/>
              </w:rPr>
            </w:pPr>
            <w:r w:rsidRPr="00720D3B">
              <w:rPr>
                <w:rFonts w:ascii="Calibri" w:hAnsi="Calibri"/>
                <w:b/>
                <w:bCs/>
                <w:sz w:val="22"/>
                <w:szCs w:val="22"/>
              </w:rPr>
              <w:t>201</w:t>
            </w:r>
            <w:r>
              <w:rPr>
                <w:rFonts w:ascii="Calibri" w:hAnsi="Calibri"/>
                <w:b/>
                <w:bCs/>
                <w:sz w:val="22"/>
                <w:szCs w:val="22"/>
              </w:rPr>
              <w:t>3</w:t>
            </w:r>
          </w:p>
        </w:tc>
        <w:tc>
          <w:tcPr>
            <w:tcW w:w="900" w:type="dxa"/>
            <w:shd w:val="clear" w:color="000000" w:fill="FFFFFF"/>
            <w:vAlign w:val="center"/>
            <w:hideMark/>
          </w:tcPr>
          <w:p w14:paraId="335BCC9B" w14:textId="77777777" w:rsidR="00270528" w:rsidRDefault="00270528" w:rsidP="00036D80">
            <w:pPr>
              <w:widowControl/>
              <w:jc w:val="center"/>
              <w:rPr>
                <w:rFonts w:ascii="Calibri" w:hAnsi="Calibri"/>
                <w:b/>
                <w:bCs/>
                <w:sz w:val="22"/>
                <w:szCs w:val="22"/>
              </w:rPr>
            </w:pPr>
            <w:r>
              <w:rPr>
                <w:rFonts w:ascii="Calibri" w:hAnsi="Calibri"/>
                <w:b/>
                <w:bCs/>
                <w:sz w:val="22"/>
                <w:szCs w:val="22"/>
              </w:rPr>
              <w:t>2014</w:t>
            </w:r>
          </w:p>
        </w:tc>
        <w:tc>
          <w:tcPr>
            <w:tcW w:w="901" w:type="dxa"/>
            <w:shd w:val="clear" w:color="auto" w:fill="auto"/>
            <w:vAlign w:val="center"/>
            <w:hideMark/>
          </w:tcPr>
          <w:p w14:paraId="335BCC9C" w14:textId="77777777" w:rsidR="00270528" w:rsidRDefault="00270528" w:rsidP="00036D80">
            <w:pPr>
              <w:widowControl/>
              <w:jc w:val="center"/>
              <w:rPr>
                <w:rFonts w:ascii="Calibri" w:hAnsi="Calibri"/>
                <w:b/>
                <w:bCs/>
                <w:sz w:val="22"/>
                <w:szCs w:val="22"/>
              </w:rPr>
            </w:pPr>
            <w:r w:rsidRPr="00720D3B">
              <w:rPr>
                <w:rFonts w:ascii="Calibri" w:hAnsi="Calibri"/>
                <w:b/>
                <w:bCs/>
                <w:sz w:val="22"/>
                <w:szCs w:val="22"/>
              </w:rPr>
              <w:t>201</w:t>
            </w:r>
            <w:r>
              <w:rPr>
                <w:rFonts w:ascii="Calibri" w:hAnsi="Calibri"/>
                <w:b/>
                <w:bCs/>
                <w:sz w:val="22"/>
                <w:szCs w:val="22"/>
              </w:rPr>
              <w:t>5</w:t>
            </w:r>
          </w:p>
        </w:tc>
        <w:tc>
          <w:tcPr>
            <w:tcW w:w="901" w:type="dxa"/>
          </w:tcPr>
          <w:p w14:paraId="335BCC9D" w14:textId="77777777" w:rsidR="00270528" w:rsidRPr="00720D3B" w:rsidRDefault="00270528" w:rsidP="00036D80">
            <w:pPr>
              <w:widowControl/>
              <w:jc w:val="center"/>
              <w:rPr>
                <w:rFonts w:ascii="Calibri" w:hAnsi="Calibri"/>
                <w:b/>
                <w:bCs/>
                <w:sz w:val="22"/>
                <w:szCs w:val="22"/>
              </w:rPr>
            </w:pPr>
            <w:r>
              <w:rPr>
                <w:rFonts w:ascii="Calibri" w:hAnsi="Calibri"/>
                <w:b/>
                <w:bCs/>
                <w:sz w:val="22"/>
                <w:szCs w:val="22"/>
              </w:rPr>
              <w:t>2016</w:t>
            </w:r>
          </w:p>
        </w:tc>
      </w:tr>
      <w:tr w:rsidR="00270528" w:rsidRPr="00720D3B" w14:paraId="335BCCA6" w14:textId="77777777" w:rsidTr="00036D80">
        <w:trPr>
          <w:trHeight w:val="263"/>
        </w:trPr>
        <w:tc>
          <w:tcPr>
            <w:tcW w:w="989" w:type="dxa"/>
            <w:vMerge w:val="restart"/>
            <w:vAlign w:val="center"/>
          </w:tcPr>
          <w:p w14:paraId="335BCC9F" w14:textId="77777777" w:rsidR="00270528" w:rsidRDefault="00270528" w:rsidP="00036D80">
            <w:pPr>
              <w:widowControl/>
              <w:jc w:val="center"/>
              <w:rPr>
                <w:rFonts w:ascii="Calibri" w:hAnsi="Calibri"/>
                <w:i/>
                <w:iCs/>
                <w:color w:val="000000"/>
                <w:sz w:val="20"/>
              </w:rPr>
            </w:pPr>
            <w:r>
              <w:rPr>
                <w:rFonts w:ascii="Calibri" w:hAnsi="Calibri"/>
                <w:color w:val="000000"/>
                <w:sz w:val="18"/>
                <w:szCs w:val="18"/>
              </w:rPr>
              <w:t>ELA SGP</w:t>
            </w:r>
          </w:p>
        </w:tc>
        <w:tc>
          <w:tcPr>
            <w:tcW w:w="808" w:type="dxa"/>
            <w:vAlign w:val="center"/>
          </w:tcPr>
          <w:p w14:paraId="335BCCA0" w14:textId="77777777" w:rsidR="00270528" w:rsidRDefault="00270528" w:rsidP="00036D80">
            <w:pPr>
              <w:widowControl/>
              <w:jc w:val="center"/>
              <w:rPr>
                <w:rFonts w:ascii="Calibri" w:hAnsi="Calibri"/>
                <w:i/>
                <w:iCs/>
                <w:color w:val="000000"/>
                <w:sz w:val="20"/>
              </w:rPr>
            </w:pPr>
            <w:r>
              <w:rPr>
                <w:rFonts w:ascii="Calibri" w:hAnsi="Calibri"/>
                <w:i/>
                <w:iCs/>
                <w:color w:val="000000"/>
                <w:sz w:val="18"/>
                <w:szCs w:val="18"/>
              </w:rPr>
              <w:t>All</w:t>
            </w:r>
          </w:p>
        </w:tc>
        <w:tc>
          <w:tcPr>
            <w:tcW w:w="917" w:type="dxa"/>
            <w:shd w:val="clear" w:color="auto" w:fill="auto"/>
            <w:noWrap/>
            <w:vAlign w:val="center"/>
            <w:hideMark/>
          </w:tcPr>
          <w:p w14:paraId="335BCCA1"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50.5</w:t>
            </w:r>
          </w:p>
        </w:tc>
        <w:tc>
          <w:tcPr>
            <w:tcW w:w="900" w:type="dxa"/>
            <w:shd w:val="clear" w:color="auto" w:fill="auto"/>
            <w:noWrap/>
            <w:vAlign w:val="center"/>
            <w:hideMark/>
          </w:tcPr>
          <w:p w14:paraId="335BCCA2"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42</w:t>
            </w:r>
          </w:p>
        </w:tc>
        <w:tc>
          <w:tcPr>
            <w:tcW w:w="900" w:type="dxa"/>
            <w:shd w:val="clear" w:color="auto" w:fill="auto"/>
            <w:noWrap/>
            <w:vAlign w:val="center"/>
            <w:hideMark/>
          </w:tcPr>
          <w:p w14:paraId="335BCCA3"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35.5</w:t>
            </w:r>
          </w:p>
        </w:tc>
        <w:tc>
          <w:tcPr>
            <w:tcW w:w="901" w:type="dxa"/>
            <w:shd w:val="clear" w:color="auto" w:fill="auto"/>
            <w:noWrap/>
            <w:vAlign w:val="center"/>
            <w:hideMark/>
          </w:tcPr>
          <w:p w14:paraId="335BCCA4"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49.5</w:t>
            </w:r>
          </w:p>
        </w:tc>
        <w:tc>
          <w:tcPr>
            <w:tcW w:w="901" w:type="dxa"/>
          </w:tcPr>
          <w:p w14:paraId="335BCCA5"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64</w:t>
            </w:r>
          </w:p>
        </w:tc>
      </w:tr>
      <w:tr w:rsidR="00270528" w:rsidRPr="00720D3B" w14:paraId="335BCCAE" w14:textId="77777777" w:rsidTr="00036D80">
        <w:trPr>
          <w:trHeight w:val="228"/>
        </w:trPr>
        <w:tc>
          <w:tcPr>
            <w:tcW w:w="989" w:type="dxa"/>
            <w:vMerge/>
            <w:vAlign w:val="center"/>
          </w:tcPr>
          <w:p w14:paraId="335BCCA7" w14:textId="77777777" w:rsidR="00270528" w:rsidRDefault="00270528" w:rsidP="00036D80">
            <w:pPr>
              <w:widowControl/>
              <w:jc w:val="center"/>
              <w:rPr>
                <w:rFonts w:ascii="Calibri" w:hAnsi="Calibri"/>
                <w:i/>
                <w:iCs/>
                <w:color w:val="000000"/>
                <w:sz w:val="20"/>
              </w:rPr>
            </w:pPr>
          </w:p>
        </w:tc>
        <w:tc>
          <w:tcPr>
            <w:tcW w:w="808" w:type="dxa"/>
            <w:vAlign w:val="center"/>
          </w:tcPr>
          <w:p w14:paraId="335BCCA8" w14:textId="77777777" w:rsidR="00270528" w:rsidRDefault="00270528" w:rsidP="00036D80">
            <w:pPr>
              <w:widowControl/>
              <w:jc w:val="center"/>
              <w:rPr>
                <w:rFonts w:ascii="Calibri" w:hAnsi="Calibri"/>
                <w:i/>
                <w:iCs/>
                <w:color w:val="000000"/>
                <w:sz w:val="20"/>
              </w:rPr>
            </w:pPr>
            <w:r>
              <w:rPr>
                <w:rFonts w:ascii="Calibri" w:hAnsi="Calibri"/>
                <w:i/>
                <w:iCs/>
                <w:color w:val="000000"/>
                <w:sz w:val="18"/>
                <w:szCs w:val="18"/>
              </w:rPr>
              <w:t>High needs</w:t>
            </w:r>
          </w:p>
        </w:tc>
        <w:tc>
          <w:tcPr>
            <w:tcW w:w="917" w:type="dxa"/>
            <w:shd w:val="clear" w:color="auto" w:fill="auto"/>
            <w:noWrap/>
            <w:vAlign w:val="center"/>
            <w:hideMark/>
          </w:tcPr>
          <w:p w14:paraId="335BCCA9"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50.5</w:t>
            </w:r>
          </w:p>
        </w:tc>
        <w:tc>
          <w:tcPr>
            <w:tcW w:w="900" w:type="dxa"/>
            <w:shd w:val="clear" w:color="auto" w:fill="auto"/>
            <w:noWrap/>
            <w:vAlign w:val="center"/>
            <w:hideMark/>
          </w:tcPr>
          <w:p w14:paraId="335BCCAA"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42</w:t>
            </w:r>
          </w:p>
        </w:tc>
        <w:tc>
          <w:tcPr>
            <w:tcW w:w="900" w:type="dxa"/>
            <w:shd w:val="clear" w:color="auto" w:fill="auto"/>
            <w:noWrap/>
            <w:vAlign w:val="center"/>
            <w:hideMark/>
          </w:tcPr>
          <w:p w14:paraId="335BCCAB"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36</w:t>
            </w:r>
          </w:p>
        </w:tc>
        <w:tc>
          <w:tcPr>
            <w:tcW w:w="901" w:type="dxa"/>
            <w:shd w:val="clear" w:color="auto" w:fill="auto"/>
            <w:noWrap/>
            <w:vAlign w:val="center"/>
            <w:hideMark/>
          </w:tcPr>
          <w:p w14:paraId="335BCCAC"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41</w:t>
            </w:r>
          </w:p>
        </w:tc>
        <w:tc>
          <w:tcPr>
            <w:tcW w:w="901" w:type="dxa"/>
            <w:vAlign w:val="center"/>
          </w:tcPr>
          <w:p w14:paraId="335BCCAD"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60</w:t>
            </w:r>
          </w:p>
        </w:tc>
      </w:tr>
      <w:tr w:rsidR="00270528" w:rsidRPr="00720D3B" w14:paraId="335BCCB6" w14:textId="77777777" w:rsidTr="00036D80">
        <w:trPr>
          <w:trHeight w:val="228"/>
        </w:trPr>
        <w:tc>
          <w:tcPr>
            <w:tcW w:w="989" w:type="dxa"/>
            <w:vMerge w:val="restart"/>
            <w:vAlign w:val="center"/>
          </w:tcPr>
          <w:p w14:paraId="335BCCAF" w14:textId="77777777" w:rsidR="00270528" w:rsidRDefault="00270528" w:rsidP="00036D80">
            <w:pPr>
              <w:widowControl/>
              <w:jc w:val="center"/>
              <w:rPr>
                <w:rFonts w:ascii="Calibri" w:hAnsi="Calibri"/>
                <w:i/>
                <w:iCs/>
                <w:color w:val="000000"/>
                <w:sz w:val="20"/>
              </w:rPr>
            </w:pPr>
            <w:r>
              <w:rPr>
                <w:rFonts w:ascii="Calibri" w:hAnsi="Calibri"/>
                <w:color w:val="000000"/>
                <w:sz w:val="18"/>
                <w:szCs w:val="18"/>
              </w:rPr>
              <w:t>Math SGP</w:t>
            </w:r>
          </w:p>
        </w:tc>
        <w:tc>
          <w:tcPr>
            <w:tcW w:w="808" w:type="dxa"/>
            <w:vAlign w:val="center"/>
          </w:tcPr>
          <w:p w14:paraId="335BCCB0" w14:textId="77777777" w:rsidR="00270528" w:rsidRDefault="00270528" w:rsidP="00036D80">
            <w:pPr>
              <w:widowControl/>
              <w:jc w:val="center"/>
              <w:rPr>
                <w:rFonts w:ascii="Calibri" w:hAnsi="Calibri"/>
                <w:i/>
                <w:iCs/>
                <w:color w:val="000000"/>
                <w:sz w:val="20"/>
              </w:rPr>
            </w:pPr>
            <w:r>
              <w:rPr>
                <w:rFonts w:ascii="Calibri" w:hAnsi="Calibri"/>
                <w:i/>
                <w:iCs/>
                <w:color w:val="000000"/>
                <w:sz w:val="18"/>
                <w:szCs w:val="18"/>
              </w:rPr>
              <w:t>All</w:t>
            </w:r>
          </w:p>
        </w:tc>
        <w:tc>
          <w:tcPr>
            <w:tcW w:w="917" w:type="dxa"/>
            <w:shd w:val="clear" w:color="auto" w:fill="auto"/>
            <w:noWrap/>
            <w:vAlign w:val="center"/>
            <w:hideMark/>
          </w:tcPr>
          <w:p w14:paraId="335BCCB1"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73</w:t>
            </w:r>
          </w:p>
        </w:tc>
        <w:tc>
          <w:tcPr>
            <w:tcW w:w="900" w:type="dxa"/>
            <w:shd w:val="clear" w:color="auto" w:fill="auto"/>
            <w:noWrap/>
            <w:vAlign w:val="center"/>
            <w:hideMark/>
          </w:tcPr>
          <w:p w14:paraId="335BCCB2"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59</w:t>
            </w:r>
          </w:p>
        </w:tc>
        <w:tc>
          <w:tcPr>
            <w:tcW w:w="900" w:type="dxa"/>
            <w:shd w:val="clear" w:color="auto" w:fill="auto"/>
            <w:noWrap/>
            <w:vAlign w:val="center"/>
            <w:hideMark/>
          </w:tcPr>
          <w:p w14:paraId="335BCCB3"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44</w:t>
            </w:r>
          </w:p>
        </w:tc>
        <w:tc>
          <w:tcPr>
            <w:tcW w:w="901" w:type="dxa"/>
            <w:shd w:val="clear" w:color="auto" w:fill="auto"/>
            <w:noWrap/>
            <w:vAlign w:val="center"/>
            <w:hideMark/>
          </w:tcPr>
          <w:p w14:paraId="335BCCB4"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64</w:t>
            </w:r>
          </w:p>
        </w:tc>
        <w:tc>
          <w:tcPr>
            <w:tcW w:w="901" w:type="dxa"/>
            <w:vAlign w:val="center"/>
          </w:tcPr>
          <w:p w14:paraId="335BCCB5"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76</w:t>
            </w:r>
          </w:p>
        </w:tc>
      </w:tr>
      <w:tr w:rsidR="00270528" w:rsidRPr="00720D3B" w14:paraId="335BCCBE" w14:textId="77777777" w:rsidTr="00036D80">
        <w:trPr>
          <w:trHeight w:val="286"/>
        </w:trPr>
        <w:tc>
          <w:tcPr>
            <w:tcW w:w="989" w:type="dxa"/>
            <w:vMerge/>
            <w:vAlign w:val="center"/>
          </w:tcPr>
          <w:p w14:paraId="335BCCB7" w14:textId="77777777" w:rsidR="00270528" w:rsidRDefault="00270528" w:rsidP="00036D80">
            <w:pPr>
              <w:widowControl/>
              <w:jc w:val="center"/>
              <w:rPr>
                <w:rFonts w:ascii="Calibri" w:hAnsi="Calibri"/>
                <w:i/>
                <w:iCs/>
                <w:color w:val="000000"/>
                <w:sz w:val="20"/>
              </w:rPr>
            </w:pPr>
          </w:p>
        </w:tc>
        <w:tc>
          <w:tcPr>
            <w:tcW w:w="808" w:type="dxa"/>
            <w:vAlign w:val="center"/>
          </w:tcPr>
          <w:p w14:paraId="335BCCB8" w14:textId="77777777" w:rsidR="00270528" w:rsidRDefault="00270528" w:rsidP="00036D80">
            <w:pPr>
              <w:widowControl/>
              <w:jc w:val="center"/>
              <w:rPr>
                <w:rFonts w:ascii="Calibri" w:hAnsi="Calibri"/>
                <w:i/>
                <w:iCs/>
                <w:color w:val="000000"/>
                <w:sz w:val="20"/>
              </w:rPr>
            </w:pPr>
            <w:r>
              <w:rPr>
                <w:rFonts w:ascii="Calibri" w:hAnsi="Calibri"/>
                <w:i/>
                <w:iCs/>
                <w:color w:val="000000"/>
                <w:sz w:val="18"/>
                <w:szCs w:val="18"/>
              </w:rPr>
              <w:t>High needs</w:t>
            </w:r>
          </w:p>
        </w:tc>
        <w:tc>
          <w:tcPr>
            <w:tcW w:w="917" w:type="dxa"/>
            <w:shd w:val="clear" w:color="auto" w:fill="auto"/>
            <w:noWrap/>
            <w:vAlign w:val="center"/>
            <w:hideMark/>
          </w:tcPr>
          <w:p w14:paraId="335BCCB9"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74</w:t>
            </w:r>
          </w:p>
        </w:tc>
        <w:tc>
          <w:tcPr>
            <w:tcW w:w="900" w:type="dxa"/>
            <w:shd w:val="clear" w:color="auto" w:fill="auto"/>
            <w:noWrap/>
            <w:vAlign w:val="center"/>
            <w:hideMark/>
          </w:tcPr>
          <w:p w14:paraId="335BCCBA"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55.5</w:t>
            </w:r>
          </w:p>
        </w:tc>
        <w:tc>
          <w:tcPr>
            <w:tcW w:w="900" w:type="dxa"/>
            <w:shd w:val="clear" w:color="auto" w:fill="auto"/>
            <w:noWrap/>
            <w:vAlign w:val="center"/>
            <w:hideMark/>
          </w:tcPr>
          <w:p w14:paraId="335BCCBB"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44.5</w:t>
            </w:r>
          </w:p>
        </w:tc>
        <w:tc>
          <w:tcPr>
            <w:tcW w:w="901" w:type="dxa"/>
            <w:shd w:val="clear" w:color="auto" w:fill="auto"/>
            <w:noWrap/>
            <w:vAlign w:val="center"/>
            <w:hideMark/>
          </w:tcPr>
          <w:p w14:paraId="335BCCBC"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66</w:t>
            </w:r>
          </w:p>
        </w:tc>
        <w:tc>
          <w:tcPr>
            <w:tcW w:w="901" w:type="dxa"/>
            <w:vAlign w:val="center"/>
          </w:tcPr>
          <w:p w14:paraId="335BCCBD" w14:textId="77777777" w:rsidR="00270528" w:rsidRDefault="00270528" w:rsidP="00036D80">
            <w:pPr>
              <w:widowControl/>
              <w:jc w:val="center"/>
              <w:rPr>
                <w:rFonts w:ascii="Calibri" w:hAnsi="Calibri"/>
                <w:i/>
                <w:iCs/>
                <w:color w:val="000000"/>
                <w:sz w:val="20"/>
              </w:rPr>
            </w:pPr>
            <w:r>
              <w:rPr>
                <w:rFonts w:ascii="Calibri" w:hAnsi="Calibri"/>
                <w:i/>
                <w:iCs/>
                <w:color w:val="000000"/>
                <w:sz w:val="20"/>
              </w:rPr>
              <w:t>73</w:t>
            </w:r>
          </w:p>
        </w:tc>
      </w:tr>
    </w:tbl>
    <w:p w14:paraId="335BCCBF" w14:textId="77777777" w:rsidR="00270528" w:rsidRPr="0010469D" w:rsidRDefault="00270528" w:rsidP="00270528">
      <w:pPr>
        <w:widowControl/>
        <w:ind w:left="720"/>
        <w:rPr>
          <w:szCs w:val="24"/>
        </w:rPr>
      </w:pPr>
    </w:p>
    <w:p w14:paraId="335BCCC0" w14:textId="77777777" w:rsidR="00270528" w:rsidRDefault="00270528" w:rsidP="00270528">
      <w:pPr>
        <w:widowControl/>
        <w:ind w:left="720"/>
        <w:rPr>
          <w:szCs w:val="24"/>
        </w:rPr>
      </w:pPr>
    </w:p>
    <w:p w14:paraId="335BCCC1" w14:textId="77777777" w:rsidR="00270528" w:rsidRDefault="00270528" w:rsidP="00270528">
      <w:pPr>
        <w:widowControl/>
        <w:ind w:left="720"/>
        <w:rPr>
          <w:szCs w:val="24"/>
        </w:rPr>
      </w:pPr>
    </w:p>
    <w:p w14:paraId="335BCCC2" w14:textId="77777777" w:rsidR="00270528" w:rsidRDefault="00270528" w:rsidP="00270528">
      <w:pPr>
        <w:widowControl/>
        <w:ind w:left="720"/>
        <w:rPr>
          <w:szCs w:val="24"/>
        </w:rPr>
      </w:pPr>
    </w:p>
    <w:p w14:paraId="335BCCC3" w14:textId="77777777" w:rsidR="00270528" w:rsidRDefault="00270528" w:rsidP="00270528">
      <w:pPr>
        <w:widowControl/>
        <w:ind w:left="720"/>
        <w:rPr>
          <w:szCs w:val="24"/>
        </w:rPr>
      </w:pPr>
    </w:p>
    <w:p w14:paraId="335BCCC4" w14:textId="77777777" w:rsidR="00270528" w:rsidRDefault="00270528" w:rsidP="00270528">
      <w:pPr>
        <w:widowControl/>
        <w:ind w:left="720"/>
        <w:rPr>
          <w:szCs w:val="24"/>
        </w:rPr>
      </w:pPr>
    </w:p>
    <w:p w14:paraId="335BCCC5" w14:textId="77777777" w:rsidR="00270528" w:rsidRDefault="00270528" w:rsidP="00270528">
      <w:pPr>
        <w:widowControl/>
        <w:ind w:left="720"/>
        <w:rPr>
          <w:szCs w:val="24"/>
        </w:rPr>
      </w:pPr>
    </w:p>
    <w:p w14:paraId="335BCCC6" w14:textId="77777777" w:rsidR="00270528" w:rsidRDefault="00270528" w:rsidP="00270528">
      <w:pPr>
        <w:widowControl/>
        <w:ind w:left="720"/>
        <w:rPr>
          <w:szCs w:val="24"/>
        </w:rPr>
      </w:pPr>
    </w:p>
    <w:p w14:paraId="335BCCC7" w14:textId="77777777" w:rsidR="00270528" w:rsidRDefault="00270528" w:rsidP="00270528">
      <w:pPr>
        <w:rPr>
          <w:b/>
          <w:szCs w:val="24"/>
        </w:rPr>
      </w:pPr>
    </w:p>
    <w:p w14:paraId="335BCCC8" w14:textId="77777777" w:rsidR="00270528" w:rsidRDefault="00270528" w:rsidP="00270528">
      <w:pPr>
        <w:ind w:left="720"/>
        <w:rPr>
          <w:szCs w:val="24"/>
        </w:rPr>
      </w:pPr>
    </w:p>
    <w:p w14:paraId="335BCCC9" w14:textId="77777777" w:rsidR="00270528" w:rsidRDefault="00270528" w:rsidP="00270528">
      <w:pPr>
        <w:ind w:left="720"/>
        <w:rPr>
          <w:szCs w:val="24"/>
        </w:rPr>
      </w:pPr>
      <w:r w:rsidRPr="0010469D">
        <w:rPr>
          <w:szCs w:val="24"/>
        </w:rPr>
        <w:t>Composite Performance Index</w:t>
      </w:r>
      <w:r w:rsidRPr="0010469D">
        <w:rPr>
          <w:i/>
          <w:szCs w:val="24"/>
        </w:rPr>
        <w:t xml:space="preserve"> </w:t>
      </w:r>
      <w:r w:rsidRPr="0010469D">
        <w:rPr>
          <w:szCs w:val="24"/>
        </w:rPr>
        <w:t>(CPI) scores for the school continued to improve in 2016 for English language arts (ELA) and mathematics, although science and technology/engineering showed a slight decline. The 2016 CPI was 78.6 in English language arts (ELA), 86.6 in mathematics, and 75.9 in science and technology/engineering.</w:t>
      </w:r>
    </w:p>
    <w:p w14:paraId="335BCCCA" w14:textId="77777777" w:rsidR="00270528" w:rsidRDefault="00270528" w:rsidP="00270528">
      <w:pPr>
        <w:rPr>
          <w:b/>
          <w:szCs w:val="24"/>
        </w:rPr>
      </w:pPr>
    </w:p>
    <w:p w14:paraId="335BCCCB" w14:textId="77777777" w:rsidR="00270528" w:rsidRDefault="00270528" w:rsidP="00270528">
      <w:pPr>
        <w:pStyle w:val="ListParagraph"/>
        <w:widowControl/>
        <w:shd w:val="clear" w:color="auto" w:fill="EEECE1"/>
        <w:ind w:left="0"/>
        <w:jc w:val="center"/>
        <w:rPr>
          <w:b/>
          <w:color w:val="000000"/>
          <w:sz w:val="28"/>
        </w:rPr>
      </w:pPr>
      <w:r w:rsidRPr="008D6942">
        <w:rPr>
          <w:b/>
          <w:color w:val="000000"/>
          <w:sz w:val="28"/>
        </w:rPr>
        <w:t>ELA CPI Chart</w:t>
      </w:r>
    </w:p>
    <w:p w14:paraId="335BCCCC" w14:textId="77777777" w:rsidR="00270528" w:rsidRDefault="00270528" w:rsidP="00270528">
      <w:pPr>
        <w:rPr>
          <w:b/>
          <w:szCs w:val="24"/>
        </w:rPr>
      </w:pPr>
    </w:p>
    <w:p w14:paraId="335BCCCD" w14:textId="77777777" w:rsidR="00270528" w:rsidRDefault="00270528" w:rsidP="00270528">
      <w:pPr>
        <w:jc w:val="center"/>
        <w:rPr>
          <w:b/>
          <w:szCs w:val="24"/>
        </w:rPr>
      </w:pPr>
      <w:r w:rsidRPr="005F7DD4">
        <w:rPr>
          <w:b/>
          <w:noProof/>
          <w:szCs w:val="24"/>
        </w:rPr>
        <w:drawing>
          <wp:inline distT="0" distB="0" distL="0" distR="0" wp14:anchorId="335BCCE8" wp14:editId="335BCCE9">
            <wp:extent cx="4648200" cy="3228975"/>
            <wp:effectExtent l="19050" t="0" r="0" b="0"/>
            <wp:docPr id="5" name="Picture 1" descr="Year - ELA History - ELA Gap-Narrowing Targets&#10;2008 78.8 &#10;2009 71.1 &#10;2010 72.6 &#10;2011 67.2 &#10;2012 66.2 69.9&#10;2013 63.5 72.7&#10;2014 60.2 75.4&#10;2015 66.7 78.1&#10;2016 78.6 80.9&#10;2017  8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648200" cy="3228975"/>
                    </a:xfrm>
                    <a:prstGeom prst="rect">
                      <a:avLst/>
                    </a:prstGeom>
                    <a:noFill/>
                    <a:ln w="9525">
                      <a:noFill/>
                      <a:miter lim="800000"/>
                      <a:headEnd/>
                      <a:tailEnd/>
                    </a:ln>
                  </pic:spPr>
                </pic:pic>
              </a:graphicData>
            </a:graphic>
          </wp:inline>
        </w:drawing>
      </w:r>
    </w:p>
    <w:p w14:paraId="335BCCCE" w14:textId="77777777" w:rsidR="00270528" w:rsidRDefault="00270528" w:rsidP="00270528">
      <w:pPr>
        <w:pStyle w:val="ListParagraph"/>
        <w:widowControl/>
        <w:shd w:val="clear" w:color="auto" w:fill="EEECE1"/>
        <w:ind w:left="0"/>
        <w:jc w:val="center"/>
        <w:rPr>
          <w:b/>
          <w:color w:val="000000"/>
          <w:sz w:val="28"/>
        </w:rPr>
      </w:pPr>
      <w:r>
        <w:rPr>
          <w:b/>
          <w:color w:val="000000"/>
          <w:sz w:val="28"/>
        </w:rPr>
        <w:t>Mathematics</w:t>
      </w:r>
      <w:r w:rsidRPr="008D6942">
        <w:rPr>
          <w:b/>
          <w:color w:val="000000"/>
          <w:sz w:val="28"/>
        </w:rPr>
        <w:t xml:space="preserve"> CPI Chart</w:t>
      </w:r>
    </w:p>
    <w:p w14:paraId="335BCCCF" w14:textId="77777777" w:rsidR="00270528" w:rsidRDefault="00270528" w:rsidP="00270528">
      <w:pPr>
        <w:jc w:val="center"/>
        <w:rPr>
          <w:b/>
          <w:szCs w:val="24"/>
        </w:rPr>
      </w:pPr>
      <w:r w:rsidRPr="005F7DD4">
        <w:rPr>
          <w:b/>
          <w:noProof/>
          <w:szCs w:val="24"/>
        </w:rPr>
        <w:lastRenderedPageBreak/>
        <w:drawing>
          <wp:inline distT="0" distB="0" distL="0" distR="0" wp14:anchorId="335BCCEA" wp14:editId="335BCCEB">
            <wp:extent cx="4648200" cy="3238500"/>
            <wp:effectExtent l="19050" t="0" r="0" b="0"/>
            <wp:docPr id="6" name="Picture 4" descr="Year - Math History - Math Gap-Narrowing Targets&#10;2008 51.9 &#10;2009 59.8 &#10;2010 54.3 &#10;2011 62.9 &#10;2012 68.7 66.0&#10;2013 72.0 69.1&#10;2014 68.7 72.2&#10;2015 73.9 75.3&#10;2016 86.6 78.4&#10;2017  8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648200" cy="3238500"/>
                    </a:xfrm>
                    <a:prstGeom prst="rect">
                      <a:avLst/>
                    </a:prstGeom>
                    <a:noFill/>
                    <a:ln w="9525">
                      <a:noFill/>
                      <a:miter lim="800000"/>
                      <a:headEnd/>
                      <a:tailEnd/>
                    </a:ln>
                  </pic:spPr>
                </pic:pic>
              </a:graphicData>
            </a:graphic>
          </wp:inline>
        </w:drawing>
      </w:r>
    </w:p>
    <w:p w14:paraId="335BCCD0" w14:textId="77777777" w:rsidR="00270528" w:rsidRDefault="00270528" w:rsidP="00270528">
      <w:pPr>
        <w:jc w:val="center"/>
        <w:rPr>
          <w:b/>
          <w:szCs w:val="24"/>
        </w:rPr>
      </w:pPr>
    </w:p>
    <w:p w14:paraId="335BCCD1" w14:textId="77777777" w:rsidR="00270528" w:rsidRDefault="00270528" w:rsidP="00270528">
      <w:pPr>
        <w:jc w:val="center"/>
        <w:rPr>
          <w:b/>
          <w:szCs w:val="24"/>
        </w:rPr>
      </w:pPr>
    </w:p>
    <w:p w14:paraId="335BCCD2" w14:textId="77777777" w:rsidR="00270528" w:rsidRDefault="00270528" w:rsidP="00270528">
      <w:pPr>
        <w:jc w:val="center"/>
        <w:rPr>
          <w:b/>
          <w:szCs w:val="24"/>
        </w:rPr>
      </w:pPr>
    </w:p>
    <w:p w14:paraId="335BCCD3" w14:textId="77777777" w:rsidR="00270528" w:rsidRDefault="00270528" w:rsidP="00270528">
      <w:pPr>
        <w:pStyle w:val="ListParagraph"/>
        <w:widowControl/>
        <w:shd w:val="clear" w:color="auto" w:fill="EEECE1"/>
        <w:ind w:left="0"/>
        <w:jc w:val="center"/>
        <w:rPr>
          <w:b/>
          <w:color w:val="000000"/>
          <w:sz w:val="28"/>
        </w:rPr>
      </w:pPr>
      <w:r>
        <w:rPr>
          <w:b/>
          <w:color w:val="000000"/>
          <w:sz w:val="28"/>
        </w:rPr>
        <w:t>Science</w:t>
      </w:r>
      <w:r w:rsidRPr="008D6942">
        <w:rPr>
          <w:b/>
          <w:color w:val="000000"/>
          <w:sz w:val="28"/>
        </w:rPr>
        <w:t xml:space="preserve"> CPI Chart</w:t>
      </w:r>
    </w:p>
    <w:p w14:paraId="335BCCD4" w14:textId="77777777" w:rsidR="00270528" w:rsidRDefault="00270528" w:rsidP="00270528">
      <w:pPr>
        <w:jc w:val="center"/>
        <w:rPr>
          <w:b/>
          <w:szCs w:val="24"/>
        </w:rPr>
      </w:pPr>
      <w:r w:rsidRPr="005F7DD4">
        <w:rPr>
          <w:b/>
          <w:noProof/>
          <w:szCs w:val="24"/>
        </w:rPr>
        <w:drawing>
          <wp:inline distT="0" distB="0" distL="0" distR="0" wp14:anchorId="335BCCEC" wp14:editId="335BCCED">
            <wp:extent cx="4676775" cy="3228975"/>
            <wp:effectExtent l="19050" t="0" r="9525" b="0"/>
            <wp:docPr id="7" name="Picture 7" descr="Year - Science History - Science Gap-Narrowing Targets&#10;2008  &#10;2009  &#10;2010 60.8 &#10;2011 59.0 &#10;2012 58.5 62.4&#10;2013 73.8 65.8&#10;2014 71.0 69.3&#10;2015 77.5 72.7&#10;2016 75.9 76.1&#10;2017  7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676775" cy="3228975"/>
                    </a:xfrm>
                    <a:prstGeom prst="rect">
                      <a:avLst/>
                    </a:prstGeom>
                    <a:noFill/>
                    <a:ln w="9525">
                      <a:noFill/>
                      <a:miter lim="800000"/>
                      <a:headEnd/>
                      <a:tailEnd/>
                    </a:ln>
                  </pic:spPr>
                </pic:pic>
              </a:graphicData>
            </a:graphic>
          </wp:inline>
        </w:drawing>
      </w:r>
    </w:p>
    <w:p w14:paraId="335BCCD5" w14:textId="77777777" w:rsidR="00270528" w:rsidRDefault="00270528" w:rsidP="00270528">
      <w:pPr>
        <w:rPr>
          <w:b/>
          <w:szCs w:val="24"/>
        </w:rPr>
      </w:pPr>
    </w:p>
    <w:p w14:paraId="335BCCD6" w14:textId="77777777" w:rsidR="00270528" w:rsidRPr="00541CEF" w:rsidRDefault="00270528" w:rsidP="00270528">
      <w:pPr>
        <w:rPr>
          <w:b/>
          <w:szCs w:val="24"/>
        </w:rPr>
      </w:pPr>
    </w:p>
    <w:p w14:paraId="335BCCD7" w14:textId="77777777" w:rsidR="00270528" w:rsidRDefault="00270528" w:rsidP="00270528">
      <w:pPr>
        <w:widowControl/>
        <w:rPr>
          <w:szCs w:val="24"/>
        </w:rPr>
      </w:pPr>
      <w:r>
        <w:rPr>
          <w:b/>
          <w:szCs w:val="24"/>
        </w:rPr>
        <w:t xml:space="preserve">Condition 4: </w:t>
      </w:r>
      <w:r w:rsidRPr="000B7DE3">
        <w:rPr>
          <w:szCs w:val="24"/>
        </w:rPr>
        <w:t>By December 31, 2017, the school must demonstrate continued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w:t>
      </w:r>
    </w:p>
    <w:p w14:paraId="335BCCD8" w14:textId="77777777" w:rsidR="00270528" w:rsidRDefault="00270528" w:rsidP="00270528">
      <w:pPr>
        <w:widowControl/>
        <w:rPr>
          <w:szCs w:val="24"/>
        </w:rPr>
      </w:pPr>
    </w:p>
    <w:p w14:paraId="335BCCD9" w14:textId="77777777" w:rsidR="00270528" w:rsidRPr="000B7DE3" w:rsidRDefault="00270528" w:rsidP="00270528">
      <w:pPr>
        <w:widowControl/>
        <w:rPr>
          <w:b/>
          <w:szCs w:val="24"/>
        </w:rPr>
      </w:pPr>
      <w:r>
        <w:rPr>
          <w:szCs w:val="24"/>
        </w:rPr>
        <w:tab/>
      </w:r>
      <w:r w:rsidRPr="000B7DE3">
        <w:rPr>
          <w:b/>
          <w:szCs w:val="24"/>
        </w:rPr>
        <w:t>Status: Not yet applicable</w:t>
      </w:r>
    </w:p>
    <w:p w14:paraId="335BCCDA" w14:textId="77777777" w:rsidR="00270528" w:rsidRDefault="00270528" w:rsidP="00270528">
      <w:pPr>
        <w:widowControl/>
        <w:rPr>
          <w:szCs w:val="24"/>
        </w:rPr>
      </w:pPr>
    </w:p>
    <w:p w14:paraId="335BCCDB" w14:textId="77777777" w:rsidR="00270528" w:rsidRDefault="00270528" w:rsidP="00270528">
      <w:pPr>
        <w:widowControl/>
        <w:rPr>
          <w:szCs w:val="24"/>
        </w:rPr>
      </w:pPr>
      <w:r>
        <w:rPr>
          <w:szCs w:val="24"/>
        </w:rPr>
        <w:lastRenderedPageBreak/>
        <w:t xml:space="preserve">As noted above, </w:t>
      </w:r>
      <w:r w:rsidRPr="0010469D">
        <w:rPr>
          <w:szCs w:val="24"/>
        </w:rPr>
        <w:t xml:space="preserve">MLK has met three of the four conditions imposed, and </w:t>
      </w:r>
      <w:r>
        <w:rPr>
          <w:szCs w:val="24"/>
        </w:rPr>
        <w:t xml:space="preserve">the </w:t>
      </w:r>
      <w:r w:rsidRPr="0010469D">
        <w:rPr>
          <w:szCs w:val="24"/>
        </w:rPr>
        <w:t xml:space="preserve">deadline for the fourth condition is December 31, 2017. </w:t>
      </w:r>
      <w:r>
        <w:rPr>
          <w:szCs w:val="24"/>
        </w:rPr>
        <w:t xml:space="preserve">I am pleased with the progress that the school has made so far. Last winter, the Board voted to renew the school’s charter and maintain the probationary status based in part on evidence about substantial changes that MLK’s new instructional leadership put in place. In its tenth year, MLK made substantial changes to its curriculum, instructional practices, professional development, supports for diverse learners, and use of data. Next fall, Department staff will visit the school to gather additional evidence related to school operation. In January 2018, I will provide a full report on the school’s 2016-17 academic results as well as the evidence gathered through our charter school site visit process. At that time, the Board will discuss and vote on the school’s performance related to the probationary conditions. </w:t>
      </w:r>
    </w:p>
    <w:p w14:paraId="335BCCDC" w14:textId="77777777" w:rsidR="00270528" w:rsidRDefault="00270528" w:rsidP="00270528">
      <w:pPr>
        <w:widowControl/>
        <w:rPr>
          <w:szCs w:val="24"/>
        </w:rPr>
      </w:pPr>
    </w:p>
    <w:p w14:paraId="335BCCDD" w14:textId="77777777" w:rsidR="00270528" w:rsidRPr="00771DC8" w:rsidRDefault="00D74C24" w:rsidP="00270528">
      <w:pPr>
        <w:pStyle w:val="BodyTextIndent"/>
        <w:ind w:left="0"/>
        <w:rPr>
          <w:bCs/>
        </w:rPr>
      </w:pPr>
      <w:r>
        <w:pict w14:anchorId="335BCCEE">
          <v:rect id="_x0000_i1025" style="width:351pt;height:1pt" o:hrpct="750" o:hralign="center" o:hrstd="t" o:hrnoshade="t" o:hr="t" fillcolor="#d8d8d8 [2732]" stroked="f"/>
        </w:pict>
      </w:r>
    </w:p>
    <w:p w14:paraId="335BCCDE" w14:textId="77777777" w:rsidR="00270528" w:rsidRPr="00A15B56" w:rsidRDefault="00270528" w:rsidP="00270528">
      <w:pPr>
        <w:pStyle w:val="BodyTextIndent3"/>
        <w:ind w:left="0"/>
        <w:rPr>
          <w:color w:val="000000"/>
        </w:rPr>
      </w:pPr>
    </w:p>
    <w:p w14:paraId="335BCCDF" w14:textId="77777777" w:rsidR="00270528" w:rsidRPr="00A15B56" w:rsidRDefault="00270528" w:rsidP="00270528">
      <w:pPr>
        <w:pStyle w:val="BodyTextIndent3"/>
        <w:ind w:left="0"/>
      </w:pPr>
      <w:r w:rsidRPr="00A15B56">
        <w:rPr>
          <w:color w:val="000000"/>
        </w:rPr>
        <w:t>If you have any questions regarding these amendments or require additional information, please contact Alison Bagg, Director (781-338-3218); Cliff Chuang, Senior Associate Commissioner (781-338-3222); or me.</w:t>
      </w:r>
    </w:p>
    <w:p w14:paraId="335BCCE0" w14:textId="77777777" w:rsidR="00270528" w:rsidRDefault="00270528" w:rsidP="00270528">
      <w:pPr>
        <w:widowControl/>
        <w:rPr>
          <w:b/>
          <w:bCs/>
          <w:snapToGrid/>
          <w:szCs w:val="24"/>
          <w:u w:val="single"/>
        </w:rPr>
      </w:pPr>
    </w:p>
    <w:p w14:paraId="335BCCE1" w14:textId="77777777" w:rsidR="007379AC" w:rsidRDefault="007379AC" w:rsidP="004E02B6">
      <w:pPr>
        <w:widowControl/>
        <w:autoSpaceDE w:val="0"/>
        <w:autoSpaceDN w:val="0"/>
        <w:adjustRightInd w:val="0"/>
      </w:pPr>
    </w:p>
    <w:p w14:paraId="335BCCE2" w14:textId="77777777" w:rsidR="007379AC" w:rsidRDefault="007379AC" w:rsidP="004E02B6">
      <w:pPr>
        <w:widowControl/>
        <w:autoSpaceDE w:val="0"/>
        <w:autoSpaceDN w:val="0"/>
        <w:adjustRightInd w:val="0"/>
      </w:pPr>
    </w:p>
    <w:p w14:paraId="335BCCE3" w14:textId="77777777" w:rsidR="007379AC" w:rsidRDefault="007379AC" w:rsidP="004E02B6">
      <w:pPr>
        <w:widowControl/>
        <w:autoSpaceDE w:val="0"/>
        <w:autoSpaceDN w:val="0"/>
        <w:adjustRightInd w:val="0"/>
      </w:pPr>
    </w:p>
    <w:p w14:paraId="335BCCE4" w14:textId="77777777" w:rsidR="007379AC" w:rsidRPr="007379AC" w:rsidRDefault="007379AC" w:rsidP="004E02B6">
      <w:pPr>
        <w:widowControl/>
        <w:autoSpaceDE w:val="0"/>
        <w:autoSpaceDN w:val="0"/>
        <w:adjustRightInd w:val="0"/>
      </w:pPr>
    </w:p>
    <w:sectPr w:rsidR="007379AC" w:rsidRPr="007379AC" w:rsidSect="00270528">
      <w:endnotePr>
        <w:numFmt w:val="decimal"/>
      </w:endnotePr>
      <w:type w:val="continuous"/>
      <w:pgSz w:w="12240" w:h="15840"/>
      <w:pgMar w:top="720" w:right="1440" w:bottom="720" w:left="1440" w:header="1440" w:footer="720"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BCCF1" w14:textId="77777777" w:rsidR="00A65A9D" w:rsidRDefault="00A65A9D">
      <w:r>
        <w:separator/>
      </w:r>
    </w:p>
  </w:endnote>
  <w:endnote w:type="continuationSeparator" w:id="0">
    <w:p w14:paraId="335BCCF2" w14:textId="77777777" w:rsidR="00A65A9D" w:rsidRDefault="00A6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BCCF3" w14:textId="77777777" w:rsidR="002B014B" w:rsidRDefault="00D974AC">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335BCCF4" w14:textId="77777777" w:rsidR="002B014B" w:rsidRDefault="002B01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BCCF5" w14:textId="77777777" w:rsidR="004A16E4" w:rsidRDefault="00D974AC">
    <w:pPr>
      <w:pStyle w:val="Footer"/>
      <w:jc w:val="right"/>
    </w:pPr>
    <w:r>
      <w:fldChar w:fldCharType="begin"/>
    </w:r>
    <w:r w:rsidR="004A16E4">
      <w:instrText xml:space="preserve"> PAGE   \* MERGEFORMAT </w:instrText>
    </w:r>
    <w:r>
      <w:fldChar w:fldCharType="separate"/>
    </w:r>
    <w:r w:rsidR="00D74C24">
      <w:rPr>
        <w:noProof/>
      </w:rPr>
      <w:t>2</w:t>
    </w:r>
    <w:r>
      <w:rPr>
        <w:noProof/>
      </w:rPr>
      <w:fldChar w:fldCharType="end"/>
    </w:r>
  </w:p>
  <w:p w14:paraId="335BCCF6" w14:textId="77777777" w:rsidR="002B014B" w:rsidRDefault="002B01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BCCEF" w14:textId="77777777" w:rsidR="00A65A9D" w:rsidRDefault="00A65A9D">
      <w:r>
        <w:separator/>
      </w:r>
    </w:p>
  </w:footnote>
  <w:footnote w:type="continuationSeparator" w:id="0">
    <w:p w14:paraId="335BCCF0" w14:textId="77777777" w:rsidR="00A65A9D" w:rsidRDefault="00A65A9D">
      <w:r>
        <w:continuationSeparator/>
      </w:r>
    </w:p>
  </w:footnote>
  <w:footnote w:id="1">
    <w:p w14:paraId="335BCCF7" w14:textId="77777777" w:rsidR="00270528" w:rsidRDefault="00270528" w:rsidP="00270528">
      <w:pPr>
        <w:pStyle w:val="FootnoteText"/>
      </w:pPr>
      <w:r w:rsidRPr="002F53B9">
        <w:rPr>
          <w:rStyle w:val="FootnoteReference"/>
          <w:vertAlign w:val="superscript"/>
        </w:rPr>
        <w:footnoteRef/>
      </w:r>
      <w:r w:rsidRPr="002F53B9">
        <w:rPr>
          <w:vertAlign w:val="superscript"/>
        </w:rPr>
        <w:t xml:space="preserve"> </w:t>
      </w:r>
      <w:r>
        <w:t>According to the October 1, 2016, SIMS data, MLK is over-enrolled by 6 students. This is a violation of the school’s charter terms. Charter schools do not receive tuition for over-enrolled students.</w:t>
      </w:r>
    </w:p>
  </w:footnote>
  <w:footnote w:id="2">
    <w:p w14:paraId="335BCCF8" w14:textId="77777777" w:rsidR="00270528" w:rsidRDefault="00270528" w:rsidP="00270528">
      <w:pPr>
        <w:pStyle w:val="FootnoteText"/>
      </w:pPr>
      <w:r w:rsidRPr="002F53B9">
        <w:rPr>
          <w:rStyle w:val="FootnoteReference"/>
          <w:vertAlign w:val="superscript"/>
        </w:rPr>
        <w:footnoteRef/>
      </w:r>
      <w:r w:rsidRPr="002F53B9">
        <w:rPr>
          <w:vertAlign w:val="superscript"/>
        </w:rPr>
        <w:t xml:space="preserve"> </w:t>
      </w:r>
      <w:r w:rsidRPr="00BD3CF3">
        <w:rPr>
          <w:szCs w:val="18"/>
        </w:rPr>
        <w:t>Source: As reported in the Massachusetts Charter School Waitlist Initial Report for 2016-2017 from March 15, 2016 (</w:t>
      </w:r>
      <w:hyperlink r:id="rId1" w:history="1">
        <w:r w:rsidRPr="00BD3CF3">
          <w:rPr>
            <w:rStyle w:val="Hyperlink"/>
            <w:szCs w:val="18"/>
          </w:rPr>
          <w:t>http://www.doe.mass.edu/charter/enrollment/fy2017Waitlist.html</w:t>
        </w:r>
      </w:hyperlink>
      <w:r w:rsidRPr="00BD3CF3">
        <w:rPr>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1D34EB"/>
    <w:multiLevelType w:val="hybridMultilevel"/>
    <w:tmpl w:val="9756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1"/>
    <w:rsid w:val="00001329"/>
    <w:rsid w:val="000063B9"/>
    <w:rsid w:val="000072AA"/>
    <w:rsid w:val="0001606C"/>
    <w:rsid w:val="00027086"/>
    <w:rsid w:val="00030DD3"/>
    <w:rsid w:val="00034C92"/>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D2218"/>
    <w:rsid w:val="000E1B88"/>
    <w:rsid w:val="000E1DFE"/>
    <w:rsid w:val="000E3F4E"/>
    <w:rsid w:val="000E3F88"/>
    <w:rsid w:val="000E6832"/>
    <w:rsid w:val="000F7EAB"/>
    <w:rsid w:val="00102267"/>
    <w:rsid w:val="00103AB9"/>
    <w:rsid w:val="00106CC4"/>
    <w:rsid w:val="001160EA"/>
    <w:rsid w:val="00121B6D"/>
    <w:rsid w:val="001256FA"/>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0528"/>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7541"/>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B411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613BF0"/>
    <w:rsid w:val="006345E9"/>
    <w:rsid w:val="00636AC7"/>
    <w:rsid w:val="00641DFD"/>
    <w:rsid w:val="0066491A"/>
    <w:rsid w:val="0066511D"/>
    <w:rsid w:val="00666BEC"/>
    <w:rsid w:val="00676217"/>
    <w:rsid w:val="00676769"/>
    <w:rsid w:val="00685AD0"/>
    <w:rsid w:val="00690654"/>
    <w:rsid w:val="00692A67"/>
    <w:rsid w:val="00693BC1"/>
    <w:rsid w:val="0069716C"/>
    <w:rsid w:val="006A3BCD"/>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57C5F"/>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D3695"/>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94D79"/>
    <w:rsid w:val="009A3651"/>
    <w:rsid w:val="009B4876"/>
    <w:rsid w:val="009C2F10"/>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65A9D"/>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4733"/>
    <w:rsid w:val="00CA57EB"/>
    <w:rsid w:val="00CA7396"/>
    <w:rsid w:val="00CB5098"/>
    <w:rsid w:val="00CB6E14"/>
    <w:rsid w:val="00CB7517"/>
    <w:rsid w:val="00CD2E04"/>
    <w:rsid w:val="00CE0A55"/>
    <w:rsid w:val="00CE739F"/>
    <w:rsid w:val="00CE76B7"/>
    <w:rsid w:val="00CF4B25"/>
    <w:rsid w:val="00CF4F03"/>
    <w:rsid w:val="00D07B9A"/>
    <w:rsid w:val="00D229F5"/>
    <w:rsid w:val="00D22BBA"/>
    <w:rsid w:val="00D2338F"/>
    <w:rsid w:val="00D30764"/>
    <w:rsid w:val="00D32426"/>
    <w:rsid w:val="00D34B7E"/>
    <w:rsid w:val="00D372F5"/>
    <w:rsid w:val="00D40BD2"/>
    <w:rsid w:val="00D5037F"/>
    <w:rsid w:val="00D5524E"/>
    <w:rsid w:val="00D71AFA"/>
    <w:rsid w:val="00D74C24"/>
    <w:rsid w:val="00D8267B"/>
    <w:rsid w:val="00D84D0A"/>
    <w:rsid w:val="00D974AC"/>
    <w:rsid w:val="00DA0850"/>
    <w:rsid w:val="00DA0FF8"/>
    <w:rsid w:val="00DA2496"/>
    <w:rsid w:val="00DA738C"/>
    <w:rsid w:val="00DB7F7C"/>
    <w:rsid w:val="00DC5246"/>
    <w:rsid w:val="00DD5420"/>
    <w:rsid w:val="00DE18A3"/>
    <w:rsid w:val="00DF1633"/>
    <w:rsid w:val="00E01EFC"/>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335B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94D79"/>
    <w:pPr>
      <w:keepNext/>
      <w:tabs>
        <w:tab w:val="center" w:pos="4680"/>
      </w:tabs>
      <w:jc w:val="center"/>
      <w:outlineLvl w:val="0"/>
    </w:pPr>
    <w:rPr>
      <w:b/>
    </w:rPr>
  </w:style>
  <w:style w:type="paragraph" w:styleId="Heading2">
    <w:name w:val="heading 2"/>
    <w:basedOn w:val="Normal"/>
    <w:next w:val="Normal"/>
    <w:qFormat/>
    <w:rsid w:val="00994D79"/>
    <w:pPr>
      <w:keepNext/>
      <w:ind w:left="720"/>
      <w:jc w:val="right"/>
      <w:outlineLvl w:val="1"/>
    </w:pPr>
    <w:rPr>
      <w:rFonts w:ascii="Arial" w:hAnsi="Arial"/>
      <w:i/>
      <w:sz w:val="18"/>
    </w:rPr>
  </w:style>
  <w:style w:type="paragraph" w:styleId="Heading3">
    <w:name w:val="heading 3"/>
    <w:basedOn w:val="Normal"/>
    <w:next w:val="Normal"/>
    <w:qFormat/>
    <w:rsid w:val="00994D79"/>
    <w:pPr>
      <w:keepNext/>
      <w:tabs>
        <w:tab w:val="left" w:pos="5400"/>
      </w:tabs>
      <w:ind w:left="720"/>
      <w:outlineLvl w:val="2"/>
    </w:pPr>
    <w:rPr>
      <w:rFonts w:ascii="Arial" w:hAnsi="Arial"/>
      <w:i/>
      <w:sz w:val="18"/>
    </w:rPr>
  </w:style>
  <w:style w:type="paragraph" w:styleId="Heading4">
    <w:name w:val="heading 4"/>
    <w:basedOn w:val="Normal"/>
    <w:next w:val="Normal"/>
    <w:qFormat/>
    <w:rsid w:val="00994D79"/>
    <w:pPr>
      <w:keepNext/>
      <w:outlineLvl w:val="3"/>
    </w:pPr>
    <w:rPr>
      <w:b/>
      <w:bCs/>
    </w:rPr>
  </w:style>
  <w:style w:type="paragraph" w:styleId="Heading5">
    <w:name w:val="heading 5"/>
    <w:basedOn w:val="Normal"/>
    <w:next w:val="Normal"/>
    <w:qFormat/>
    <w:rsid w:val="00994D79"/>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94D79"/>
  </w:style>
  <w:style w:type="paragraph" w:styleId="Footer">
    <w:name w:val="footer"/>
    <w:basedOn w:val="Normal"/>
    <w:link w:val="FooterChar"/>
    <w:uiPriority w:val="99"/>
    <w:rsid w:val="00994D79"/>
    <w:pPr>
      <w:widowControl/>
      <w:tabs>
        <w:tab w:val="center" w:pos="4320"/>
        <w:tab w:val="right" w:pos="8640"/>
      </w:tabs>
    </w:pPr>
    <w:rPr>
      <w:snapToGrid/>
      <w:szCs w:val="24"/>
    </w:rPr>
  </w:style>
  <w:style w:type="paragraph" w:styleId="BodyText">
    <w:name w:val="Body Text"/>
    <w:basedOn w:val="Normal"/>
    <w:rsid w:val="00994D79"/>
    <w:pPr>
      <w:widowControl/>
    </w:pPr>
    <w:rPr>
      <w:rFonts w:ascii="Times" w:hAnsi="Times"/>
      <w:color w:val="000000"/>
    </w:rPr>
  </w:style>
  <w:style w:type="character" w:styleId="Hyperlink">
    <w:name w:val="Hyperlink"/>
    <w:uiPriority w:val="99"/>
    <w:rsid w:val="00994D79"/>
    <w:rPr>
      <w:color w:val="0000FF"/>
      <w:u w:val="single"/>
    </w:rPr>
  </w:style>
  <w:style w:type="paragraph" w:styleId="BodyText2">
    <w:name w:val="Body Text 2"/>
    <w:basedOn w:val="Normal"/>
    <w:rsid w:val="00994D79"/>
    <w:rPr>
      <w:i/>
      <w:iCs/>
    </w:rPr>
  </w:style>
  <w:style w:type="paragraph" w:styleId="BodyTextIndent">
    <w:name w:val="Body Text Indent"/>
    <w:basedOn w:val="Normal"/>
    <w:link w:val="BodyTextIndentChar"/>
    <w:rsid w:val="00994D79"/>
    <w:pPr>
      <w:autoSpaceDE w:val="0"/>
      <w:autoSpaceDN w:val="0"/>
      <w:adjustRightInd w:val="0"/>
      <w:ind w:left="-360"/>
    </w:pPr>
    <w:rPr>
      <w:snapToGrid/>
      <w:szCs w:val="24"/>
    </w:rPr>
  </w:style>
  <w:style w:type="character" w:styleId="PageNumber">
    <w:name w:val="page number"/>
    <w:basedOn w:val="DefaultParagraphFont"/>
    <w:rsid w:val="00994D79"/>
  </w:style>
  <w:style w:type="paragraph" w:styleId="BodyTextIndent3">
    <w:name w:val="Body Text Indent 3"/>
    <w:basedOn w:val="Normal"/>
    <w:link w:val="BodyTextIndent3Char"/>
    <w:rsid w:val="00994D79"/>
    <w:pPr>
      <w:widowControl/>
      <w:ind w:left="360" w:hanging="360"/>
    </w:pPr>
    <w:rPr>
      <w:szCs w:val="24"/>
    </w:rPr>
  </w:style>
  <w:style w:type="paragraph" w:styleId="BodyText3">
    <w:name w:val="Body Text 3"/>
    <w:basedOn w:val="Normal"/>
    <w:rsid w:val="00994D79"/>
    <w:pPr>
      <w:autoSpaceDE w:val="0"/>
      <w:autoSpaceDN w:val="0"/>
      <w:adjustRightInd w:val="0"/>
    </w:pPr>
    <w:rPr>
      <w:b/>
      <w:bCs/>
    </w:rPr>
  </w:style>
  <w:style w:type="character" w:styleId="FollowedHyperlink">
    <w:name w:val="FollowedHyperlink"/>
    <w:rsid w:val="00994D79"/>
    <w:rPr>
      <w:color w:val="800080"/>
      <w:u w:val="single"/>
    </w:rPr>
  </w:style>
  <w:style w:type="character" w:styleId="Strong">
    <w:name w:val="Strong"/>
    <w:qFormat/>
    <w:rsid w:val="00994D79"/>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99"/>
    <w:qFormat/>
    <w:rsid w:val="00270528"/>
    <w:pPr>
      <w:ind w:left="720"/>
    </w:pPr>
  </w:style>
  <w:style w:type="character" w:customStyle="1" w:styleId="FootnoteTextChar">
    <w:name w:val="Footnote Text Char"/>
    <w:basedOn w:val="DefaultParagraphFont"/>
    <w:link w:val="FootnoteText"/>
    <w:rsid w:val="00270528"/>
  </w:style>
  <w:style w:type="character" w:customStyle="1" w:styleId="ListParagraphChar">
    <w:name w:val="List Paragraph Char"/>
    <w:basedOn w:val="DefaultParagraphFont"/>
    <w:link w:val="ListParagraph"/>
    <w:uiPriority w:val="99"/>
    <w:rsid w:val="00270528"/>
    <w:rPr>
      <w:snapToGrid w:val="0"/>
      <w:sz w:val="24"/>
    </w:rPr>
  </w:style>
  <w:style w:type="character" w:customStyle="1" w:styleId="BodyTextIndentChar">
    <w:name w:val="Body Text Indent Char"/>
    <w:basedOn w:val="DefaultParagraphFont"/>
    <w:link w:val="BodyTextIndent"/>
    <w:rsid w:val="00270528"/>
    <w:rPr>
      <w:sz w:val="24"/>
      <w:szCs w:val="24"/>
    </w:rPr>
  </w:style>
  <w:style w:type="character" w:customStyle="1" w:styleId="BodyTextIndent3Char">
    <w:name w:val="Body Text Indent 3 Char"/>
    <w:basedOn w:val="DefaultParagraphFont"/>
    <w:link w:val="BodyTextIndent3"/>
    <w:rsid w:val="0027052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enrollment/fy2017Waitlis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ESE%20Boar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DESE-231-30071</_dlc_DocId>
    <_dlc_DocIdUrl xmlns="733efe1c-5bbe-4968-87dc-d400e65c879f">
      <Url>https://sharepoint.doemass.org/ese/webteam/cps/_layouts/DocIdRedir.aspx?ID=DESE-231-30071</Url>
      <Description>DESE-231-30071</Description>
    </_dlc_DocIdUrl>
  </documentManagement>
</p:properties>
</file>

<file path=customXml/itemProps1.xml><?xml version="1.0" encoding="utf-8"?>
<ds:datastoreItem xmlns:ds="http://schemas.openxmlformats.org/officeDocument/2006/customXml" ds:itemID="{A0F316C3-FE42-4FA1-BE64-EF49D019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ADE40-D8D7-49E7-BB03-58FF68560E36}">
  <ds:schemaRefs>
    <ds:schemaRef ds:uri="http://schemas.microsoft.com/sharepoint/events"/>
  </ds:schemaRefs>
</ds:datastoreItem>
</file>

<file path=customXml/itemProps3.xml><?xml version="1.0" encoding="utf-8"?>
<ds:datastoreItem xmlns:ds="http://schemas.openxmlformats.org/officeDocument/2006/customXml" ds:itemID="{53EEA646-48E3-461B-AA7F-ACCEEE69AD30}">
  <ds:schemaRefs>
    <ds:schemaRef ds:uri="http://schemas.microsoft.com/sharepoint/v3/contenttype/forms"/>
  </ds:schemaRefs>
</ds:datastoreItem>
</file>

<file path=customXml/itemProps4.xml><?xml version="1.0" encoding="utf-8"?>
<ds:datastoreItem xmlns:ds="http://schemas.openxmlformats.org/officeDocument/2006/customXml" ds:itemID="{B107A5FE-4CB3-4FC7-B309-DC3120DDDB5D}">
  <ds:schemaRefs>
    <ds:schemaRef ds:uri="http://schemas.microsoft.com/office/2006/metadata/properties"/>
    <ds:schemaRef ds:uri="http://purl.org/dc/elements/1.1/"/>
    <ds:schemaRef ds:uri="http://purl.org/dc/dcmitype/"/>
    <ds:schemaRef ds:uri="0a4e05da-b9bc-4326-ad73-01ef31b95567"/>
    <ds:schemaRef ds:uri="http://schemas.openxmlformats.org/package/2006/metadata/core-properties"/>
    <ds:schemaRef ds:uri="http://schemas.microsoft.com/office/infopath/2007/PartnerControls"/>
    <ds:schemaRef ds:uri="http://schemas.microsoft.com/office/2006/documentManagement/types"/>
    <ds:schemaRef ds:uri="733efe1c-5bbe-4968-87dc-d400e65c879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ESE Board memo.dotx</Template>
  <TotalTime>0</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Report on Probation for Martin Luther King, Jr. Charter School of Excellence</vt:lpstr>
    </vt:vector>
  </TitlesOfParts>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12/20/16 BESE Meeting: Report on Probation for Martin Luther King, Jr. Charter School of Excellence</dc:title>
  <dc:creator/>
  <dc:description>Charter Schools – Report on Probation for Martin Luther King, Jr. Charter School of Excellence</dc:description>
  <cp:lastModifiedBy/>
  <cp:revision>1</cp:revision>
  <cp:lastPrinted>2011-01-14T19:54:00Z</cp:lastPrinted>
  <dcterms:created xsi:type="dcterms:W3CDTF">2016-12-13T22:01:00Z</dcterms:created>
  <dcterms:modified xsi:type="dcterms:W3CDTF">2016-12-13T22:01:00Z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c10c5974-ec73-4f93-9e09-26eb71db880a</vt:lpwstr>
  </property>
  <property fmtid="{D5CDD505-2E9C-101B-9397-08002B2CF9AE}" pid="4" name="metadate">
    <vt:lpwstr>Dec 13 2016</vt:lpwstr>
  </property>
</Properties>
</file>