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FD654" w14:textId="77777777" w:rsidR="004B3171" w:rsidRPr="00193E06" w:rsidRDefault="004B3171" w:rsidP="004B3171">
      <w:pPr>
        <w:pBdr>
          <w:bottom w:val="single" w:sz="4" w:space="1" w:color="auto"/>
        </w:pBdr>
        <w:spacing w:after="400"/>
        <w:contextualSpacing/>
        <w:rPr>
          <w:rFonts w:asciiTheme="majorHAnsi" w:hAnsiTheme="majorHAnsi" w:cs="Segoe UI"/>
          <w:b/>
          <w:sz w:val="22"/>
          <w:szCs w:val="22"/>
        </w:rPr>
      </w:pPr>
      <w:bookmarkStart w:id="0" w:name="OLE_LINK1"/>
      <w:bookmarkStart w:id="1" w:name="OLE_LINK2"/>
      <w:r w:rsidRPr="00193E06">
        <w:rPr>
          <w:rFonts w:asciiTheme="majorHAnsi" w:hAnsiTheme="majorHAnsi" w:cs="Segoe UI"/>
          <w:b/>
          <w:sz w:val="22"/>
          <w:szCs w:val="22"/>
        </w:rPr>
        <w:t xml:space="preserve">Massachusetts Statute &amp; Regulations Crosswalk: </w:t>
      </w:r>
      <w:bookmarkEnd w:id="0"/>
      <w:bookmarkEnd w:id="1"/>
      <w:r w:rsidRPr="00193E06">
        <w:rPr>
          <w:rFonts w:asciiTheme="majorHAnsi" w:hAnsiTheme="majorHAnsi" w:cs="Segoe UI"/>
          <w:b/>
          <w:sz w:val="22"/>
          <w:szCs w:val="22"/>
        </w:rPr>
        <w:t>Temporary License</w:t>
      </w:r>
    </w:p>
    <w:p w14:paraId="0BFFD655" w14:textId="77777777" w:rsidR="004B3171" w:rsidRPr="00193E06" w:rsidRDefault="004B3171" w:rsidP="004B3171">
      <w:pPr>
        <w:spacing w:after="160" w:line="259" w:lineRule="auto"/>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Overview</w:t>
      </w:r>
    </w:p>
    <w:p w14:paraId="0BFFD656" w14:textId="77777777" w:rsidR="004B3171" w:rsidRPr="00193E06" w:rsidRDefault="004B3171" w:rsidP="004B3171">
      <w:pPr>
        <w:spacing w:after="160" w:line="259" w:lineRule="auto"/>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This document outlines the statutory (M.G.L. 71 § 38G) and corresponding regulatory (603 CMR 7.00) aspects of obtaining a Temporary License in the Commonwealth. Each section has a table divided by statute, regulations, and recommendations for the working group to discuss.  </w:t>
      </w:r>
    </w:p>
    <w:p w14:paraId="0BFFD657" w14:textId="77777777" w:rsidR="004B3171" w:rsidRPr="00193E06" w:rsidRDefault="004B3171" w:rsidP="004B3171">
      <w:pPr>
        <w:rPr>
          <w:rFonts w:asciiTheme="majorHAnsi" w:hAnsiTheme="majorHAnsi"/>
          <w:b/>
          <w:sz w:val="22"/>
          <w:szCs w:val="22"/>
        </w:rPr>
      </w:pPr>
      <w:r w:rsidRPr="00193E06">
        <w:rPr>
          <w:rFonts w:asciiTheme="majorHAnsi" w:hAnsiTheme="majorHAnsi"/>
          <w:b/>
          <w:sz w:val="22"/>
          <w:szCs w:val="22"/>
        </w:rPr>
        <w:t xml:space="preserve">Purpose: </w:t>
      </w:r>
      <w:r w:rsidRPr="00193E06">
        <w:rPr>
          <w:rFonts w:asciiTheme="majorHAnsi" w:hAnsiTheme="majorHAnsi"/>
          <w:sz w:val="22"/>
          <w:szCs w:val="22"/>
        </w:rPr>
        <w:t>The Temporary license is a credential designed to assist experienced, out-of-state educators seeking employment in the Commonwealth. Valid for one calendar year. No MTEL passing required.</w:t>
      </w:r>
    </w:p>
    <w:tbl>
      <w:tblPr>
        <w:tblStyle w:val="TableGrid1"/>
        <w:tblW w:w="12528" w:type="dxa"/>
        <w:tblLook w:val="04A0" w:firstRow="1" w:lastRow="0" w:firstColumn="1" w:lastColumn="0" w:noHBand="0" w:noVBand="1"/>
      </w:tblPr>
      <w:tblGrid>
        <w:gridCol w:w="1870"/>
        <w:gridCol w:w="4448"/>
        <w:gridCol w:w="6210"/>
      </w:tblGrid>
      <w:tr w:rsidR="004B3171" w:rsidRPr="00193E06" w14:paraId="0BFFD65B" w14:textId="77777777" w:rsidTr="00193E06">
        <w:tc>
          <w:tcPr>
            <w:tcW w:w="1870" w:type="dxa"/>
            <w:tcBorders>
              <w:bottom w:val="single" w:sz="4" w:space="0" w:color="auto"/>
            </w:tcBorders>
            <w:shd w:val="clear" w:color="auto" w:fill="5B9BD5"/>
          </w:tcPr>
          <w:p w14:paraId="0BFFD658"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Statutory Name</w:t>
            </w:r>
          </w:p>
        </w:tc>
        <w:tc>
          <w:tcPr>
            <w:tcW w:w="4448" w:type="dxa"/>
            <w:tcBorders>
              <w:bottom w:val="single" w:sz="4" w:space="0" w:color="auto"/>
            </w:tcBorders>
            <w:shd w:val="clear" w:color="auto" w:fill="5B9BD5"/>
          </w:tcPr>
          <w:p w14:paraId="0BFFD659"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Statute</w:t>
            </w:r>
          </w:p>
        </w:tc>
        <w:tc>
          <w:tcPr>
            <w:tcW w:w="6210" w:type="dxa"/>
            <w:tcBorders>
              <w:bottom w:val="single" w:sz="4" w:space="0" w:color="auto"/>
            </w:tcBorders>
            <w:shd w:val="clear" w:color="auto" w:fill="5B9BD5"/>
          </w:tcPr>
          <w:p w14:paraId="0BFFD65A"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Regulations</w:t>
            </w:r>
          </w:p>
        </w:tc>
      </w:tr>
      <w:tr w:rsidR="004B3171" w:rsidRPr="00193E06" w14:paraId="0BFFD667" w14:textId="77777777" w:rsidTr="00193E06">
        <w:tc>
          <w:tcPr>
            <w:tcW w:w="1870" w:type="dxa"/>
            <w:tcBorders>
              <w:bottom w:val="single" w:sz="4" w:space="0" w:color="auto"/>
            </w:tcBorders>
            <w:shd w:val="clear" w:color="auto" w:fill="FFF2CC"/>
          </w:tcPr>
          <w:p w14:paraId="0BFFD65C" w14:textId="77777777" w:rsidR="004B3171" w:rsidRPr="00193E06" w:rsidRDefault="004B3171" w:rsidP="00193E06">
            <w:p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Temporary Certificate </w:t>
            </w:r>
          </w:p>
        </w:tc>
        <w:tc>
          <w:tcPr>
            <w:tcW w:w="4448" w:type="dxa"/>
            <w:tcBorders>
              <w:bottom w:val="single" w:sz="4" w:space="0" w:color="auto"/>
            </w:tcBorders>
            <w:shd w:val="clear" w:color="auto" w:fill="FFF2CC"/>
          </w:tcPr>
          <w:p w14:paraId="0BFFD65D" w14:textId="77777777" w:rsidR="004B3171" w:rsidRPr="00193E06" w:rsidRDefault="004B3171" w:rsidP="00193E06">
            <w:pPr>
              <w:numPr>
                <w:ilvl w:val="0"/>
                <w:numId w:val="1"/>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Commissioner’s discretion to issue to person who holds valid teaching certificate from another state AND</w:t>
            </w:r>
          </w:p>
          <w:p w14:paraId="0BFFD65E" w14:textId="77777777" w:rsidR="004B3171" w:rsidRPr="00193E06" w:rsidRDefault="004B3171" w:rsidP="00193E06">
            <w:pPr>
              <w:numPr>
                <w:ilvl w:val="0"/>
                <w:numId w:val="1"/>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Has been employed a minimum of 3 years under certificate BUT has not satisfied MTEL</w:t>
            </w:r>
          </w:p>
          <w:p w14:paraId="0BFFD65F" w14:textId="77777777" w:rsidR="004B3171" w:rsidRPr="00193E06" w:rsidRDefault="004B3171" w:rsidP="00193E06">
            <w:pPr>
              <w:numPr>
                <w:ilvl w:val="0"/>
                <w:numId w:val="1"/>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Valid for 1 year</w:t>
            </w:r>
          </w:p>
          <w:p w14:paraId="0BFFD660" w14:textId="77777777" w:rsidR="004B3171" w:rsidRPr="00193E06" w:rsidRDefault="004B3171" w:rsidP="00193E06">
            <w:pPr>
              <w:numPr>
                <w:ilvl w:val="0"/>
                <w:numId w:val="1"/>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Nonrenewable</w:t>
            </w:r>
          </w:p>
          <w:p w14:paraId="0BFFD661" w14:textId="77777777" w:rsidR="004B3171" w:rsidRPr="00193E06" w:rsidRDefault="004B3171" w:rsidP="00193E06">
            <w:pPr>
              <w:numPr>
                <w:ilvl w:val="0"/>
                <w:numId w:val="1"/>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Service counts towards professional status as long as teacher passes the tests</w:t>
            </w:r>
          </w:p>
          <w:p w14:paraId="0BFFD662" w14:textId="77777777" w:rsidR="004B3171" w:rsidRPr="00193E06" w:rsidRDefault="004B3171" w:rsidP="00193E06">
            <w:pPr>
              <w:numPr>
                <w:ilvl w:val="0"/>
                <w:numId w:val="1"/>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Sound moral character</w:t>
            </w:r>
          </w:p>
        </w:tc>
        <w:tc>
          <w:tcPr>
            <w:tcW w:w="6210" w:type="dxa"/>
            <w:tcBorders>
              <w:bottom w:val="single" w:sz="4" w:space="0" w:color="auto"/>
            </w:tcBorders>
            <w:shd w:val="clear" w:color="auto" w:fill="FFF2CC"/>
          </w:tcPr>
          <w:p w14:paraId="0BFFD663" w14:textId="77777777" w:rsidR="004B3171" w:rsidRPr="00193E06" w:rsidRDefault="004B3171" w:rsidP="00193E06">
            <w:pPr>
              <w:numPr>
                <w:ilvl w:val="0"/>
                <w:numId w:val="1"/>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Possession of a valid educator license or certificate from another state or jurisdiction of a type comparable to at least an Initial license in Massachusetts.</w:t>
            </w:r>
          </w:p>
          <w:p w14:paraId="0BFFD664" w14:textId="77777777" w:rsidR="004B3171" w:rsidRPr="00193E06" w:rsidRDefault="004B3171" w:rsidP="00193E06">
            <w:pPr>
              <w:numPr>
                <w:ilvl w:val="0"/>
                <w:numId w:val="1"/>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At least three years of employment under such valid license or certificate.</w:t>
            </w:r>
          </w:p>
          <w:p w14:paraId="0BFFD665" w14:textId="77777777" w:rsidR="004B3171" w:rsidRPr="00193E06" w:rsidRDefault="004B3171" w:rsidP="00193E06">
            <w:pPr>
              <w:numPr>
                <w:ilvl w:val="0"/>
                <w:numId w:val="1"/>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Has not failed any part of the applicable licensure tests required by 603 CMR 7.04 (2) (a) 2 and 3.</w:t>
            </w:r>
          </w:p>
          <w:p w14:paraId="0BFFD666" w14:textId="77777777" w:rsidR="004B3171" w:rsidRPr="00193E06" w:rsidRDefault="004B3171" w:rsidP="00193E06">
            <w:pPr>
              <w:numPr>
                <w:ilvl w:val="0"/>
                <w:numId w:val="1"/>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Evidence of sound moral character</w:t>
            </w:r>
          </w:p>
        </w:tc>
      </w:tr>
    </w:tbl>
    <w:p w14:paraId="0BFFD668" w14:textId="77777777" w:rsidR="00C554CA" w:rsidRDefault="00C554CA" w:rsidP="004B3171">
      <w:pPr>
        <w:rPr>
          <w:rFonts w:asciiTheme="majorHAnsi" w:hAnsiTheme="majorHAnsi"/>
          <w:sz w:val="22"/>
          <w:szCs w:val="22"/>
        </w:rPr>
      </w:pPr>
    </w:p>
    <w:p w14:paraId="0BFFD669" w14:textId="77777777" w:rsidR="004B3171" w:rsidRPr="00193E06" w:rsidRDefault="004B3171" w:rsidP="004B3171">
      <w:pPr>
        <w:rPr>
          <w:rFonts w:asciiTheme="majorHAnsi" w:hAnsiTheme="majorHAnsi"/>
          <w:b/>
          <w:sz w:val="22"/>
          <w:szCs w:val="22"/>
        </w:rPr>
      </w:pPr>
      <w:r w:rsidRPr="00193E06">
        <w:rPr>
          <w:rFonts w:asciiTheme="majorHAnsi" w:hAnsiTheme="majorHAnsi"/>
          <w:b/>
          <w:sz w:val="22"/>
          <w:szCs w:val="22"/>
        </w:rPr>
        <w:t xml:space="preserve">Data: </w:t>
      </w:r>
    </w:p>
    <w:tbl>
      <w:tblPr>
        <w:tblW w:w="1072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080"/>
        <w:gridCol w:w="1032"/>
        <w:gridCol w:w="1032"/>
        <w:gridCol w:w="1129"/>
        <w:gridCol w:w="1032"/>
        <w:gridCol w:w="1032"/>
        <w:gridCol w:w="951"/>
        <w:gridCol w:w="1440"/>
      </w:tblGrid>
      <w:tr w:rsidR="004B3171" w:rsidRPr="00193E06" w14:paraId="0BFFD672" w14:textId="77777777" w:rsidTr="00193E06">
        <w:trPr>
          <w:trHeight w:val="300"/>
        </w:trPr>
        <w:tc>
          <w:tcPr>
            <w:tcW w:w="3080" w:type="dxa"/>
            <w:shd w:val="clear" w:color="auto" w:fill="4F81BD"/>
            <w:noWrap/>
            <w:hideMark/>
          </w:tcPr>
          <w:p w14:paraId="0BFFD66A" w14:textId="77777777" w:rsidR="004B3171" w:rsidRPr="00193E06" w:rsidRDefault="004B3171" w:rsidP="00193E06">
            <w:pPr>
              <w:spacing w:after="0"/>
              <w:rPr>
                <w:rFonts w:asciiTheme="majorHAnsi" w:hAnsiTheme="majorHAnsi"/>
                <w:b/>
                <w:bCs/>
                <w:sz w:val="22"/>
                <w:szCs w:val="22"/>
              </w:rPr>
            </w:pPr>
          </w:p>
        </w:tc>
        <w:tc>
          <w:tcPr>
            <w:tcW w:w="1032" w:type="dxa"/>
            <w:shd w:val="clear" w:color="auto" w:fill="4F81BD"/>
            <w:noWrap/>
            <w:hideMark/>
          </w:tcPr>
          <w:p w14:paraId="0BFFD66B"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2011</w:t>
            </w:r>
          </w:p>
        </w:tc>
        <w:tc>
          <w:tcPr>
            <w:tcW w:w="1032" w:type="dxa"/>
            <w:shd w:val="clear" w:color="auto" w:fill="4F81BD"/>
            <w:noWrap/>
            <w:hideMark/>
          </w:tcPr>
          <w:p w14:paraId="0BFFD66C"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2012</w:t>
            </w:r>
          </w:p>
        </w:tc>
        <w:tc>
          <w:tcPr>
            <w:tcW w:w="1129" w:type="dxa"/>
            <w:shd w:val="clear" w:color="auto" w:fill="4F81BD"/>
            <w:noWrap/>
            <w:hideMark/>
          </w:tcPr>
          <w:p w14:paraId="0BFFD66D"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2013</w:t>
            </w:r>
          </w:p>
        </w:tc>
        <w:tc>
          <w:tcPr>
            <w:tcW w:w="1032" w:type="dxa"/>
            <w:shd w:val="clear" w:color="auto" w:fill="4F81BD"/>
            <w:noWrap/>
            <w:hideMark/>
          </w:tcPr>
          <w:p w14:paraId="0BFFD66E"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2014</w:t>
            </w:r>
          </w:p>
        </w:tc>
        <w:tc>
          <w:tcPr>
            <w:tcW w:w="1032" w:type="dxa"/>
            <w:shd w:val="clear" w:color="auto" w:fill="4F81BD"/>
            <w:noWrap/>
            <w:hideMark/>
          </w:tcPr>
          <w:p w14:paraId="0BFFD66F"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2015</w:t>
            </w:r>
          </w:p>
        </w:tc>
        <w:tc>
          <w:tcPr>
            <w:tcW w:w="951" w:type="dxa"/>
            <w:shd w:val="clear" w:color="auto" w:fill="4F81BD"/>
          </w:tcPr>
          <w:p w14:paraId="0BFFD670"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2016*</w:t>
            </w:r>
          </w:p>
        </w:tc>
        <w:tc>
          <w:tcPr>
            <w:tcW w:w="1440" w:type="dxa"/>
            <w:shd w:val="clear" w:color="auto" w:fill="4F81BD"/>
            <w:noWrap/>
            <w:hideMark/>
          </w:tcPr>
          <w:p w14:paraId="0BFFD671"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Average</w:t>
            </w:r>
          </w:p>
        </w:tc>
      </w:tr>
      <w:tr w:rsidR="004B3171" w:rsidRPr="00193E06" w14:paraId="0BFFD67B" w14:textId="77777777" w:rsidTr="00193E06">
        <w:trPr>
          <w:trHeight w:val="300"/>
        </w:trPr>
        <w:tc>
          <w:tcPr>
            <w:tcW w:w="3080" w:type="dxa"/>
            <w:tcBorders>
              <w:top w:val="single" w:sz="8" w:space="0" w:color="4F81BD"/>
              <w:left w:val="single" w:sz="8" w:space="0" w:color="4F81BD"/>
              <w:bottom w:val="single" w:sz="8" w:space="0" w:color="4F81BD"/>
            </w:tcBorders>
            <w:noWrap/>
            <w:hideMark/>
          </w:tcPr>
          <w:p w14:paraId="0BFFD673" w14:textId="77777777" w:rsidR="004B3171" w:rsidRPr="00193E06" w:rsidRDefault="004B3171" w:rsidP="00193E06">
            <w:pPr>
              <w:spacing w:after="0"/>
              <w:rPr>
                <w:rFonts w:asciiTheme="majorHAnsi" w:hAnsiTheme="majorHAnsi"/>
                <w:b/>
                <w:bCs/>
                <w:sz w:val="22"/>
                <w:szCs w:val="22"/>
              </w:rPr>
            </w:pPr>
            <w:r w:rsidRPr="00193E06">
              <w:rPr>
                <w:rFonts w:asciiTheme="majorHAnsi" w:hAnsiTheme="majorHAnsi"/>
                <w:b/>
                <w:bCs/>
                <w:sz w:val="22"/>
                <w:szCs w:val="22"/>
              </w:rPr>
              <w:t>Total Temporary Licenses</w:t>
            </w:r>
          </w:p>
        </w:tc>
        <w:tc>
          <w:tcPr>
            <w:tcW w:w="1032" w:type="dxa"/>
            <w:tcBorders>
              <w:top w:val="single" w:sz="8" w:space="0" w:color="4F81BD"/>
              <w:bottom w:val="single" w:sz="8" w:space="0" w:color="4F81BD"/>
            </w:tcBorders>
            <w:noWrap/>
            <w:hideMark/>
          </w:tcPr>
          <w:p w14:paraId="0BFFD674"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416</w:t>
            </w:r>
          </w:p>
        </w:tc>
        <w:tc>
          <w:tcPr>
            <w:tcW w:w="1032" w:type="dxa"/>
            <w:tcBorders>
              <w:top w:val="single" w:sz="8" w:space="0" w:color="4F81BD"/>
              <w:bottom w:val="single" w:sz="8" w:space="0" w:color="4F81BD"/>
            </w:tcBorders>
            <w:noWrap/>
            <w:hideMark/>
          </w:tcPr>
          <w:p w14:paraId="0BFFD675"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357</w:t>
            </w:r>
          </w:p>
        </w:tc>
        <w:tc>
          <w:tcPr>
            <w:tcW w:w="1129" w:type="dxa"/>
            <w:tcBorders>
              <w:top w:val="single" w:sz="8" w:space="0" w:color="4F81BD"/>
              <w:bottom w:val="single" w:sz="8" w:space="0" w:color="4F81BD"/>
            </w:tcBorders>
            <w:noWrap/>
            <w:hideMark/>
          </w:tcPr>
          <w:p w14:paraId="0BFFD676"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398</w:t>
            </w:r>
          </w:p>
        </w:tc>
        <w:tc>
          <w:tcPr>
            <w:tcW w:w="1032" w:type="dxa"/>
            <w:tcBorders>
              <w:top w:val="single" w:sz="8" w:space="0" w:color="4F81BD"/>
              <w:bottom w:val="single" w:sz="8" w:space="0" w:color="4F81BD"/>
            </w:tcBorders>
            <w:noWrap/>
            <w:hideMark/>
          </w:tcPr>
          <w:p w14:paraId="0BFFD677"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w:t>
            </w:r>
            <w:bookmarkStart w:id="2" w:name="_GoBack"/>
            <w:bookmarkEnd w:id="2"/>
            <w:r w:rsidRPr="00193E06">
              <w:rPr>
                <w:rFonts w:asciiTheme="majorHAnsi" w:hAnsiTheme="majorHAnsi"/>
                <w:b/>
                <w:sz w:val="22"/>
                <w:szCs w:val="22"/>
              </w:rPr>
              <w:t>73</w:t>
            </w:r>
          </w:p>
        </w:tc>
        <w:tc>
          <w:tcPr>
            <w:tcW w:w="1032" w:type="dxa"/>
            <w:tcBorders>
              <w:top w:val="single" w:sz="8" w:space="0" w:color="4F81BD"/>
              <w:bottom w:val="single" w:sz="8" w:space="0" w:color="4F81BD"/>
            </w:tcBorders>
            <w:noWrap/>
            <w:hideMark/>
          </w:tcPr>
          <w:p w14:paraId="0BFFD678"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413</w:t>
            </w:r>
          </w:p>
        </w:tc>
        <w:tc>
          <w:tcPr>
            <w:tcW w:w="951" w:type="dxa"/>
            <w:tcBorders>
              <w:top w:val="single" w:sz="8" w:space="0" w:color="4F81BD"/>
              <w:bottom w:val="single" w:sz="8" w:space="0" w:color="4F81BD"/>
            </w:tcBorders>
          </w:tcPr>
          <w:p w14:paraId="0BFFD679"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381</w:t>
            </w:r>
          </w:p>
        </w:tc>
        <w:tc>
          <w:tcPr>
            <w:tcW w:w="1440" w:type="dxa"/>
            <w:tcBorders>
              <w:top w:val="single" w:sz="8" w:space="0" w:color="4F81BD"/>
              <w:bottom w:val="single" w:sz="8" w:space="0" w:color="4F81BD"/>
              <w:right w:val="single" w:sz="8" w:space="0" w:color="4F81BD"/>
            </w:tcBorders>
            <w:noWrap/>
            <w:hideMark/>
          </w:tcPr>
          <w:p w14:paraId="0BFFD67A"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406</w:t>
            </w:r>
          </w:p>
        </w:tc>
      </w:tr>
    </w:tbl>
    <w:p w14:paraId="0BFFD67C" w14:textId="77777777" w:rsidR="004B3171" w:rsidRPr="00193E06" w:rsidRDefault="004B3171" w:rsidP="004B3171">
      <w:pPr>
        <w:rPr>
          <w:rFonts w:asciiTheme="majorHAnsi" w:hAnsiTheme="majorHAnsi"/>
          <w:sz w:val="22"/>
          <w:szCs w:val="22"/>
        </w:rPr>
      </w:pPr>
      <w:r w:rsidRPr="00193E06">
        <w:rPr>
          <w:rFonts w:asciiTheme="majorHAnsi" w:hAnsiTheme="majorHAnsi"/>
          <w:sz w:val="22"/>
          <w:szCs w:val="22"/>
        </w:rPr>
        <w:t>*As of December 1, 2016</w:t>
      </w:r>
    </w:p>
    <w:p w14:paraId="0BFFD67D" w14:textId="77777777" w:rsidR="004B3171" w:rsidRDefault="004B3171" w:rsidP="004B3171">
      <w:pPr>
        <w:rPr>
          <w:rFonts w:asciiTheme="majorHAnsi" w:hAnsiTheme="majorHAnsi"/>
          <w:sz w:val="22"/>
          <w:szCs w:val="22"/>
        </w:rPr>
      </w:pPr>
    </w:p>
    <w:p w14:paraId="0BFFD67E" w14:textId="77777777" w:rsidR="00C554CA" w:rsidRDefault="00C554CA" w:rsidP="004B3171">
      <w:pPr>
        <w:rPr>
          <w:rFonts w:asciiTheme="majorHAnsi" w:hAnsiTheme="majorHAnsi"/>
          <w:sz w:val="22"/>
          <w:szCs w:val="22"/>
        </w:rPr>
      </w:pPr>
    </w:p>
    <w:p w14:paraId="0BFFD67F" w14:textId="77777777" w:rsidR="00C554CA" w:rsidRPr="00193E06" w:rsidRDefault="00C554CA" w:rsidP="004B3171">
      <w:pPr>
        <w:rPr>
          <w:rFonts w:asciiTheme="majorHAnsi" w:hAnsiTheme="majorHAnsi"/>
          <w:sz w:val="22"/>
          <w:szCs w:val="22"/>
        </w:rPr>
      </w:pPr>
    </w:p>
    <w:p w14:paraId="0BFFD680" w14:textId="77777777" w:rsidR="004B3171" w:rsidRPr="00193E06" w:rsidRDefault="004B3171" w:rsidP="004B3171">
      <w:pPr>
        <w:rPr>
          <w:rFonts w:asciiTheme="majorHAnsi" w:hAnsiTheme="majorHAnsi"/>
          <w:sz w:val="22"/>
          <w:szCs w:val="22"/>
        </w:rPr>
      </w:pPr>
    </w:p>
    <w:p w14:paraId="0BFFD681" w14:textId="77777777" w:rsidR="004B3171" w:rsidRPr="00193E06" w:rsidRDefault="004B3171" w:rsidP="004B3171">
      <w:pPr>
        <w:rPr>
          <w:rFonts w:asciiTheme="majorHAnsi" w:hAnsiTheme="majorHAnsi"/>
          <w:sz w:val="22"/>
          <w:szCs w:val="22"/>
        </w:rPr>
      </w:pPr>
    </w:p>
    <w:p w14:paraId="0BFFD682" w14:textId="77777777" w:rsidR="00193E06" w:rsidRPr="00193E06" w:rsidRDefault="00193E06" w:rsidP="004B3171">
      <w:pPr>
        <w:rPr>
          <w:rFonts w:asciiTheme="majorHAnsi" w:hAnsiTheme="majorHAnsi"/>
          <w:sz w:val="22"/>
          <w:szCs w:val="22"/>
        </w:rPr>
      </w:pPr>
    </w:p>
    <w:p w14:paraId="0BFFD683" w14:textId="77777777" w:rsidR="00193E06" w:rsidRPr="00C554CA" w:rsidRDefault="00C554CA" w:rsidP="004B3171">
      <w:pPr>
        <w:rPr>
          <w:rFonts w:asciiTheme="majorHAnsi" w:hAnsiTheme="majorHAnsi"/>
          <w:b/>
          <w:sz w:val="22"/>
          <w:szCs w:val="22"/>
        </w:rPr>
      </w:pPr>
      <w:r w:rsidRPr="00193E06">
        <w:rPr>
          <w:rFonts w:asciiTheme="majorHAnsi" w:hAnsiTheme="majorHAnsi"/>
          <w:b/>
          <w:sz w:val="22"/>
          <w:szCs w:val="22"/>
        </w:rPr>
        <w:lastRenderedPageBreak/>
        <w:t>“Top 10 fields” for Temporary Licenses issued 2011-2015</w:t>
      </w:r>
    </w:p>
    <w:p w14:paraId="0BFFD684" w14:textId="77777777" w:rsidR="00C554CA" w:rsidRDefault="00C554CA" w:rsidP="004B3171">
      <w:pPr>
        <w:rPr>
          <w:rFonts w:asciiTheme="majorHAnsi" w:hAnsiTheme="majorHAnsi"/>
          <w:b/>
          <w:sz w:val="22"/>
          <w:szCs w:val="22"/>
        </w:rPr>
      </w:pPr>
    </w:p>
    <w:p w14:paraId="0BFFD685" w14:textId="77777777" w:rsidR="00C554CA" w:rsidRDefault="00C554CA" w:rsidP="004B3171">
      <w:pPr>
        <w:rPr>
          <w:rFonts w:asciiTheme="majorHAnsi" w:hAnsiTheme="majorHAnsi"/>
          <w:b/>
          <w:sz w:val="22"/>
          <w:szCs w:val="22"/>
        </w:rPr>
      </w:pPr>
    </w:p>
    <w:p w14:paraId="0BFFD686" w14:textId="77777777" w:rsidR="00C554CA" w:rsidRDefault="00C554CA" w:rsidP="004B3171">
      <w:pPr>
        <w:rPr>
          <w:rFonts w:asciiTheme="majorHAnsi" w:hAnsiTheme="majorHAnsi"/>
          <w:b/>
          <w:sz w:val="22"/>
          <w:szCs w:val="22"/>
        </w:rPr>
      </w:pPr>
    </w:p>
    <w:p w14:paraId="0BFFD687" w14:textId="77777777" w:rsidR="00C554CA" w:rsidRDefault="00C554CA" w:rsidP="004B3171">
      <w:pPr>
        <w:rPr>
          <w:rFonts w:asciiTheme="majorHAnsi" w:hAnsiTheme="majorHAnsi"/>
          <w:b/>
          <w:sz w:val="22"/>
          <w:szCs w:val="22"/>
        </w:rPr>
      </w:pPr>
    </w:p>
    <w:p w14:paraId="0BFFD688" w14:textId="77777777" w:rsidR="00C554CA" w:rsidRDefault="00C554CA" w:rsidP="004B3171">
      <w:pPr>
        <w:rPr>
          <w:rFonts w:asciiTheme="majorHAnsi" w:hAnsiTheme="majorHAnsi"/>
          <w:b/>
          <w:sz w:val="22"/>
          <w:szCs w:val="22"/>
        </w:rPr>
      </w:pPr>
    </w:p>
    <w:p w14:paraId="0BFFD689" w14:textId="77777777" w:rsidR="00C554CA" w:rsidRDefault="00C554CA" w:rsidP="004B3171">
      <w:pPr>
        <w:rPr>
          <w:rFonts w:asciiTheme="majorHAnsi" w:hAnsiTheme="majorHAnsi"/>
          <w:b/>
          <w:sz w:val="22"/>
          <w:szCs w:val="22"/>
        </w:rPr>
      </w:pPr>
    </w:p>
    <w:p w14:paraId="0BFFD68A" w14:textId="77777777" w:rsidR="00C554CA" w:rsidRDefault="00C554CA" w:rsidP="004B3171">
      <w:pPr>
        <w:rPr>
          <w:rFonts w:asciiTheme="majorHAnsi" w:hAnsiTheme="majorHAnsi"/>
          <w:b/>
          <w:sz w:val="22"/>
          <w:szCs w:val="22"/>
        </w:rPr>
      </w:pPr>
    </w:p>
    <w:p w14:paraId="0BFFD68B" w14:textId="77777777" w:rsidR="00C554CA" w:rsidRDefault="00C554CA" w:rsidP="004B3171">
      <w:pPr>
        <w:rPr>
          <w:rFonts w:asciiTheme="majorHAnsi" w:hAnsiTheme="majorHAnsi"/>
          <w:b/>
          <w:sz w:val="22"/>
          <w:szCs w:val="22"/>
        </w:rPr>
      </w:pPr>
    </w:p>
    <w:tbl>
      <w:tblPr>
        <w:tblStyle w:val="LightList-Accent1"/>
        <w:tblpPr w:leftFromText="180" w:rightFromText="180" w:vertAnchor="page" w:horzAnchor="margin" w:tblpY="1906"/>
        <w:tblW w:w="10220" w:type="dxa"/>
        <w:tblLook w:val="04A0" w:firstRow="1" w:lastRow="0" w:firstColumn="1" w:lastColumn="0" w:noHBand="0" w:noVBand="1"/>
      </w:tblPr>
      <w:tblGrid>
        <w:gridCol w:w="5420"/>
        <w:gridCol w:w="960"/>
        <w:gridCol w:w="960"/>
        <w:gridCol w:w="960"/>
        <w:gridCol w:w="960"/>
        <w:gridCol w:w="960"/>
      </w:tblGrid>
      <w:tr w:rsidR="00C554CA" w:rsidRPr="00B47319" w14:paraId="0BFFD692" w14:textId="77777777" w:rsidTr="00C554C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8C" w14:textId="77777777" w:rsidR="00C554CA" w:rsidRPr="00E972EF" w:rsidRDefault="00C554CA" w:rsidP="00C554CA">
            <w:pPr>
              <w:rPr>
                <w:rFonts w:ascii="Calibri" w:hAnsi="Calibri" w:cs="Times New Roman"/>
                <w:color w:val="FFFFFF"/>
                <w:sz w:val="24"/>
                <w:szCs w:val="24"/>
              </w:rPr>
            </w:pPr>
            <w:r w:rsidRPr="00E972EF">
              <w:rPr>
                <w:rFonts w:ascii="Calibri" w:hAnsi="Calibri" w:cs="Times New Roman"/>
                <w:color w:val="FFFFFF"/>
                <w:sz w:val="24"/>
                <w:szCs w:val="24"/>
              </w:rPr>
              <w:t>Field</w:t>
            </w:r>
          </w:p>
        </w:tc>
        <w:tc>
          <w:tcPr>
            <w:tcW w:w="960" w:type="dxa"/>
            <w:noWrap/>
            <w:hideMark/>
          </w:tcPr>
          <w:p w14:paraId="0BFFD68D" w14:textId="77777777" w:rsidR="00C554CA" w:rsidRPr="00E972EF" w:rsidRDefault="00C554CA" w:rsidP="00C554CA">
            <w:pPr>
              <w:jc w:val="right"/>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sz w:val="24"/>
                <w:szCs w:val="24"/>
              </w:rPr>
            </w:pPr>
            <w:r w:rsidRPr="00E972EF">
              <w:rPr>
                <w:rFonts w:ascii="Calibri" w:hAnsi="Calibri" w:cs="Times New Roman"/>
                <w:color w:val="FFFFFF"/>
                <w:sz w:val="24"/>
                <w:szCs w:val="24"/>
              </w:rPr>
              <w:t>2011</w:t>
            </w:r>
          </w:p>
        </w:tc>
        <w:tc>
          <w:tcPr>
            <w:tcW w:w="960" w:type="dxa"/>
            <w:noWrap/>
            <w:hideMark/>
          </w:tcPr>
          <w:p w14:paraId="0BFFD68E" w14:textId="77777777" w:rsidR="00C554CA" w:rsidRPr="00E972EF" w:rsidRDefault="00C554CA" w:rsidP="00C554CA">
            <w:pPr>
              <w:jc w:val="right"/>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sz w:val="24"/>
                <w:szCs w:val="24"/>
              </w:rPr>
            </w:pPr>
            <w:r w:rsidRPr="00E972EF">
              <w:rPr>
                <w:rFonts w:ascii="Calibri" w:hAnsi="Calibri" w:cs="Times New Roman"/>
                <w:color w:val="FFFFFF"/>
                <w:sz w:val="24"/>
                <w:szCs w:val="24"/>
              </w:rPr>
              <w:t>2012</w:t>
            </w:r>
          </w:p>
        </w:tc>
        <w:tc>
          <w:tcPr>
            <w:tcW w:w="960" w:type="dxa"/>
            <w:noWrap/>
            <w:hideMark/>
          </w:tcPr>
          <w:p w14:paraId="0BFFD68F" w14:textId="77777777" w:rsidR="00C554CA" w:rsidRPr="00E972EF" w:rsidRDefault="00C554CA" w:rsidP="00C554CA">
            <w:pPr>
              <w:jc w:val="right"/>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sz w:val="24"/>
                <w:szCs w:val="24"/>
              </w:rPr>
            </w:pPr>
            <w:r w:rsidRPr="00E972EF">
              <w:rPr>
                <w:rFonts w:ascii="Calibri" w:hAnsi="Calibri" w:cs="Times New Roman"/>
                <w:color w:val="FFFFFF"/>
                <w:sz w:val="24"/>
                <w:szCs w:val="24"/>
              </w:rPr>
              <w:t>2013</w:t>
            </w:r>
          </w:p>
        </w:tc>
        <w:tc>
          <w:tcPr>
            <w:tcW w:w="960" w:type="dxa"/>
            <w:noWrap/>
            <w:hideMark/>
          </w:tcPr>
          <w:p w14:paraId="0BFFD690" w14:textId="77777777" w:rsidR="00C554CA" w:rsidRPr="00E972EF" w:rsidRDefault="00C554CA" w:rsidP="00C554CA">
            <w:pPr>
              <w:jc w:val="right"/>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sz w:val="24"/>
                <w:szCs w:val="24"/>
              </w:rPr>
            </w:pPr>
            <w:r w:rsidRPr="00E972EF">
              <w:rPr>
                <w:rFonts w:ascii="Calibri" w:hAnsi="Calibri" w:cs="Times New Roman"/>
                <w:color w:val="FFFFFF"/>
                <w:sz w:val="24"/>
                <w:szCs w:val="24"/>
              </w:rPr>
              <w:t>2014</w:t>
            </w:r>
          </w:p>
        </w:tc>
        <w:tc>
          <w:tcPr>
            <w:tcW w:w="960" w:type="dxa"/>
            <w:noWrap/>
            <w:hideMark/>
          </w:tcPr>
          <w:p w14:paraId="0BFFD691" w14:textId="77777777" w:rsidR="00C554CA" w:rsidRPr="00E972EF" w:rsidRDefault="00C554CA" w:rsidP="00C554CA">
            <w:pPr>
              <w:jc w:val="right"/>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sz w:val="24"/>
                <w:szCs w:val="24"/>
              </w:rPr>
            </w:pPr>
            <w:r w:rsidRPr="00E972EF">
              <w:rPr>
                <w:rFonts w:ascii="Calibri" w:hAnsi="Calibri" w:cs="Times New Roman"/>
                <w:color w:val="FFFFFF"/>
                <w:sz w:val="24"/>
                <w:szCs w:val="24"/>
              </w:rPr>
              <w:t>2015</w:t>
            </w:r>
          </w:p>
        </w:tc>
      </w:tr>
      <w:tr w:rsidR="00C554CA" w:rsidRPr="00B47319" w14:paraId="0BFFD699" w14:textId="77777777" w:rsidTr="00C554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93"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Elementary</w:t>
            </w:r>
          </w:p>
        </w:tc>
        <w:tc>
          <w:tcPr>
            <w:tcW w:w="960" w:type="dxa"/>
            <w:noWrap/>
            <w:hideMark/>
          </w:tcPr>
          <w:p w14:paraId="0BFFD694"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88</w:t>
            </w:r>
          </w:p>
        </w:tc>
        <w:tc>
          <w:tcPr>
            <w:tcW w:w="960" w:type="dxa"/>
            <w:noWrap/>
            <w:hideMark/>
          </w:tcPr>
          <w:p w14:paraId="0BFFD695"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72</w:t>
            </w:r>
          </w:p>
        </w:tc>
        <w:tc>
          <w:tcPr>
            <w:tcW w:w="960" w:type="dxa"/>
            <w:noWrap/>
            <w:hideMark/>
          </w:tcPr>
          <w:p w14:paraId="0BFFD696"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66</w:t>
            </w:r>
          </w:p>
        </w:tc>
        <w:tc>
          <w:tcPr>
            <w:tcW w:w="960" w:type="dxa"/>
            <w:noWrap/>
            <w:hideMark/>
          </w:tcPr>
          <w:p w14:paraId="0BFFD697"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109</w:t>
            </w:r>
          </w:p>
        </w:tc>
        <w:tc>
          <w:tcPr>
            <w:tcW w:w="960" w:type="dxa"/>
            <w:noWrap/>
            <w:hideMark/>
          </w:tcPr>
          <w:p w14:paraId="0BFFD698"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82</w:t>
            </w:r>
          </w:p>
        </w:tc>
      </w:tr>
      <w:tr w:rsidR="00C554CA" w:rsidRPr="00B47319" w14:paraId="0BFFD6A0" w14:textId="77777777" w:rsidTr="00C554CA">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9A"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Moderate Disabilities</w:t>
            </w:r>
          </w:p>
        </w:tc>
        <w:tc>
          <w:tcPr>
            <w:tcW w:w="960" w:type="dxa"/>
            <w:noWrap/>
            <w:hideMark/>
          </w:tcPr>
          <w:p w14:paraId="0BFFD69B"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63</w:t>
            </w:r>
          </w:p>
        </w:tc>
        <w:tc>
          <w:tcPr>
            <w:tcW w:w="960" w:type="dxa"/>
            <w:noWrap/>
            <w:hideMark/>
          </w:tcPr>
          <w:p w14:paraId="0BFFD69C"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48</w:t>
            </w:r>
          </w:p>
        </w:tc>
        <w:tc>
          <w:tcPr>
            <w:tcW w:w="960" w:type="dxa"/>
            <w:noWrap/>
            <w:hideMark/>
          </w:tcPr>
          <w:p w14:paraId="0BFFD69D"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65</w:t>
            </w:r>
          </w:p>
        </w:tc>
        <w:tc>
          <w:tcPr>
            <w:tcW w:w="960" w:type="dxa"/>
            <w:noWrap/>
            <w:hideMark/>
          </w:tcPr>
          <w:p w14:paraId="0BFFD69E"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68</w:t>
            </w:r>
          </w:p>
        </w:tc>
        <w:tc>
          <w:tcPr>
            <w:tcW w:w="960" w:type="dxa"/>
            <w:noWrap/>
            <w:hideMark/>
          </w:tcPr>
          <w:p w14:paraId="0BFFD69F"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70</w:t>
            </w:r>
          </w:p>
        </w:tc>
      </w:tr>
      <w:tr w:rsidR="00C554CA" w:rsidRPr="00B47319" w14:paraId="0BFFD6A7" w14:textId="77777777" w:rsidTr="00C554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A1"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English</w:t>
            </w:r>
          </w:p>
        </w:tc>
        <w:tc>
          <w:tcPr>
            <w:tcW w:w="960" w:type="dxa"/>
            <w:noWrap/>
            <w:hideMark/>
          </w:tcPr>
          <w:p w14:paraId="0BFFD6A2"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30</w:t>
            </w:r>
          </w:p>
        </w:tc>
        <w:tc>
          <w:tcPr>
            <w:tcW w:w="960" w:type="dxa"/>
            <w:noWrap/>
            <w:hideMark/>
          </w:tcPr>
          <w:p w14:paraId="0BFFD6A3"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26</w:t>
            </w:r>
          </w:p>
        </w:tc>
        <w:tc>
          <w:tcPr>
            <w:tcW w:w="960" w:type="dxa"/>
            <w:noWrap/>
            <w:hideMark/>
          </w:tcPr>
          <w:p w14:paraId="0BFFD6A4"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27</w:t>
            </w:r>
          </w:p>
        </w:tc>
        <w:tc>
          <w:tcPr>
            <w:tcW w:w="960" w:type="dxa"/>
            <w:noWrap/>
            <w:hideMark/>
          </w:tcPr>
          <w:p w14:paraId="0BFFD6A5"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26</w:t>
            </w:r>
          </w:p>
        </w:tc>
        <w:tc>
          <w:tcPr>
            <w:tcW w:w="960" w:type="dxa"/>
            <w:noWrap/>
            <w:hideMark/>
          </w:tcPr>
          <w:p w14:paraId="0BFFD6A6"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28</w:t>
            </w:r>
          </w:p>
        </w:tc>
      </w:tr>
      <w:tr w:rsidR="00C554CA" w:rsidRPr="00B47319" w14:paraId="0BFFD6AE" w14:textId="77777777" w:rsidTr="00C554CA">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A8"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Mathematics</w:t>
            </w:r>
          </w:p>
        </w:tc>
        <w:tc>
          <w:tcPr>
            <w:tcW w:w="960" w:type="dxa"/>
            <w:noWrap/>
            <w:hideMark/>
          </w:tcPr>
          <w:p w14:paraId="0BFFD6A9"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20</w:t>
            </w:r>
          </w:p>
        </w:tc>
        <w:tc>
          <w:tcPr>
            <w:tcW w:w="960" w:type="dxa"/>
            <w:noWrap/>
            <w:hideMark/>
          </w:tcPr>
          <w:p w14:paraId="0BFFD6AA"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17</w:t>
            </w:r>
          </w:p>
        </w:tc>
        <w:tc>
          <w:tcPr>
            <w:tcW w:w="960" w:type="dxa"/>
            <w:noWrap/>
            <w:hideMark/>
          </w:tcPr>
          <w:p w14:paraId="0BFFD6AB"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26</w:t>
            </w:r>
          </w:p>
        </w:tc>
        <w:tc>
          <w:tcPr>
            <w:tcW w:w="960" w:type="dxa"/>
            <w:noWrap/>
            <w:hideMark/>
          </w:tcPr>
          <w:p w14:paraId="0BFFD6AC"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25</w:t>
            </w:r>
          </w:p>
        </w:tc>
        <w:tc>
          <w:tcPr>
            <w:tcW w:w="960" w:type="dxa"/>
            <w:noWrap/>
            <w:hideMark/>
          </w:tcPr>
          <w:p w14:paraId="0BFFD6AD"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18</w:t>
            </w:r>
          </w:p>
        </w:tc>
      </w:tr>
      <w:tr w:rsidR="00C554CA" w:rsidRPr="00B47319" w14:paraId="0BFFD6B5" w14:textId="77777777" w:rsidTr="00C554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AF"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Early Childhood: Students with and without Disabilities</w:t>
            </w:r>
          </w:p>
        </w:tc>
        <w:tc>
          <w:tcPr>
            <w:tcW w:w="960" w:type="dxa"/>
            <w:noWrap/>
            <w:hideMark/>
          </w:tcPr>
          <w:p w14:paraId="0BFFD6B0"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20</w:t>
            </w:r>
          </w:p>
        </w:tc>
        <w:tc>
          <w:tcPr>
            <w:tcW w:w="960" w:type="dxa"/>
            <w:noWrap/>
            <w:hideMark/>
          </w:tcPr>
          <w:p w14:paraId="0BFFD6B1"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10</w:t>
            </w:r>
          </w:p>
        </w:tc>
        <w:tc>
          <w:tcPr>
            <w:tcW w:w="960" w:type="dxa"/>
            <w:noWrap/>
            <w:hideMark/>
          </w:tcPr>
          <w:p w14:paraId="0BFFD6B2"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18</w:t>
            </w:r>
          </w:p>
        </w:tc>
        <w:tc>
          <w:tcPr>
            <w:tcW w:w="960" w:type="dxa"/>
            <w:noWrap/>
            <w:hideMark/>
          </w:tcPr>
          <w:p w14:paraId="0BFFD6B3"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26</w:t>
            </w:r>
          </w:p>
        </w:tc>
        <w:tc>
          <w:tcPr>
            <w:tcW w:w="960" w:type="dxa"/>
            <w:noWrap/>
            <w:hideMark/>
          </w:tcPr>
          <w:p w14:paraId="0BFFD6B4"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19</w:t>
            </w:r>
          </w:p>
        </w:tc>
      </w:tr>
      <w:tr w:rsidR="00C554CA" w:rsidRPr="00B47319" w14:paraId="0BFFD6BC" w14:textId="77777777" w:rsidTr="00C554CA">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B6"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Music: Vocal/Instrumental/General</w:t>
            </w:r>
          </w:p>
        </w:tc>
        <w:tc>
          <w:tcPr>
            <w:tcW w:w="960" w:type="dxa"/>
            <w:noWrap/>
            <w:hideMark/>
          </w:tcPr>
          <w:p w14:paraId="0BFFD6B7"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16</w:t>
            </w:r>
          </w:p>
        </w:tc>
        <w:tc>
          <w:tcPr>
            <w:tcW w:w="960" w:type="dxa"/>
            <w:noWrap/>
            <w:hideMark/>
          </w:tcPr>
          <w:p w14:paraId="0BFFD6B8"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14</w:t>
            </w:r>
          </w:p>
        </w:tc>
        <w:tc>
          <w:tcPr>
            <w:tcW w:w="960" w:type="dxa"/>
            <w:noWrap/>
            <w:hideMark/>
          </w:tcPr>
          <w:p w14:paraId="0BFFD6B9"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18</w:t>
            </w:r>
          </w:p>
        </w:tc>
        <w:tc>
          <w:tcPr>
            <w:tcW w:w="960" w:type="dxa"/>
            <w:noWrap/>
            <w:hideMark/>
          </w:tcPr>
          <w:p w14:paraId="0BFFD6BA"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12</w:t>
            </w:r>
          </w:p>
        </w:tc>
        <w:tc>
          <w:tcPr>
            <w:tcW w:w="960" w:type="dxa"/>
            <w:noWrap/>
            <w:hideMark/>
          </w:tcPr>
          <w:p w14:paraId="0BFFD6BB"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14</w:t>
            </w:r>
          </w:p>
        </w:tc>
      </w:tr>
      <w:tr w:rsidR="00C554CA" w:rsidRPr="00B47319" w14:paraId="0BFFD6C3" w14:textId="77777777" w:rsidTr="00C554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BD"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Principal/Assistant Principal</w:t>
            </w:r>
          </w:p>
        </w:tc>
        <w:tc>
          <w:tcPr>
            <w:tcW w:w="960" w:type="dxa"/>
            <w:noWrap/>
            <w:hideMark/>
          </w:tcPr>
          <w:p w14:paraId="0BFFD6BE"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7</w:t>
            </w:r>
          </w:p>
        </w:tc>
        <w:tc>
          <w:tcPr>
            <w:tcW w:w="960" w:type="dxa"/>
            <w:noWrap/>
            <w:hideMark/>
          </w:tcPr>
          <w:p w14:paraId="0BFFD6BF"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17</w:t>
            </w:r>
          </w:p>
        </w:tc>
        <w:tc>
          <w:tcPr>
            <w:tcW w:w="960" w:type="dxa"/>
            <w:noWrap/>
            <w:hideMark/>
          </w:tcPr>
          <w:p w14:paraId="0BFFD6C0"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16</w:t>
            </w:r>
          </w:p>
        </w:tc>
        <w:tc>
          <w:tcPr>
            <w:tcW w:w="960" w:type="dxa"/>
            <w:noWrap/>
            <w:hideMark/>
          </w:tcPr>
          <w:p w14:paraId="0BFFD6C1"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16</w:t>
            </w:r>
          </w:p>
        </w:tc>
        <w:tc>
          <w:tcPr>
            <w:tcW w:w="960" w:type="dxa"/>
            <w:noWrap/>
            <w:hideMark/>
          </w:tcPr>
          <w:p w14:paraId="0BFFD6C2"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16</w:t>
            </w:r>
          </w:p>
        </w:tc>
      </w:tr>
      <w:tr w:rsidR="00C554CA" w:rsidRPr="00B47319" w14:paraId="0BFFD6CA" w14:textId="77777777" w:rsidTr="00C554CA">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C4"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History</w:t>
            </w:r>
          </w:p>
        </w:tc>
        <w:tc>
          <w:tcPr>
            <w:tcW w:w="960" w:type="dxa"/>
            <w:noWrap/>
            <w:hideMark/>
          </w:tcPr>
          <w:p w14:paraId="0BFFD6C5"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10</w:t>
            </w:r>
          </w:p>
        </w:tc>
        <w:tc>
          <w:tcPr>
            <w:tcW w:w="960" w:type="dxa"/>
            <w:noWrap/>
            <w:hideMark/>
          </w:tcPr>
          <w:p w14:paraId="0BFFD6C6"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8</w:t>
            </w:r>
          </w:p>
        </w:tc>
        <w:tc>
          <w:tcPr>
            <w:tcW w:w="960" w:type="dxa"/>
            <w:noWrap/>
            <w:hideMark/>
          </w:tcPr>
          <w:p w14:paraId="0BFFD6C7"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9</w:t>
            </w:r>
          </w:p>
        </w:tc>
        <w:tc>
          <w:tcPr>
            <w:tcW w:w="960" w:type="dxa"/>
            <w:noWrap/>
            <w:hideMark/>
          </w:tcPr>
          <w:p w14:paraId="0BFFD6C8"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28</w:t>
            </w:r>
          </w:p>
        </w:tc>
        <w:tc>
          <w:tcPr>
            <w:tcW w:w="960" w:type="dxa"/>
            <w:noWrap/>
            <w:hideMark/>
          </w:tcPr>
          <w:p w14:paraId="0BFFD6C9"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16</w:t>
            </w:r>
          </w:p>
        </w:tc>
      </w:tr>
      <w:tr w:rsidR="00C554CA" w:rsidRPr="00B47319" w14:paraId="0BFFD6D1" w14:textId="77777777" w:rsidTr="00C554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CB"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English as a Second Language</w:t>
            </w:r>
          </w:p>
        </w:tc>
        <w:tc>
          <w:tcPr>
            <w:tcW w:w="960" w:type="dxa"/>
            <w:noWrap/>
            <w:hideMark/>
          </w:tcPr>
          <w:p w14:paraId="0BFFD6CC"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10</w:t>
            </w:r>
          </w:p>
        </w:tc>
        <w:tc>
          <w:tcPr>
            <w:tcW w:w="960" w:type="dxa"/>
            <w:noWrap/>
            <w:hideMark/>
          </w:tcPr>
          <w:p w14:paraId="0BFFD6CD"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11</w:t>
            </w:r>
          </w:p>
        </w:tc>
        <w:tc>
          <w:tcPr>
            <w:tcW w:w="960" w:type="dxa"/>
            <w:noWrap/>
            <w:hideMark/>
          </w:tcPr>
          <w:p w14:paraId="0BFFD6CE"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19</w:t>
            </w:r>
          </w:p>
        </w:tc>
        <w:tc>
          <w:tcPr>
            <w:tcW w:w="960" w:type="dxa"/>
            <w:noWrap/>
            <w:hideMark/>
          </w:tcPr>
          <w:p w14:paraId="0BFFD6CF"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12</w:t>
            </w:r>
          </w:p>
        </w:tc>
        <w:tc>
          <w:tcPr>
            <w:tcW w:w="960" w:type="dxa"/>
            <w:noWrap/>
            <w:hideMark/>
          </w:tcPr>
          <w:p w14:paraId="0BFFD6D0" w14:textId="77777777" w:rsidR="00C554CA" w:rsidRPr="00E972EF" w:rsidRDefault="00C554CA" w:rsidP="00C554CA">
            <w:pPr>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20</w:t>
            </w:r>
          </w:p>
        </w:tc>
      </w:tr>
      <w:tr w:rsidR="00C554CA" w:rsidRPr="00B47319" w14:paraId="0BFFD6D8" w14:textId="77777777" w:rsidTr="00C554CA">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6D2" w14:textId="77777777" w:rsidR="00C554CA" w:rsidRPr="00E972EF" w:rsidRDefault="00C554CA" w:rsidP="00C554CA">
            <w:pPr>
              <w:rPr>
                <w:rFonts w:ascii="Calibri" w:hAnsi="Calibri" w:cs="Times New Roman"/>
                <w:sz w:val="24"/>
                <w:szCs w:val="24"/>
              </w:rPr>
            </w:pPr>
            <w:r w:rsidRPr="00E972EF">
              <w:rPr>
                <w:rFonts w:ascii="Calibri" w:hAnsi="Calibri" w:cs="Times New Roman"/>
                <w:sz w:val="24"/>
                <w:szCs w:val="24"/>
              </w:rPr>
              <w:t>Biology</w:t>
            </w:r>
          </w:p>
        </w:tc>
        <w:tc>
          <w:tcPr>
            <w:tcW w:w="960" w:type="dxa"/>
            <w:noWrap/>
            <w:hideMark/>
          </w:tcPr>
          <w:p w14:paraId="0BFFD6D3"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8</w:t>
            </w:r>
          </w:p>
        </w:tc>
        <w:tc>
          <w:tcPr>
            <w:tcW w:w="960" w:type="dxa"/>
            <w:noWrap/>
            <w:hideMark/>
          </w:tcPr>
          <w:p w14:paraId="0BFFD6D4"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7</w:t>
            </w:r>
          </w:p>
        </w:tc>
        <w:tc>
          <w:tcPr>
            <w:tcW w:w="960" w:type="dxa"/>
            <w:noWrap/>
            <w:hideMark/>
          </w:tcPr>
          <w:p w14:paraId="0BFFD6D5"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10</w:t>
            </w:r>
          </w:p>
        </w:tc>
        <w:tc>
          <w:tcPr>
            <w:tcW w:w="960" w:type="dxa"/>
            <w:noWrap/>
            <w:hideMark/>
          </w:tcPr>
          <w:p w14:paraId="0BFFD6D6"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10</w:t>
            </w:r>
          </w:p>
        </w:tc>
        <w:tc>
          <w:tcPr>
            <w:tcW w:w="960" w:type="dxa"/>
            <w:noWrap/>
            <w:hideMark/>
          </w:tcPr>
          <w:p w14:paraId="0BFFD6D7" w14:textId="77777777" w:rsidR="00C554CA" w:rsidRPr="00E972EF" w:rsidRDefault="00C554CA" w:rsidP="00C554CA">
            <w:pPr>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E972EF">
              <w:rPr>
                <w:rFonts w:ascii="Calibri" w:hAnsi="Calibri" w:cs="Times New Roman"/>
                <w:sz w:val="24"/>
                <w:szCs w:val="24"/>
              </w:rPr>
              <w:t>8</w:t>
            </w:r>
          </w:p>
        </w:tc>
      </w:tr>
    </w:tbl>
    <w:p w14:paraId="0BFFD6D9" w14:textId="77777777" w:rsidR="004B3171" w:rsidRPr="00193E06" w:rsidRDefault="004B3171" w:rsidP="004B3171">
      <w:pPr>
        <w:rPr>
          <w:rFonts w:asciiTheme="majorHAnsi" w:hAnsiTheme="majorHAnsi"/>
          <w:sz w:val="22"/>
          <w:szCs w:val="22"/>
        </w:rPr>
      </w:pPr>
    </w:p>
    <w:p w14:paraId="0BFFD6DA" w14:textId="77777777" w:rsidR="004B3171" w:rsidRPr="00193E06" w:rsidRDefault="004B3171" w:rsidP="004B3171">
      <w:pPr>
        <w:rPr>
          <w:rFonts w:asciiTheme="majorHAnsi" w:hAnsiTheme="majorHAnsi"/>
          <w:sz w:val="22"/>
          <w:szCs w:val="22"/>
        </w:rPr>
      </w:pPr>
    </w:p>
    <w:p w14:paraId="0BFFD6DB" w14:textId="77777777" w:rsidR="004B3171" w:rsidRPr="00193E06" w:rsidRDefault="004B3171" w:rsidP="004B3171">
      <w:pPr>
        <w:rPr>
          <w:rFonts w:asciiTheme="majorHAnsi" w:hAnsiTheme="majorHAnsi"/>
          <w:sz w:val="22"/>
          <w:szCs w:val="22"/>
        </w:rPr>
      </w:pPr>
    </w:p>
    <w:p w14:paraId="0BFFD6DC" w14:textId="77777777" w:rsidR="004B3171" w:rsidRPr="00193E06" w:rsidRDefault="004B3171" w:rsidP="004B3171">
      <w:pPr>
        <w:rPr>
          <w:rFonts w:asciiTheme="majorHAnsi" w:hAnsiTheme="majorHAnsi"/>
          <w:sz w:val="22"/>
          <w:szCs w:val="22"/>
        </w:rPr>
      </w:pPr>
    </w:p>
    <w:p w14:paraId="0BFFD6DD" w14:textId="77777777" w:rsidR="004B3171" w:rsidRPr="00193E06" w:rsidRDefault="004B3171" w:rsidP="004B3171">
      <w:pPr>
        <w:rPr>
          <w:rFonts w:asciiTheme="majorHAnsi" w:hAnsiTheme="majorHAnsi"/>
          <w:sz w:val="22"/>
          <w:szCs w:val="22"/>
        </w:rPr>
      </w:pPr>
    </w:p>
    <w:p w14:paraId="0BFFD6DE" w14:textId="77777777" w:rsidR="004B3171" w:rsidRPr="00193E06" w:rsidRDefault="004B3171" w:rsidP="004B3171">
      <w:pPr>
        <w:rPr>
          <w:rFonts w:asciiTheme="majorHAnsi" w:hAnsiTheme="majorHAnsi"/>
          <w:sz w:val="22"/>
          <w:szCs w:val="22"/>
        </w:rPr>
      </w:pPr>
    </w:p>
    <w:p w14:paraId="0BFFD6DF" w14:textId="77777777" w:rsidR="004B3171" w:rsidRDefault="004B3171" w:rsidP="004B3171">
      <w:pPr>
        <w:rPr>
          <w:rFonts w:asciiTheme="majorHAnsi" w:hAnsiTheme="majorHAnsi"/>
          <w:sz w:val="22"/>
          <w:szCs w:val="22"/>
        </w:rPr>
      </w:pPr>
    </w:p>
    <w:p w14:paraId="0BFFD6E0" w14:textId="77777777" w:rsidR="00193E06" w:rsidRDefault="00193E06" w:rsidP="004B3171">
      <w:pPr>
        <w:rPr>
          <w:rFonts w:asciiTheme="majorHAnsi" w:hAnsiTheme="majorHAnsi"/>
          <w:sz w:val="22"/>
          <w:szCs w:val="22"/>
        </w:rPr>
      </w:pPr>
    </w:p>
    <w:p w14:paraId="0BFFD6E1" w14:textId="77777777" w:rsidR="00193E06" w:rsidRPr="00193E06" w:rsidRDefault="00193E06" w:rsidP="004B3171">
      <w:pPr>
        <w:rPr>
          <w:rFonts w:asciiTheme="majorHAnsi" w:hAnsiTheme="majorHAnsi"/>
          <w:sz w:val="22"/>
          <w:szCs w:val="22"/>
        </w:rPr>
      </w:pPr>
    </w:p>
    <w:p w14:paraId="0BFFD6E2" w14:textId="77777777" w:rsidR="004B3171" w:rsidRPr="00193E06" w:rsidRDefault="004B3171" w:rsidP="004B3171">
      <w:pPr>
        <w:rPr>
          <w:rFonts w:asciiTheme="majorHAnsi" w:hAnsiTheme="majorHAnsi"/>
          <w:sz w:val="22"/>
          <w:szCs w:val="22"/>
        </w:rPr>
      </w:pPr>
    </w:p>
    <w:p w14:paraId="0BFFD6E3" w14:textId="77777777" w:rsidR="004B3171" w:rsidRPr="00193E06" w:rsidRDefault="004B3171" w:rsidP="004B3171">
      <w:pPr>
        <w:rPr>
          <w:rFonts w:asciiTheme="majorHAnsi" w:hAnsiTheme="majorHAnsi"/>
          <w:sz w:val="22"/>
          <w:szCs w:val="22"/>
        </w:rPr>
      </w:pPr>
    </w:p>
    <w:p w14:paraId="0BFFD6E4" w14:textId="77777777" w:rsidR="00C554CA" w:rsidRDefault="00C554CA">
      <w:pPr>
        <w:spacing w:line="276" w:lineRule="auto"/>
        <w:rPr>
          <w:rFonts w:asciiTheme="majorHAnsi" w:hAnsiTheme="majorHAnsi" w:cs="Segoe UI"/>
          <w:b/>
          <w:sz w:val="22"/>
          <w:szCs w:val="22"/>
        </w:rPr>
      </w:pPr>
      <w:r>
        <w:rPr>
          <w:rFonts w:asciiTheme="majorHAnsi" w:hAnsiTheme="majorHAnsi" w:cs="Segoe UI"/>
          <w:b/>
          <w:sz w:val="22"/>
          <w:szCs w:val="22"/>
        </w:rPr>
        <w:br w:type="page"/>
      </w:r>
    </w:p>
    <w:p w14:paraId="0BFFD6E5" w14:textId="77777777" w:rsidR="004B3171" w:rsidRPr="00193E06" w:rsidRDefault="004B3171" w:rsidP="004B3171">
      <w:pPr>
        <w:pBdr>
          <w:bottom w:val="single" w:sz="4" w:space="1" w:color="auto"/>
        </w:pBdr>
        <w:spacing w:after="400"/>
        <w:contextualSpacing/>
        <w:rPr>
          <w:rFonts w:asciiTheme="majorHAnsi" w:hAnsiTheme="majorHAnsi" w:cs="Segoe UI"/>
          <w:b/>
          <w:sz w:val="22"/>
          <w:szCs w:val="22"/>
        </w:rPr>
      </w:pPr>
      <w:r w:rsidRPr="00193E06">
        <w:rPr>
          <w:rFonts w:asciiTheme="majorHAnsi" w:hAnsiTheme="majorHAnsi" w:cs="Segoe UI"/>
          <w:b/>
          <w:sz w:val="22"/>
          <w:szCs w:val="22"/>
        </w:rPr>
        <w:lastRenderedPageBreak/>
        <w:t xml:space="preserve">Massachusetts Statute &amp; Regulations Crosswalk: Preliminary License </w:t>
      </w:r>
    </w:p>
    <w:p w14:paraId="0BFFD6E6" w14:textId="77777777" w:rsidR="004B3171" w:rsidRPr="00193E06" w:rsidRDefault="004B3171" w:rsidP="004B3171">
      <w:pPr>
        <w:spacing w:after="160" w:line="259" w:lineRule="auto"/>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Overview</w:t>
      </w:r>
    </w:p>
    <w:p w14:paraId="0BFFD6E7" w14:textId="77777777" w:rsidR="004B3171" w:rsidRPr="00193E06" w:rsidRDefault="004B3171" w:rsidP="004B3171">
      <w:pPr>
        <w:spacing w:after="160" w:line="259" w:lineRule="auto"/>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This document is a summary of the statutory (71 § 38G) and corresponding regulatory (603 CMR 7.00) aspects of the Preliminary license in the Commonwealth. Each section has a table divided by statute, regulations and draft recommendations for the discussion with the working group.   </w:t>
      </w:r>
    </w:p>
    <w:p w14:paraId="0BFFD6E8" w14:textId="77777777" w:rsidR="004B3171" w:rsidRPr="00193E06" w:rsidRDefault="004B3171" w:rsidP="004B3171">
      <w:pPr>
        <w:rPr>
          <w:rFonts w:asciiTheme="majorHAnsi" w:hAnsiTheme="majorHAnsi"/>
          <w:sz w:val="22"/>
          <w:szCs w:val="22"/>
        </w:rPr>
      </w:pPr>
      <w:r w:rsidRPr="00193E06">
        <w:rPr>
          <w:rFonts w:asciiTheme="majorHAnsi" w:hAnsiTheme="majorHAnsi"/>
          <w:b/>
          <w:sz w:val="22"/>
          <w:szCs w:val="22"/>
        </w:rPr>
        <w:t xml:space="preserve">Purpose: </w:t>
      </w:r>
      <w:r w:rsidRPr="00193E06">
        <w:rPr>
          <w:rFonts w:asciiTheme="majorHAnsi" w:hAnsiTheme="majorHAnsi"/>
          <w:sz w:val="22"/>
          <w:szCs w:val="22"/>
        </w:rPr>
        <w:t xml:space="preserve">A license issued to a person who holds a bachelor's degree and has passed the Massachusetts Tests for Educator Licensure (MTEL) and met other eligibility requirements established by the Board, valid for 5 years of employment. </w:t>
      </w:r>
    </w:p>
    <w:tbl>
      <w:tblPr>
        <w:tblStyle w:val="TableGrid1"/>
        <w:tblW w:w="14328" w:type="dxa"/>
        <w:tblLook w:val="04A0" w:firstRow="1" w:lastRow="0" w:firstColumn="1" w:lastColumn="0" w:noHBand="0" w:noVBand="1"/>
      </w:tblPr>
      <w:tblGrid>
        <w:gridCol w:w="1870"/>
        <w:gridCol w:w="2918"/>
        <w:gridCol w:w="9540"/>
      </w:tblGrid>
      <w:tr w:rsidR="004B3171" w:rsidRPr="00193E06" w14:paraId="0BFFD6EC" w14:textId="77777777" w:rsidTr="00321F4F">
        <w:tc>
          <w:tcPr>
            <w:tcW w:w="1870" w:type="dxa"/>
            <w:tcBorders>
              <w:bottom w:val="single" w:sz="4" w:space="0" w:color="auto"/>
            </w:tcBorders>
            <w:shd w:val="clear" w:color="auto" w:fill="5B9BD5"/>
          </w:tcPr>
          <w:p w14:paraId="0BFFD6E9" w14:textId="77777777" w:rsidR="004B3171" w:rsidRPr="00193E06" w:rsidRDefault="004B3171" w:rsidP="00193E06">
            <w:pPr>
              <w:tabs>
                <w:tab w:val="center" w:pos="4680"/>
                <w:tab w:val="right" w:pos="9360"/>
              </w:tabs>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Statutory Name</w:t>
            </w:r>
          </w:p>
        </w:tc>
        <w:tc>
          <w:tcPr>
            <w:tcW w:w="2918" w:type="dxa"/>
            <w:tcBorders>
              <w:bottom w:val="single" w:sz="4" w:space="0" w:color="auto"/>
            </w:tcBorders>
            <w:shd w:val="clear" w:color="auto" w:fill="5B9BD5"/>
          </w:tcPr>
          <w:p w14:paraId="0BFFD6EA" w14:textId="77777777" w:rsidR="004B3171" w:rsidRPr="00193E06" w:rsidRDefault="004B3171" w:rsidP="00193E06">
            <w:pPr>
              <w:tabs>
                <w:tab w:val="center" w:pos="4680"/>
                <w:tab w:val="right" w:pos="9360"/>
              </w:tabs>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Statute</w:t>
            </w:r>
          </w:p>
        </w:tc>
        <w:tc>
          <w:tcPr>
            <w:tcW w:w="9540" w:type="dxa"/>
            <w:tcBorders>
              <w:bottom w:val="single" w:sz="4" w:space="0" w:color="auto"/>
            </w:tcBorders>
            <w:shd w:val="clear" w:color="auto" w:fill="5B9BD5"/>
          </w:tcPr>
          <w:p w14:paraId="0BFFD6EB" w14:textId="77777777" w:rsidR="004B3171" w:rsidRPr="00193E06" w:rsidRDefault="00C364D3" w:rsidP="00193E06">
            <w:pPr>
              <w:tabs>
                <w:tab w:val="center" w:pos="4680"/>
                <w:tab w:val="right" w:pos="9360"/>
              </w:tabs>
              <w:jc w:val="center"/>
              <w:rPr>
                <w:rFonts w:asciiTheme="majorHAnsi" w:eastAsia="Calibri" w:hAnsiTheme="majorHAnsi" w:cs="Segoe UI"/>
                <w:b/>
                <w:color w:val="auto"/>
                <w:sz w:val="22"/>
                <w:szCs w:val="22"/>
              </w:rPr>
            </w:pPr>
            <w:hyperlink r:id="rId11" w:history="1">
              <w:r w:rsidR="004B3171" w:rsidRPr="00193E06">
                <w:rPr>
                  <w:rFonts w:asciiTheme="majorHAnsi" w:eastAsia="Calibri" w:hAnsiTheme="majorHAnsi" w:cs="Segoe UI"/>
                  <w:b/>
                  <w:color w:val="auto"/>
                  <w:sz w:val="22"/>
                  <w:szCs w:val="22"/>
                  <w:u w:val="single"/>
                </w:rPr>
                <w:t>Regulations</w:t>
              </w:r>
            </w:hyperlink>
          </w:p>
        </w:tc>
      </w:tr>
      <w:tr w:rsidR="004B3171" w:rsidRPr="00193E06" w14:paraId="0BFFD705" w14:textId="77777777" w:rsidTr="00321F4F">
        <w:tc>
          <w:tcPr>
            <w:tcW w:w="1870" w:type="dxa"/>
            <w:tcBorders>
              <w:bottom w:val="single" w:sz="4" w:space="0" w:color="auto"/>
            </w:tcBorders>
            <w:shd w:val="clear" w:color="auto" w:fill="FFF2CC"/>
          </w:tcPr>
          <w:p w14:paraId="0BFFD6ED" w14:textId="77777777" w:rsidR="004B3171" w:rsidRPr="00193E06" w:rsidRDefault="004B3171" w:rsidP="00193E06">
            <w:p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Provisional Educator Certificate</w:t>
            </w:r>
          </w:p>
        </w:tc>
        <w:tc>
          <w:tcPr>
            <w:tcW w:w="2918" w:type="dxa"/>
            <w:tcBorders>
              <w:bottom w:val="single" w:sz="4" w:space="0" w:color="auto"/>
            </w:tcBorders>
            <w:shd w:val="clear" w:color="auto" w:fill="FFF2CC"/>
          </w:tcPr>
          <w:p w14:paraId="0BFFD6EE"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License to teach for person who has successfully met board approved preparation &amp; eligibility requirements</w:t>
            </w:r>
          </w:p>
          <w:p w14:paraId="0BFFD6EF"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Valid for 5 years</w:t>
            </w:r>
          </w:p>
          <w:p w14:paraId="0BFFD6F0"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Bachelor’s degree from an accredited college with a major appropriate to instructional field</w:t>
            </w:r>
          </w:p>
          <w:p w14:paraId="0BFFD6F1"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MTELs</w:t>
            </w:r>
          </w:p>
          <w:p w14:paraId="0BFFD6F2"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Sound moral character</w:t>
            </w:r>
          </w:p>
          <w:p w14:paraId="0BFFD6F3"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Comprehensive induction and support by hiring/employing district</w:t>
            </w:r>
          </w:p>
        </w:tc>
        <w:tc>
          <w:tcPr>
            <w:tcW w:w="9540" w:type="dxa"/>
            <w:tcBorders>
              <w:bottom w:val="single" w:sz="4" w:space="0" w:color="auto"/>
            </w:tcBorders>
            <w:shd w:val="clear" w:color="auto" w:fill="FFF2CC"/>
          </w:tcPr>
          <w:p w14:paraId="0BFFD6F4"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Bachelor’s degree</w:t>
            </w:r>
          </w:p>
          <w:p w14:paraId="0BFFD6F5" w14:textId="77777777" w:rsidR="004B3171" w:rsidRPr="00193E06" w:rsidRDefault="004B3171" w:rsidP="004B3171">
            <w:pPr>
              <w:numPr>
                <w:ilvl w:val="0"/>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 xml:space="preserve">Communication &amp; Literacy Skills &amp; subject matter MTEL exam </w:t>
            </w:r>
          </w:p>
          <w:p w14:paraId="0BFFD6F6"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Competency Review if</w:t>
            </w:r>
          </w:p>
          <w:p w14:paraId="0BFFD6F7"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Moderate disabilities, severe disabilities, Deaf and Hard of Hearing &amp; visually impaired.</w:t>
            </w:r>
          </w:p>
          <w:p w14:paraId="0BFFD6F8"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No MTEL available</w:t>
            </w:r>
          </w:p>
          <w:p w14:paraId="0BFFD6F9"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Early Childhood, elementary, moderate disabilities &amp; visually impaired require:</w:t>
            </w:r>
          </w:p>
          <w:p w14:paraId="0BFFD6FA"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 xml:space="preserve">Reading, ELA, Math seminars or courses </w:t>
            </w:r>
          </w:p>
          <w:p w14:paraId="0BFFD6FB"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Seminars or courses on ways to prepare and maintain students with disabilities for general classrooms</w:t>
            </w:r>
          </w:p>
          <w:p w14:paraId="0BFFD6FC"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Foundations of Reading test</w:t>
            </w:r>
          </w:p>
          <w:p w14:paraId="0BFFD6FD"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Severe. Disabilities requires:</w:t>
            </w:r>
          </w:p>
          <w:p w14:paraId="0BFFD6FE"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 xml:space="preserve">Reading, ELA, Math seminars or courses </w:t>
            </w:r>
          </w:p>
          <w:p w14:paraId="0BFFD6FF"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Seminars or courses on ways to prepare and maintain students with disabilities for general classrooms</w:t>
            </w:r>
          </w:p>
          <w:p w14:paraId="0BFFD700" w14:textId="77777777" w:rsidR="004B3171" w:rsidRPr="00193E06" w:rsidRDefault="004B3171" w:rsidP="004B3171">
            <w:pPr>
              <w:numPr>
                <w:ilvl w:val="0"/>
                <w:numId w:val="1"/>
              </w:numPr>
              <w:spacing w:after="200"/>
              <w:contextualSpacing/>
              <w:rPr>
                <w:rFonts w:asciiTheme="majorHAnsi" w:eastAsia="Calibri" w:hAnsiTheme="majorHAnsi" w:cs="Segoe UI"/>
                <w:color w:val="auto"/>
                <w:szCs w:val="18"/>
              </w:rPr>
            </w:pPr>
            <w:r w:rsidRPr="00193E06">
              <w:rPr>
                <w:rFonts w:asciiTheme="majorHAnsi" w:eastAsia="Calibri" w:hAnsiTheme="majorHAnsi" w:cs="Segoe UI"/>
                <w:color w:val="auto"/>
                <w:szCs w:val="18"/>
              </w:rPr>
              <w:t>Deaf and Hard of Hearing requires:</w:t>
            </w:r>
          </w:p>
          <w:p w14:paraId="0BFFD701"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 xml:space="preserve">Reading, ELA, Math seminars or courses  </w:t>
            </w:r>
          </w:p>
          <w:p w14:paraId="0BFFD702"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Seminars or courses on ways to prepare and maintain students with disabilities for general classrooms</w:t>
            </w:r>
          </w:p>
          <w:p w14:paraId="0BFFD703" w14:textId="77777777" w:rsidR="004B3171" w:rsidRPr="00193E06" w:rsidRDefault="004B3171" w:rsidP="004B3171">
            <w:pPr>
              <w:numPr>
                <w:ilvl w:val="1"/>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Passing score on either a test of the teaching of reading to deaf and hard-of-hearing students approved by the Department, when available, or the Foundations of Reading test</w:t>
            </w:r>
          </w:p>
          <w:p w14:paraId="0BFFD704" w14:textId="77777777" w:rsidR="004B3171" w:rsidRPr="00193E06" w:rsidRDefault="004B3171" w:rsidP="004B3171">
            <w:pPr>
              <w:numPr>
                <w:ilvl w:val="0"/>
                <w:numId w:val="1"/>
              </w:numPr>
              <w:spacing w:after="200"/>
              <w:rPr>
                <w:rFonts w:asciiTheme="majorHAnsi" w:eastAsia="Calibri" w:hAnsiTheme="majorHAnsi" w:cs="Segoe UI"/>
                <w:color w:val="auto"/>
                <w:szCs w:val="18"/>
              </w:rPr>
            </w:pPr>
            <w:r w:rsidRPr="00193E06">
              <w:rPr>
                <w:rFonts w:asciiTheme="majorHAnsi" w:eastAsia="Calibri" w:hAnsiTheme="majorHAnsi" w:cs="Segoe UI"/>
                <w:color w:val="auto"/>
                <w:szCs w:val="18"/>
              </w:rPr>
              <w:t>Sound moral character</w:t>
            </w:r>
          </w:p>
        </w:tc>
      </w:tr>
    </w:tbl>
    <w:p w14:paraId="0BFFD706" w14:textId="77777777" w:rsidR="004B3171" w:rsidRPr="00193E06" w:rsidRDefault="004B3171" w:rsidP="00193E06">
      <w:pPr>
        <w:spacing w:after="160" w:line="259" w:lineRule="auto"/>
        <w:rPr>
          <w:rFonts w:asciiTheme="majorHAnsi" w:hAnsiTheme="majorHAnsi"/>
          <w:b/>
          <w:sz w:val="22"/>
          <w:szCs w:val="22"/>
        </w:rPr>
      </w:pPr>
    </w:p>
    <w:p w14:paraId="0BFFD707" w14:textId="77777777" w:rsidR="00C554CA" w:rsidRDefault="00C554CA" w:rsidP="004B3171">
      <w:pPr>
        <w:rPr>
          <w:rFonts w:asciiTheme="majorHAnsi" w:hAnsiTheme="majorHAnsi"/>
          <w:b/>
          <w:sz w:val="22"/>
          <w:szCs w:val="22"/>
        </w:rPr>
      </w:pPr>
    </w:p>
    <w:p w14:paraId="0BFFD708" w14:textId="77777777" w:rsidR="00C554CA" w:rsidRDefault="00C554CA" w:rsidP="004B3171">
      <w:pPr>
        <w:rPr>
          <w:rFonts w:asciiTheme="majorHAnsi" w:hAnsiTheme="majorHAnsi"/>
          <w:b/>
          <w:sz w:val="22"/>
          <w:szCs w:val="22"/>
        </w:rPr>
      </w:pPr>
    </w:p>
    <w:p w14:paraId="0BFFD709" w14:textId="77777777" w:rsidR="00C554CA" w:rsidRDefault="00C554CA" w:rsidP="004B3171">
      <w:pPr>
        <w:rPr>
          <w:rFonts w:asciiTheme="majorHAnsi" w:hAnsiTheme="majorHAnsi"/>
          <w:b/>
          <w:sz w:val="22"/>
          <w:szCs w:val="22"/>
        </w:rPr>
      </w:pPr>
    </w:p>
    <w:p w14:paraId="0BFFD70A" w14:textId="77777777" w:rsidR="004B3171" w:rsidRPr="00C554CA" w:rsidRDefault="004B3171" w:rsidP="004B3171">
      <w:pPr>
        <w:rPr>
          <w:rFonts w:asciiTheme="majorHAnsi" w:hAnsiTheme="majorHAnsi"/>
          <w:b/>
          <w:sz w:val="22"/>
          <w:szCs w:val="22"/>
        </w:rPr>
      </w:pPr>
      <w:r w:rsidRPr="00193E06">
        <w:rPr>
          <w:rFonts w:asciiTheme="majorHAnsi" w:hAnsiTheme="majorHAnsi"/>
          <w:b/>
          <w:sz w:val="22"/>
          <w:szCs w:val="22"/>
        </w:rPr>
        <w:t xml:space="preserve">Data: </w:t>
      </w:r>
    </w:p>
    <w:tbl>
      <w:tblPr>
        <w:tblW w:w="1072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080"/>
        <w:gridCol w:w="1032"/>
        <w:gridCol w:w="1032"/>
        <w:gridCol w:w="1129"/>
        <w:gridCol w:w="1032"/>
        <w:gridCol w:w="1032"/>
        <w:gridCol w:w="951"/>
        <w:gridCol w:w="1440"/>
      </w:tblGrid>
      <w:tr w:rsidR="004B3171" w:rsidRPr="00193E06" w14:paraId="0BFFD713" w14:textId="77777777" w:rsidTr="00193E06">
        <w:trPr>
          <w:trHeight w:val="300"/>
        </w:trPr>
        <w:tc>
          <w:tcPr>
            <w:tcW w:w="3080" w:type="dxa"/>
            <w:shd w:val="clear" w:color="auto" w:fill="4F81BD"/>
            <w:noWrap/>
            <w:hideMark/>
          </w:tcPr>
          <w:p w14:paraId="0BFFD70B" w14:textId="77777777" w:rsidR="004B3171" w:rsidRPr="00193E06" w:rsidRDefault="004B3171" w:rsidP="00193E06">
            <w:pPr>
              <w:spacing w:after="0"/>
              <w:rPr>
                <w:rFonts w:asciiTheme="majorHAnsi" w:hAnsiTheme="majorHAnsi"/>
                <w:b/>
                <w:bCs/>
                <w:sz w:val="22"/>
                <w:szCs w:val="22"/>
              </w:rPr>
            </w:pPr>
          </w:p>
        </w:tc>
        <w:tc>
          <w:tcPr>
            <w:tcW w:w="1032" w:type="dxa"/>
            <w:shd w:val="clear" w:color="auto" w:fill="4F81BD"/>
            <w:noWrap/>
            <w:hideMark/>
          </w:tcPr>
          <w:p w14:paraId="0BFFD70C"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2011</w:t>
            </w:r>
          </w:p>
        </w:tc>
        <w:tc>
          <w:tcPr>
            <w:tcW w:w="1032" w:type="dxa"/>
            <w:shd w:val="clear" w:color="auto" w:fill="4F81BD"/>
            <w:noWrap/>
            <w:hideMark/>
          </w:tcPr>
          <w:p w14:paraId="0BFFD70D"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2012</w:t>
            </w:r>
          </w:p>
        </w:tc>
        <w:tc>
          <w:tcPr>
            <w:tcW w:w="1129" w:type="dxa"/>
            <w:shd w:val="clear" w:color="auto" w:fill="4F81BD"/>
            <w:noWrap/>
            <w:hideMark/>
          </w:tcPr>
          <w:p w14:paraId="0BFFD70E"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2013</w:t>
            </w:r>
          </w:p>
        </w:tc>
        <w:tc>
          <w:tcPr>
            <w:tcW w:w="1032" w:type="dxa"/>
            <w:shd w:val="clear" w:color="auto" w:fill="4F81BD"/>
            <w:noWrap/>
            <w:hideMark/>
          </w:tcPr>
          <w:p w14:paraId="0BFFD70F"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2014</w:t>
            </w:r>
          </w:p>
        </w:tc>
        <w:tc>
          <w:tcPr>
            <w:tcW w:w="1032" w:type="dxa"/>
            <w:shd w:val="clear" w:color="auto" w:fill="4F81BD"/>
            <w:noWrap/>
            <w:hideMark/>
          </w:tcPr>
          <w:p w14:paraId="0BFFD710"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2015</w:t>
            </w:r>
          </w:p>
        </w:tc>
        <w:tc>
          <w:tcPr>
            <w:tcW w:w="951" w:type="dxa"/>
            <w:shd w:val="clear" w:color="auto" w:fill="4F81BD"/>
          </w:tcPr>
          <w:p w14:paraId="0BFFD711"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2016*</w:t>
            </w:r>
          </w:p>
        </w:tc>
        <w:tc>
          <w:tcPr>
            <w:tcW w:w="1440" w:type="dxa"/>
            <w:shd w:val="clear" w:color="auto" w:fill="4F81BD"/>
            <w:noWrap/>
            <w:hideMark/>
          </w:tcPr>
          <w:p w14:paraId="0BFFD712"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Average</w:t>
            </w:r>
          </w:p>
        </w:tc>
      </w:tr>
      <w:tr w:rsidR="004B3171" w:rsidRPr="00193E06" w14:paraId="0BFFD71C" w14:textId="77777777" w:rsidTr="00193E06">
        <w:trPr>
          <w:trHeight w:val="300"/>
        </w:trPr>
        <w:tc>
          <w:tcPr>
            <w:tcW w:w="3080" w:type="dxa"/>
            <w:tcBorders>
              <w:top w:val="single" w:sz="8" w:space="0" w:color="4F81BD"/>
              <w:left w:val="single" w:sz="8" w:space="0" w:color="4F81BD"/>
              <w:bottom w:val="single" w:sz="8" w:space="0" w:color="4F81BD"/>
            </w:tcBorders>
            <w:noWrap/>
            <w:hideMark/>
          </w:tcPr>
          <w:p w14:paraId="0BFFD714" w14:textId="77777777" w:rsidR="004B3171" w:rsidRPr="00193E06" w:rsidRDefault="004B3171" w:rsidP="00193E06">
            <w:pPr>
              <w:spacing w:after="0"/>
              <w:rPr>
                <w:rFonts w:asciiTheme="majorHAnsi" w:hAnsiTheme="majorHAnsi"/>
                <w:b/>
                <w:bCs/>
                <w:sz w:val="22"/>
                <w:szCs w:val="22"/>
              </w:rPr>
            </w:pPr>
            <w:r w:rsidRPr="00193E06">
              <w:rPr>
                <w:rFonts w:asciiTheme="majorHAnsi" w:hAnsiTheme="majorHAnsi"/>
                <w:b/>
                <w:bCs/>
                <w:sz w:val="22"/>
                <w:szCs w:val="22"/>
              </w:rPr>
              <w:t>Total Preliminary Licenses</w:t>
            </w:r>
          </w:p>
        </w:tc>
        <w:tc>
          <w:tcPr>
            <w:tcW w:w="1032" w:type="dxa"/>
            <w:tcBorders>
              <w:top w:val="single" w:sz="8" w:space="0" w:color="4F81BD"/>
              <w:bottom w:val="single" w:sz="8" w:space="0" w:color="4F81BD"/>
            </w:tcBorders>
            <w:noWrap/>
            <w:hideMark/>
          </w:tcPr>
          <w:p w14:paraId="0BFFD715"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5,048</w:t>
            </w:r>
          </w:p>
        </w:tc>
        <w:tc>
          <w:tcPr>
            <w:tcW w:w="1032" w:type="dxa"/>
            <w:tcBorders>
              <w:top w:val="single" w:sz="8" w:space="0" w:color="4F81BD"/>
              <w:bottom w:val="single" w:sz="8" w:space="0" w:color="4F81BD"/>
            </w:tcBorders>
            <w:noWrap/>
            <w:hideMark/>
          </w:tcPr>
          <w:p w14:paraId="0BFFD716"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4,609</w:t>
            </w:r>
          </w:p>
        </w:tc>
        <w:tc>
          <w:tcPr>
            <w:tcW w:w="1129" w:type="dxa"/>
            <w:tcBorders>
              <w:top w:val="single" w:sz="8" w:space="0" w:color="4F81BD"/>
              <w:bottom w:val="single" w:sz="8" w:space="0" w:color="4F81BD"/>
            </w:tcBorders>
            <w:noWrap/>
            <w:hideMark/>
          </w:tcPr>
          <w:p w14:paraId="0BFFD717"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4,666</w:t>
            </w:r>
          </w:p>
        </w:tc>
        <w:tc>
          <w:tcPr>
            <w:tcW w:w="1032" w:type="dxa"/>
            <w:tcBorders>
              <w:top w:val="single" w:sz="8" w:space="0" w:color="4F81BD"/>
              <w:bottom w:val="single" w:sz="8" w:space="0" w:color="4F81BD"/>
            </w:tcBorders>
            <w:noWrap/>
            <w:hideMark/>
          </w:tcPr>
          <w:p w14:paraId="0BFFD718"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4,629</w:t>
            </w:r>
          </w:p>
        </w:tc>
        <w:tc>
          <w:tcPr>
            <w:tcW w:w="1032" w:type="dxa"/>
            <w:tcBorders>
              <w:top w:val="single" w:sz="8" w:space="0" w:color="4F81BD"/>
              <w:bottom w:val="single" w:sz="8" w:space="0" w:color="4F81BD"/>
            </w:tcBorders>
            <w:noWrap/>
            <w:hideMark/>
          </w:tcPr>
          <w:p w14:paraId="0BFFD719"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4,760</w:t>
            </w:r>
          </w:p>
        </w:tc>
        <w:tc>
          <w:tcPr>
            <w:tcW w:w="951" w:type="dxa"/>
            <w:tcBorders>
              <w:top w:val="single" w:sz="8" w:space="0" w:color="4F81BD"/>
              <w:bottom w:val="single" w:sz="8" w:space="0" w:color="4F81BD"/>
            </w:tcBorders>
          </w:tcPr>
          <w:p w14:paraId="0BFFD71A"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4,423</w:t>
            </w:r>
          </w:p>
        </w:tc>
        <w:tc>
          <w:tcPr>
            <w:tcW w:w="1440" w:type="dxa"/>
            <w:tcBorders>
              <w:top w:val="single" w:sz="8" w:space="0" w:color="4F81BD"/>
              <w:bottom w:val="single" w:sz="8" w:space="0" w:color="4F81BD"/>
              <w:right w:val="single" w:sz="8" w:space="0" w:color="4F81BD"/>
            </w:tcBorders>
            <w:noWrap/>
            <w:hideMark/>
          </w:tcPr>
          <w:p w14:paraId="0BFFD71B"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4,689</w:t>
            </w:r>
          </w:p>
        </w:tc>
      </w:tr>
    </w:tbl>
    <w:p w14:paraId="0BFFD71D" w14:textId="77777777" w:rsidR="004B3171" w:rsidRPr="00193E06" w:rsidRDefault="004B3171" w:rsidP="004B3171">
      <w:pPr>
        <w:rPr>
          <w:rFonts w:asciiTheme="majorHAnsi" w:hAnsiTheme="majorHAnsi"/>
          <w:sz w:val="22"/>
          <w:szCs w:val="22"/>
        </w:rPr>
      </w:pPr>
      <w:r w:rsidRPr="00193E06">
        <w:rPr>
          <w:rFonts w:asciiTheme="majorHAnsi" w:hAnsiTheme="majorHAnsi"/>
          <w:sz w:val="22"/>
          <w:szCs w:val="22"/>
        </w:rPr>
        <w:t>*As of December 1, 2016</w:t>
      </w:r>
    </w:p>
    <w:p w14:paraId="0BFFD71E" w14:textId="77777777" w:rsidR="004B3171" w:rsidRPr="00193E06" w:rsidRDefault="004B3171" w:rsidP="004B3171">
      <w:pPr>
        <w:rPr>
          <w:rFonts w:asciiTheme="majorHAnsi" w:hAnsiTheme="majorHAnsi"/>
          <w:sz w:val="22"/>
          <w:szCs w:val="22"/>
        </w:rPr>
      </w:pPr>
    </w:p>
    <w:p w14:paraId="0BFFD71F" w14:textId="77777777" w:rsidR="004B3171" w:rsidRPr="00193E06" w:rsidRDefault="004B3171" w:rsidP="004B3171">
      <w:pPr>
        <w:rPr>
          <w:rFonts w:asciiTheme="majorHAnsi" w:hAnsiTheme="majorHAnsi"/>
          <w:sz w:val="22"/>
          <w:szCs w:val="22"/>
          <w:u w:val="single"/>
        </w:rPr>
      </w:pPr>
      <w:r w:rsidRPr="00193E06">
        <w:rPr>
          <w:rFonts w:asciiTheme="majorHAnsi" w:hAnsiTheme="majorHAnsi"/>
          <w:sz w:val="22"/>
          <w:szCs w:val="22"/>
          <w:u w:val="single"/>
        </w:rPr>
        <w:t xml:space="preserve">“Top 10” fields for Preliminary licenses issued </w:t>
      </w:r>
      <w:proofErr w:type="gramStart"/>
      <w:r w:rsidRPr="00193E06">
        <w:rPr>
          <w:rFonts w:asciiTheme="majorHAnsi" w:hAnsiTheme="majorHAnsi"/>
          <w:sz w:val="22"/>
          <w:szCs w:val="22"/>
          <w:u w:val="single"/>
        </w:rPr>
        <w:t>between 2011-2015</w:t>
      </w:r>
      <w:proofErr w:type="gramEnd"/>
    </w:p>
    <w:tbl>
      <w:tblPr>
        <w:tblStyle w:val="LightList-Accent1"/>
        <w:tblW w:w="10220" w:type="dxa"/>
        <w:tblLook w:val="04A0" w:firstRow="1" w:lastRow="0" w:firstColumn="1" w:lastColumn="0" w:noHBand="0" w:noVBand="1"/>
      </w:tblPr>
      <w:tblGrid>
        <w:gridCol w:w="5420"/>
        <w:gridCol w:w="960"/>
        <w:gridCol w:w="960"/>
        <w:gridCol w:w="960"/>
        <w:gridCol w:w="960"/>
        <w:gridCol w:w="960"/>
      </w:tblGrid>
      <w:tr w:rsidR="004B3171" w:rsidRPr="00193E06" w14:paraId="0BFFD726" w14:textId="77777777" w:rsidTr="00193E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20"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 </w:t>
            </w:r>
          </w:p>
        </w:tc>
        <w:tc>
          <w:tcPr>
            <w:tcW w:w="960" w:type="dxa"/>
            <w:noWrap/>
            <w:hideMark/>
          </w:tcPr>
          <w:p w14:paraId="0BFFD721" w14:textId="77777777" w:rsidR="004B3171" w:rsidRPr="00193E06" w:rsidRDefault="004B3171" w:rsidP="00193E06">
            <w:pPr>
              <w:spacing w:after="20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2011</w:t>
            </w:r>
          </w:p>
        </w:tc>
        <w:tc>
          <w:tcPr>
            <w:tcW w:w="960" w:type="dxa"/>
            <w:noWrap/>
            <w:hideMark/>
          </w:tcPr>
          <w:p w14:paraId="0BFFD722" w14:textId="77777777" w:rsidR="004B3171" w:rsidRPr="00193E06" w:rsidRDefault="004B3171" w:rsidP="00193E06">
            <w:pPr>
              <w:spacing w:after="20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2012</w:t>
            </w:r>
          </w:p>
        </w:tc>
        <w:tc>
          <w:tcPr>
            <w:tcW w:w="960" w:type="dxa"/>
            <w:noWrap/>
            <w:hideMark/>
          </w:tcPr>
          <w:p w14:paraId="0BFFD723" w14:textId="77777777" w:rsidR="004B3171" w:rsidRPr="00193E06" w:rsidRDefault="004B3171" w:rsidP="00193E06">
            <w:pPr>
              <w:spacing w:after="20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2013</w:t>
            </w:r>
          </w:p>
        </w:tc>
        <w:tc>
          <w:tcPr>
            <w:tcW w:w="960" w:type="dxa"/>
            <w:noWrap/>
            <w:hideMark/>
          </w:tcPr>
          <w:p w14:paraId="0BFFD724" w14:textId="77777777" w:rsidR="004B3171" w:rsidRPr="00193E06" w:rsidRDefault="004B3171" w:rsidP="00193E06">
            <w:pPr>
              <w:spacing w:after="20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2014</w:t>
            </w:r>
          </w:p>
        </w:tc>
        <w:tc>
          <w:tcPr>
            <w:tcW w:w="960" w:type="dxa"/>
            <w:noWrap/>
            <w:hideMark/>
          </w:tcPr>
          <w:p w14:paraId="0BFFD725" w14:textId="77777777" w:rsidR="004B3171" w:rsidRPr="00193E06" w:rsidRDefault="004B3171" w:rsidP="00193E06">
            <w:pPr>
              <w:spacing w:after="20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2015</w:t>
            </w:r>
          </w:p>
        </w:tc>
      </w:tr>
      <w:tr w:rsidR="004B3171" w:rsidRPr="00193E06" w14:paraId="0BFFD72D"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27"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English</w:t>
            </w:r>
          </w:p>
        </w:tc>
        <w:tc>
          <w:tcPr>
            <w:tcW w:w="960" w:type="dxa"/>
            <w:noWrap/>
            <w:hideMark/>
          </w:tcPr>
          <w:p w14:paraId="0BFFD728"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458</w:t>
            </w:r>
          </w:p>
        </w:tc>
        <w:tc>
          <w:tcPr>
            <w:tcW w:w="960" w:type="dxa"/>
            <w:noWrap/>
            <w:hideMark/>
          </w:tcPr>
          <w:p w14:paraId="0BFFD729"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455</w:t>
            </w:r>
          </w:p>
        </w:tc>
        <w:tc>
          <w:tcPr>
            <w:tcW w:w="960" w:type="dxa"/>
            <w:noWrap/>
            <w:hideMark/>
          </w:tcPr>
          <w:p w14:paraId="0BFFD72A"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448</w:t>
            </w:r>
          </w:p>
        </w:tc>
        <w:tc>
          <w:tcPr>
            <w:tcW w:w="960" w:type="dxa"/>
            <w:noWrap/>
            <w:hideMark/>
          </w:tcPr>
          <w:p w14:paraId="0BFFD72B"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457</w:t>
            </w:r>
          </w:p>
        </w:tc>
        <w:tc>
          <w:tcPr>
            <w:tcW w:w="960" w:type="dxa"/>
            <w:noWrap/>
            <w:hideMark/>
          </w:tcPr>
          <w:p w14:paraId="0BFFD72C"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621</w:t>
            </w:r>
          </w:p>
        </w:tc>
      </w:tr>
      <w:tr w:rsidR="004B3171" w:rsidRPr="00193E06" w14:paraId="0BFFD734"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2E"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Mathematics</w:t>
            </w:r>
          </w:p>
        </w:tc>
        <w:tc>
          <w:tcPr>
            <w:tcW w:w="960" w:type="dxa"/>
            <w:noWrap/>
            <w:hideMark/>
          </w:tcPr>
          <w:p w14:paraId="0BFFD72F"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535</w:t>
            </w:r>
          </w:p>
        </w:tc>
        <w:tc>
          <w:tcPr>
            <w:tcW w:w="960" w:type="dxa"/>
            <w:noWrap/>
            <w:hideMark/>
          </w:tcPr>
          <w:p w14:paraId="0BFFD730"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481</w:t>
            </w:r>
          </w:p>
        </w:tc>
        <w:tc>
          <w:tcPr>
            <w:tcW w:w="960" w:type="dxa"/>
            <w:noWrap/>
            <w:hideMark/>
          </w:tcPr>
          <w:p w14:paraId="0BFFD731"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432</w:t>
            </w:r>
          </w:p>
        </w:tc>
        <w:tc>
          <w:tcPr>
            <w:tcW w:w="960" w:type="dxa"/>
            <w:noWrap/>
            <w:hideMark/>
          </w:tcPr>
          <w:p w14:paraId="0BFFD732"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415</w:t>
            </w:r>
          </w:p>
        </w:tc>
        <w:tc>
          <w:tcPr>
            <w:tcW w:w="960" w:type="dxa"/>
            <w:noWrap/>
            <w:hideMark/>
          </w:tcPr>
          <w:p w14:paraId="0BFFD733"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459</w:t>
            </w:r>
          </w:p>
        </w:tc>
      </w:tr>
      <w:tr w:rsidR="004B3171" w:rsidRPr="00193E06" w14:paraId="0BFFD73B"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35"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History</w:t>
            </w:r>
          </w:p>
        </w:tc>
        <w:tc>
          <w:tcPr>
            <w:tcW w:w="960" w:type="dxa"/>
            <w:noWrap/>
            <w:hideMark/>
          </w:tcPr>
          <w:p w14:paraId="0BFFD736"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402</w:t>
            </w:r>
          </w:p>
        </w:tc>
        <w:tc>
          <w:tcPr>
            <w:tcW w:w="960" w:type="dxa"/>
            <w:noWrap/>
            <w:hideMark/>
          </w:tcPr>
          <w:p w14:paraId="0BFFD737"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369</w:t>
            </w:r>
          </w:p>
        </w:tc>
        <w:tc>
          <w:tcPr>
            <w:tcW w:w="960" w:type="dxa"/>
            <w:noWrap/>
            <w:hideMark/>
          </w:tcPr>
          <w:p w14:paraId="0BFFD738"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352</w:t>
            </w:r>
          </w:p>
        </w:tc>
        <w:tc>
          <w:tcPr>
            <w:tcW w:w="960" w:type="dxa"/>
            <w:noWrap/>
            <w:hideMark/>
          </w:tcPr>
          <w:p w14:paraId="0BFFD739"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394</w:t>
            </w:r>
          </w:p>
        </w:tc>
        <w:tc>
          <w:tcPr>
            <w:tcW w:w="960" w:type="dxa"/>
            <w:noWrap/>
            <w:hideMark/>
          </w:tcPr>
          <w:p w14:paraId="0BFFD73A"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537</w:t>
            </w:r>
          </w:p>
        </w:tc>
      </w:tr>
      <w:tr w:rsidR="004B3171" w:rsidRPr="00193E06" w14:paraId="0BFFD742"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3C"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Moderate Disabilities</w:t>
            </w:r>
          </w:p>
        </w:tc>
        <w:tc>
          <w:tcPr>
            <w:tcW w:w="960" w:type="dxa"/>
            <w:noWrap/>
            <w:hideMark/>
          </w:tcPr>
          <w:p w14:paraId="0BFFD73D"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416</w:t>
            </w:r>
          </w:p>
        </w:tc>
        <w:tc>
          <w:tcPr>
            <w:tcW w:w="960" w:type="dxa"/>
            <w:noWrap/>
            <w:hideMark/>
          </w:tcPr>
          <w:p w14:paraId="0BFFD73E" w14:textId="77777777" w:rsidR="004B3171" w:rsidRPr="00193E06" w:rsidRDefault="004B3171" w:rsidP="00193E06">
            <w:pPr>
              <w:tabs>
                <w:tab w:val="center" w:pos="4680"/>
                <w:tab w:val="right" w:pos="9360"/>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335</w:t>
            </w:r>
          </w:p>
        </w:tc>
        <w:tc>
          <w:tcPr>
            <w:tcW w:w="960" w:type="dxa"/>
            <w:noWrap/>
            <w:hideMark/>
          </w:tcPr>
          <w:p w14:paraId="0BFFD73F" w14:textId="77777777" w:rsidR="004B3171" w:rsidRPr="00193E06" w:rsidRDefault="004B3171" w:rsidP="00193E06">
            <w:pPr>
              <w:tabs>
                <w:tab w:val="center" w:pos="4680"/>
                <w:tab w:val="right" w:pos="9360"/>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285</w:t>
            </w:r>
          </w:p>
        </w:tc>
        <w:tc>
          <w:tcPr>
            <w:tcW w:w="960" w:type="dxa"/>
            <w:noWrap/>
            <w:hideMark/>
          </w:tcPr>
          <w:p w14:paraId="0BFFD740" w14:textId="77777777" w:rsidR="004B3171" w:rsidRPr="00193E06" w:rsidRDefault="004B3171" w:rsidP="00193E06">
            <w:pPr>
              <w:tabs>
                <w:tab w:val="center" w:pos="4680"/>
                <w:tab w:val="right" w:pos="9360"/>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295</w:t>
            </w:r>
          </w:p>
        </w:tc>
        <w:tc>
          <w:tcPr>
            <w:tcW w:w="960" w:type="dxa"/>
            <w:noWrap/>
            <w:hideMark/>
          </w:tcPr>
          <w:p w14:paraId="0BFFD741" w14:textId="77777777" w:rsidR="004B3171" w:rsidRPr="00193E06" w:rsidRDefault="004B3171" w:rsidP="00193E06">
            <w:pPr>
              <w:tabs>
                <w:tab w:val="center" w:pos="4680"/>
                <w:tab w:val="right" w:pos="9360"/>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417</w:t>
            </w:r>
          </w:p>
        </w:tc>
      </w:tr>
      <w:tr w:rsidR="004B3171" w:rsidRPr="00193E06" w14:paraId="0BFFD749"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43" w14:textId="77777777" w:rsidR="004B3171" w:rsidRPr="00193E06" w:rsidRDefault="004B3171" w:rsidP="00193E06">
            <w:pPr>
              <w:tabs>
                <w:tab w:val="center" w:pos="4680"/>
                <w:tab w:val="right" w:pos="9360"/>
              </w:tabs>
              <w:rPr>
                <w:rFonts w:asciiTheme="majorHAnsi" w:hAnsiTheme="majorHAnsi" w:cs="Times New Roman"/>
                <w:sz w:val="22"/>
                <w:szCs w:val="22"/>
              </w:rPr>
            </w:pPr>
            <w:r w:rsidRPr="00193E06">
              <w:rPr>
                <w:rFonts w:asciiTheme="majorHAnsi" w:hAnsiTheme="majorHAnsi" w:cs="Times New Roman"/>
                <w:sz w:val="22"/>
                <w:szCs w:val="22"/>
              </w:rPr>
              <w:t>Elementary</w:t>
            </w:r>
          </w:p>
        </w:tc>
        <w:tc>
          <w:tcPr>
            <w:tcW w:w="960" w:type="dxa"/>
            <w:noWrap/>
            <w:hideMark/>
          </w:tcPr>
          <w:p w14:paraId="0BFFD744" w14:textId="77777777" w:rsidR="004B3171" w:rsidRPr="00193E06" w:rsidRDefault="004B3171" w:rsidP="00193E06">
            <w:pPr>
              <w:tabs>
                <w:tab w:val="center" w:pos="4680"/>
                <w:tab w:val="right" w:pos="9360"/>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308</w:t>
            </w:r>
          </w:p>
        </w:tc>
        <w:tc>
          <w:tcPr>
            <w:tcW w:w="960" w:type="dxa"/>
            <w:noWrap/>
            <w:hideMark/>
          </w:tcPr>
          <w:p w14:paraId="0BFFD745" w14:textId="77777777" w:rsidR="004B3171" w:rsidRPr="00193E06" w:rsidRDefault="004B3171" w:rsidP="00193E06">
            <w:pPr>
              <w:tabs>
                <w:tab w:val="center" w:pos="4680"/>
                <w:tab w:val="right" w:pos="9360"/>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272</w:t>
            </w:r>
          </w:p>
        </w:tc>
        <w:tc>
          <w:tcPr>
            <w:tcW w:w="960" w:type="dxa"/>
            <w:noWrap/>
            <w:hideMark/>
          </w:tcPr>
          <w:p w14:paraId="0BFFD746"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286</w:t>
            </w:r>
          </w:p>
        </w:tc>
        <w:tc>
          <w:tcPr>
            <w:tcW w:w="960" w:type="dxa"/>
            <w:noWrap/>
            <w:hideMark/>
          </w:tcPr>
          <w:p w14:paraId="0BFFD747"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345</w:t>
            </w:r>
          </w:p>
        </w:tc>
        <w:tc>
          <w:tcPr>
            <w:tcW w:w="960" w:type="dxa"/>
            <w:noWrap/>
            <w:hideMark/>
          </w:tcPr>
          <w:p w14:paraId="0BFFD748"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534</w:t>
            </w:r>
          </w:p>
        </w:tc>
      </w:tr>
      <w:tr w:rsidR="004B3171" w:rsidRPr="00193E06" w14:paraId="0BFFD750"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4A"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English as a Second Language</w:t>
            </w:r>
          </w:p>
        </w:tc>
        <w:tc>
          <w:tcPr>
            <w:tcW w:w="960" w:type="dxa"/>
            <w:noWrap/>
            <w:hideMark/>
          </w:tcPr>
          <w:p w14:paraId="0BFFD74B"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285</w:t>
            </w:r>
          </w:p>
        </w:tc>
        <w:tc>
          <w:tcPr>
            <w:tcW w:w="960" w:type="dxa"/>
            <w:noWrap/>
            <w:hideMark/>
          </w:tcPr>
          <w:p w14:paraId="0BFFD74C"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287</w:t>
            </w:r>
          </w:p>
        </w:tc>
        <w:tc>
          <w:tcPr>
            <w:tcW w:w="960" w:type="dxa"/>
            <w:noWrap/>
            <w:hideMark/>
          </w:tcPr>
          <w:p w14:paraId="0BFFD74D"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326</w:t>
            </w:r>
          </w:p>
        </w:tc>
        <w:tc>
          <w:tcPr>
            <w:tcW w:w="960" w:type="dxa"/>
            <w:noWrap/>
            <w:hideMark/>
          </w:tcPr>
          <w:p w14:paraId="0BFFD74E"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170</w:t>
            </w:r>
          </w:p>
        </w:tc>
        <w:tc>
          <w:tcPr>
            <w:tcW w:w="960" w:type="dxa"/>
            <w:noWrap/>
            <w:hideMark/>
          </w:tcPr>
          <w:p w14:paraId="0BFFD74F"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293</w:t>
            </w:r>
          </w:p>
        </w:tc>
      </w:tr>
      <w:tr w:rsidR="004B3171" w:rsidRPr="00193E06" w14:paraId="0BFFD757"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51"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Biology</w:t>
            </w:r>
          </w:p>
        </w:tc>
        <w:tc>
          <w:tcPr>
            <w:tcW w:w="960" w:type="dxa"/>
            <w:noWrap/>
            <w:hideMark/>
          </w:tcPr>
          <w:p w14:paraId="0BFFD752"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190</w:t>
            </w:r>
          </w:p>
        </w:tc>
        <w:tc>
          <w:tcPr>
            <w:tcW w:w="960" w:type="dxa"/>
            <w:noWrap/>
            <w:hideMark/>
          </w:tcPr>
          <w:p w14:paraId="0BFFD753"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165</w:t>
            </w:r>
          </w:p>
        </w:tc>
        <w:tc>
          <w:tcPr>
            <w:tcW w:w="960" w:type="dxa"/>
            <w:noWrap/>
            <w:hideMark/>
          </w:tcPr>
          <w:p w14:paraId="0BFFD754"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156</w:t>
            </w:r>
          </w:p>
        </w:tc>
        <w:tc>
          <w:tcPr>
            <w:tcW w:w="960" w:type="dxa"/>
            <w:noWrap/>
            <w:hideMark/>
          </w:tcPr>
          <w:p w14:paraId="0BFFD755"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154</w:t>
            </w:r>
          </w:p>
        </w:tc>
        <w:tc>
          <w:tcPr>
            <w:tcW w:w="960" w:type="dxa"/>
            <w:noWrap/>
            <w:hideMark/>
          </w:tcPr>
          <w:p w14:paraId="0BFFD756"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177</w:t>
            </w:r>
          </w:p>
        </w:tc>
      </w:tr>
      <w:tr w:rsidR="004B3171" w:rsidRPr="00193E06" w14:paraId="0BFFD75E" w14:textId="77777777" w:rsidTr="00193E06">
        <w:trPr>
          <w:trHeight w:val="300"/>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58"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Early Childhood: Students with and without Disabilities</w:t>
            </w:r>
          </w:p>
        </w:tc>
        <w:tc>
          <w:tcPr>
            <w:tcW w:w="960" w:type="dxa"/>
            <w:noWrap/>
            <w:hideMark/>
          </w:tcPr>
          <w:p w14:paraId="0BFFD759"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136</w:t>
            </w:r>
          </w:p>
        </w:tc>
        <w:tc>
          <w:tcPr>
            <w:tcW w:w="960" w:type="dxa"/>
            <w:noWrap/>
            <w:hideMark/>
          </w:tcPr>
          <w:p w14:paraId="0BFFD75A"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154</w:t>
            </w:r>
          </w:p>
        </w:tc>
        <w:tc>
          <w:tcPr>
            <w:tcW w:w="960" w:type="dxa"/>
            <w:noWrap/>
            <w:hideMark/>
          </w:tcPr>
          <w:p w14:paraId="0BFFD75B"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181</w:t>
            </w:r>
          </w:p>
        </w:tc>
        <w:tc>
          <w:tcPr>
            <w:tcW w:w="960" w:type="dxa"/>
            <w:noWrap/>
            <w:hideMark/>
          </w:tcPr>
          <w:p w14:paraId="0BFFD75C"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173</w:t>
            </w:r>
          </w:p>
        </w:tc>
        <w:tc>
          <w:tcPr>
            <w:tcW w:w="960" w:type="dxa"/>
            <w:noWrap/>
            <w:hideMark/>
          </w:tcPr>
          <w:p w14:paraId="0BFFD75D"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195</w:t>
            </w:r>
          </w:p>
        </w:tc>
      </w:tr>
      <w:tr w:rsidR="004B3171" w:rsidRPr="00193E06" w14:paraId="0BFFD765"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5F"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Visual Art</w:t>
            </w:r>
          </w:p>
        </w:tc>
        <w:tc>
          <w:tcPr>
            <w:tcW w:w="960" w:type="dxa"/>
            <w:noWrap/>
            <w:hideMark/>
          </w:tcPr>
          <w:p w14:paraId="0BFFD760"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117</w:t>
            </w:r>
          </w:p>
        </w:tc>
        <w:tc>
          <w:tcPr>
            <w:tcW w:w="960" w:type="dxa"/>
            <w:noWrap/>
            <w:hideMark/>
          </w:tcPr>
          <w:p w14:paraId="0BFFD761"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127</w:t>
            </w:r>
          </w:p>
        </w:tc>
        <w:tc>
          <w:tcPr>
            <w:tcW w:w="960" w:type="dxa"/>
            <w:noWrap/>
            <w:hideMark/>
          </w:tcPr>
          <w:p w14:paraId="0BFFD762"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140</w:t>
            </w:r>
          </w:p>
        </w:tc>
        <w:tc>
          <w:tcPr>
            <w:tcW w:w="960" w:type="dxa"/>
            <w:noWrap/>
            <w:hideMark/>
          </w:tcPr>
          <w:p w14:paraId="0BFFD763"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147</w:t>
            </w:r>
          </w:p>
        </w:tc>
        <w:tc>
          <w:tcPr>
            <w:tcW w:w="960" w:type="dxa"/>
            <w:noWrap/>
            <w:hideMark/>
          </w:tcPr>
          <w:p w14:paraId="0BFFD764" w14:textId="77777777" w:rsidR="004B3171" w:rsidRPr="00193E06" w:rsidRDefault="004B3171" w:rsidP="00193E06">
            <w:pPr>
              <w:spacing w:after="20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171</w:t>
            </w:r>
          </w:p>
        </w:tc>
      </w:tr>
      <w:tr w:rsidR="004B3171" w:rsidRPr="00193E06" w14:paraId="0BFFD76C"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5420" w:type="dxa"/>
            <w:noWrap/>
            <w:hideMark/>
          </w:tcPr>
          <w:p w14:paraId="0BFFD766" w14:textId="77777777" w:rsidR="004B3171" w:rsidRPr="00193E06" w:rsidRDefault="004B3171" w:rsidP="00193E06">
            <w:pPr>
              <w:spacing w:after="200"/>
              <w:rPr>
                <w:rFonts w:asciiTheme="majorHAnsi" w:hAnsiTheme="majorHAnsi" w:cs="Times New Roman"/>
                <w:sz w:val="22"/>
                <w:szCs w:val="22"/>
              </w:rPr>
            </w:pPr>
            <w:r w:rsidRPr="00193E06">
              <w:rPr>
                <w:rFonts w:asciiTheme="majorHAnsi" w:hAnsiTheme="majorHAnsi" w:cs="Times New Roman"/>
                <w:sz w:val="22"/>
                <w:szCs w:val="22"/>
              </w:rPr>
              <w:t>General Science</w:t>
            </w:r>
          </w:p>
        </w:tc>
        <w:tc>
          <w:tcPr>
            <w:tcW w:w="960" w:type="dxa"/>
            <w:noWrap/>
            <w:hideMark/>
          </w:tcPr>
          <w:p w14:paraId="0BFFD767"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133</w:t>
            </w:r>
          </w:p>
        </w:tc>
        <w:tc>
          <w:tcPr>
            <w:tcW w:w="960" w:type="dxa"/>
            <w:noWrap/>
            <w:hideMark/>
          </w:tcPr>
          <w:p w14:paraId="0BFFD768"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141</w:t>
            </w:r>
          </w:p>
        </w:tc>
        <w:tc>
          <w:tcPr>
            <w:tcW w:w="960" w:type="dxa"/>
            <w:noWrap/>
            <w:hideMark/>
          </w:tcPr>
          <w:p w14:paraId="0BFFD769"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136</w:t>
            </w:r>
          </w:p>
        </w:tc>
        <w:tc>
          <w:tcPr>
            <w:tcW w:w="960" w:type="dxa"/>
            <w:noWrap/>
            <w:hideMark/>
          </w:tcPr>
          <w:p w14:paraId="0BFFD76A"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131</w:t>
            </w:r>
          </w:p>
        </w:tc>
        <w:tc>
          <w:tcPr>
            <w:tcW w:w="960" w:type="dxa"/>
            <w:noWrap/>
            <w:hideMark/>
          </w:tcPr>
          <w:p w14:paraId="0BFFD76B" w14:textId="77777777" w:rsidR="004B3171" w:rsidRPr="00193E06" w:rsidRDefault="004B3171" w:rsidP="00193E06">
            <w:pPr>
              <w:spacing w:after="20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133</w:t>
            </w:r>
          </w:p>
        </w:tc>
      </w:tr>
    </w:tbl>
    <w:p w14:paraId="0BFFD76D" w14:textId="77777777" w:rsidR="004B3171" w:rsidRDefault="004B3171" w:rsidP="004B3171">
      <w:pPr>
        <w:rPr>
          <w:rFonts w:asciiTheme="majorHAnsi" w:hAnsiTheme="majorHAnsi"/>
          <w:sz w:val="22"/>
          <w:szCs w:val="22"/>
        </w:rPr>
      </w:pPr>
    </w:p>
    <w:p w14:paraId="0BFFD76E" w14:textId="77777777" w:rsidR="00C554CA" w:rsidRDefault="00C554CA" w:rsidP="004B3171">
      <w:pPr>
        <w:rPr>
          <w:rFonts w:asciiTheme="majorHAnsi" w:hAnsiTheme="majorHAnsi"/>
          <w:sz w:val="22"/>
          <w:szCs w:val="22"/>
        </w:rPr>
      </w:pPr>
    </w:p>
    <w:p w14:paraId="0BFFD76F" w14:textId="77777777" w:rsidR="00C554CA" w:rsidRDefault="00C554CA" w:rsidP="004B3171">
      <w:pPr>
        <w:rPr>
          <w:rFonts w:asciiTheme="majorHAnsi" w:hAnsiTheme="majorHAnsi"/>
          <w:sz w:val="22"/>
          <w:szCs w:val="22"/>
        </w:rPr>
      </w:pPr>
    </w:p>
    <w:p w14:paraId="0BFFD770" w14:textId="77777777" w:rsidR="00C554CA" w:rsidRDefault="00C554CA" w:rsidP="004B3171">
      <w:pPr>
        <w:rPr>
          <w:rFonts w:asciiTheme="majorHAnsi" w:hAnsiTheme="majorHAnsi"/>
          <w:sz w:val="22"/>
          <w:szCs w:val="22"/>
        </w:rPr>
      </w:pPr>
    </w:p>
    <w:p w14:paraId="0BFFD771" w14:textId="77777777" w:rsidR="00C554CA" w:rsidRPr="00193E06" w:rsidRDefault="00C554CA" w:rsidP="004B3171">
      <w:pPr>
        <w:rPr>
          <w:rFonts w:asciiTheme="majorHAnsi" w:hAnsiTheme="majorHAnsi"/>
          <w:sz w:val="22"/>
          <w:szCs w:val="22"/>
        </w:rPr>
      </w:pPr>
    </w:p>
    <w:p w14:paraId="0BFFD772" w14:textId="77777777" w:rsidR="004B3171" w:rsidRPr="00193E06" w:rsidRDefault="004B3171" w:rsidP="004B3171">
      <w:pPr>
        <w:pBdr>
          <w:bottom w:val="single" w:sz="4" w:space="1" w:color="auto"/>
        </w:pBdr>
        <w:spacing w:after="400"/>
        <w:contextualSpacing/>
        <w:rPr>
          <w:rFonts w:asciiTheme="majorHAnsi" w:hAnsiTheme="majorHAnsi" w:cs="Segoe UI"/>
          <w:b/>
          <w:sz w:val="22"/>
          <w:szCs w:val="22"/>
        </w:rPr>
      </w:pPr>
    </w:p>
    <w:p w14:paraId="0BFFD773" w14:textId="77777777" w:rsidR="004B3171" w:rsidRPr="00193E06" w:rsidRDefault="004B3171" w:rsidP="004B3171">
      <w:pPr>
        <w:pBdr>
          <w:bottom w:val="single" w:sz="4" w:space="1" w:color="auto"/>
        </w:pBdr>
        <w:spacing w:after="400"/>
        <w:contextualSpacing/>
        <w:rPr>
          <w:rFonts w:asciiTheme="majorHAnsi" w:hAnsiTheme="majorHAnsi" w:cs="Segoe UI"/>
          <w:b/>
          <w:sz w:val="22"/>
          <w:szCs w:val="22"/>
        </w:rPr>
      </w:pPr>
      <w:r w:rsidRPr="00193E06">
        <w:rPr>
          <w:rFonts w:asciiTheme="majorHAnsi" w:hAnsiTheme="majorHAnsi" w:cs="Segoe UI"/>
          <w:b/>
          <w:sz w:val="22"/>
          <w:szCs w:val="22"/>
        </w:rPr>
        <w:t>Massachusetts Statute &amp; Regulations Crosswalk: Initial License</w:t>
      </w:r>
    </w:p>
    <w:p w14:paraId="0BFFD774" w14:textId="77777777" w:rsidR="004B3171" w:rsidRPr="00193E06" w:rsidRDefault="004B3171" w:rsidP="004B3171">
      <w:pPr>
        <w:spacing w:after="160" w:line="259" w:lineRule="auto"/>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Overview</w:t>
      </w:r>
    </w:p>
    <w:p w14:paraId="0BFFD775" w14:textId="77777777" w:rsidR="004B3171" w:rsidRPr="00193E06" w:rsidRDefault="004B3171" w:rsidP="004B3171">
      <w:pPr>
        <w:spacing w:after="160" w:line="259" w:lineRule="auto"/>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This document outlines the statutory (M.G.L. 71 § 38G) and corresponding regulatory (603 CMR 7.00) aspects of obtaining an Initial License in the Commonwealth. Each section has a table divided by statute, regulations, and recommendations for the working group to discuss.  </w:t>
      </w:r>
    </w:p>
    <w:p w14:paraId="0BFFD776" w14:textId="77777777" w:rsidR="004B3171" w:rsidRPr="00193E06" w:rsidRDefault="004B3171" w:rsidP="004B3171">
      <w:pPr>
        <w:rPr>
          <w:rFonts w:asciiTheme="majorHAnsi" w:hAnsiTheme="majorHAnsi"/>
          <w:sz w:val="22"/>
          <w:szCs w:val="22"/>
        </w:rPr>
      </w:pPr>
      <w:r w:rsidRPr="00193E06">
        <w:rPr>
          <w:rFonts w:asciiTheme="majorHAnsi" w:hAnsiTheme="majorHAnsi"/>
          <w:b/>
          <w:sz w:val="22"/>
          <w:szCs w:val="22"/>
        </w:rPr>
        <w:t>Definition:</w:t>
      </w:r>
      <w:r w:rsidRPr="00193E06">
        <w:rPr>
          <w:rFonts w:asciiTheme="majorHAnsi" w:hAnsiTheme="majorHAnsi"/>
          <w:sz w:val="22"/>
          <w:szCs w:val="22"/>
        </w:rPr>
        <w:t xml:space="preserve">  The Initial license is a credential that is valid for five years of experience and awarded to someone who has completed an approved preparation program and has a bachelor’s degree and passed the appropriate MTEL exams. Since 7/1/14, core academic teachers obtaining their first Initial license must also have the SEI Endorsement.  </w:t>
      </w:r>
    </w:p>
    <w:p w14:paraId="0BFFD777" w14:textId="77777777" w:rsidR="004B3171" w:rsidRPr="00193E06" w:rsidRDefault="004B3171" w:rsidP="004B3171">
      <w:pPr>
        <w:rPr>
          <w:rFonts w:asciiTheme="majorHAnsi" w:hAnsiTheme="majorHAnsi"/>
          <w:sz w:val="22"/>
          <w:szCs w:val="22"/>
        </w:rPr>
      </w:pPr>
    </w:p>
    <w:tbl>
      <w:tblPr>
        <w:tblStyle w:val="TableGrid1"/>
        <w:tblW w:w="14238" w:type="dxa"/>
        <w:tblLook w:val="04A0" w:firstRow="1" w:lastRow="0" w:firstColumn="1" w:lastColumn="0" w:noHBand="0" w:noVBand="1"/>
      </w:tblPr>
      <w:tblGrid>
        <w:gridCol w:w="1870"/>
        <w:gridCol w:w="4268"/>
        <w:gridCol w:w="8100"/>
      </w:tblGrid>
      <w:tr w:rsidR="004B3171" w:rsidRPr="00193E06" w14:paraId="0BFFD77B" w14:textId="77777777" w:rsidTr="00193E06">
        <w:tc>
          <w:tcPr>
            <w:tcW w:w="1870" w:type="dxa"/>
            <w:shd w:val="clear" w:color="auto" w:fill="5B9BD5"/>
          </w:tcPr>
          <w:p w14:paraId="0BFFD778"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Statutory Name</w:t>
            </w:r>
          </w:p>
        </w:tc>
        <w:tc>
          <w:tcPr>
            <w:tcW w:w="4268" w:type="dxa"/>
            <w:shd w:val="clear" w:color="auto" w:fill="5B9BD5"/>
          </w:tcPr>
          <w:p w14:paraId="0BFFD779"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Statute</w:t>
            </w:r>
          </w:p>
        </w:tc>
        <w:tc>
          <w:tcPr>
            <w:tcW w:w="8100" w:type="dxa"/>
            <w:shd w:val="clear" w:color="auto" w:fill="5B9BD5"/>
          </w:tcPr>
          <w:p w14:paraId="0BFFD77A"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hAnsiTheme="majorHAnsi"/>
                <w:b/>
                <w:color w:val="auto"/>
                <w:sz w:val="22"/>
                <w:szCs w:val="22"/>
              </w:rPr>
              <w:t>Regulations</w:t>
            </w:r>
          </w:p>
        </w:tc>
      </w:tr>
      <w:tr w:rsidR="004B3171" w:rsidRPr="00193E06" w14:paraId="0BFFD793" w14:textId="77777777" w:rsidTr="00193E06">
        <w:tc>
          <w:tcPr>
            <w:tcW w:w="1870" w:type="dxa"/>
            <w:shd w:val="clear" w:color="auto" w:fill="FFF2CC"/>
          </w:tcPr>
          <w:p w14:paraId="0BFFD77C" w14:textId="77777777" w:rsidR="004B3171" w:rsidRPr="00193E06" w:rsidRDefault="004B3171" w:rsidP="00193E06">
            <w:p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Provisional Educator Certificate with Advanced Standing</w:t>
            </w:r>
          </w:p>
        </w:tc>
        <w:tc>
          <w:tcPr>
            <w:tcW w:w="4268" w:type="dxa"/>
            <w:shd w:val="clear" w:color="auto" w:fill="FFF2CC"/>
          </w:tcPr>
          <w:p w14:paraId="0BFFD77D" w14:textId="77777777" w:rsidR="004B3171" w:rsidRPr="00193E06" w:rsidRDefault="004B3171" w:rsidP="004B3171">
            <w:pPr>
              <w:numPr>
                <w:ilvl w:val="0"/>
                <w:numId w:val="2"/>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Bachelor’s degree from an accredited college with a major appropriate to instructional field</w:t>
            </w:r>
          </w:p>
          <w:p w14:paraId="0BFFD77E" w14:textId="77777777" w:rsidR="004B3171" w:rsidRPr="00193E06" w:rsidRDefault="004B3171" w:rsidP="004B3171">
            <w:pPr>
              <w:numPr>
                <w:ilvl w:val="0"/>
                <w:numId w:val="2"/>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MTELs</w:t>
            </w:r>
          </w:p>
          <w:p w14:paraId="0BFFD77F" w14:textId="77777777" w:rsidR="004B3171" w:rsidRPr="00193E06" w:rsidRDefault="004B3171" w:rsidP="004B3171">
            <w:pPr>
              <w:numPr>
                <w:ilvl w:val="0"/>
                <w:numId w:val="2"/>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Completed approved prep program</w:t>
            </w:r>
          </w:p>
          <w:p w14:paraId="0BFFD780" w14:textId="77777777" w:rsidR="004B3171" w:rsidRPr="00193E06" w:rsidRDefault="004B3171" w:rsidP="004B3171">
            <w:pPr>
              <w:numPr>
                <w:ilvl w:val="1"/>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program approved by board OR</w:t>
            </w:r>
          </w:p>
          <w:p w14:paraId="0BFFD781" w14:textId="77777777" w:rsidR="004B3171" w:rsidRPr="00193E06" w:rsidRDefault="004B3171" w:rsidP="004B3171">
            <w:pPr>
              <w:numPr>
                <w:ilvl w:val="1"/>
                <w:numId w:val="2"/>
              </w:numPr>
              <w:rPr>
                <w:rFonts w:asciiTheme="majorHAnsi" w:eastAsia="Calibri" w:hAnsiTheme="majorHAnsi" w:cs="Segoe UI"/>
                <w:color w:val="auto"/>
                <w:sz w:val="22"/>
                <w:szCs w:val="22"/>
              </w:rPr>
            </w:pPr>
            <w:proofErr w:type="gramStart"/>
            <w:r w:rsidRPr="00193E06">
              <w:rPr>
                <w:rFonts w:asciiTheme="majorHAnsi" w:eastAsia="Calibri" w:hAnsiTheme="majorHAnsi" w:cs="Segoe UI"/>
                <w:color w:val="auto"/>
                <w:sz w:val="22"/>
                <w:szCs w:val="22"/>
              </w:rPr>
              <w:t>college</w:t>
            </w:r>
            <w:proofErr w:type="gramEnd"/>
            <w:r w:rsidRPr="00193E06">
              <w:rPr>
                <w:rFonts w:asciiTheme="majorHAnsi" w:eastAsia="Calibri" w:hAnsiTheme="majorHAnsi" w:cs="Segoe UI"/>
                <w:color w:val="auto"/>
                <w:sz w:val="22"/>
                <w:szCs w:val="22"/>
              </w:rPr>
              <w:t xml:space="preserve"> prep. program in NASDTEC OR</w:t>
            </w:r>
          </w:p>
          <w:p w14:paraId="0BFFD782" w14:textId="77777777" w:rsidR="004B3171" w:rsidRPr="00193E06" w:rsidRDefault="004B3171" w:rsidP="004B3171">
            <w:pPr>
              <w:numPr>
                <w:ilvl w:val="1"/>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out-of-state teacher education program approved by NCATE OR</w:t>
            </w:r>
          </w:p>
          <w:p w14:paraId="0BFFD783" w14:textId="77777777" w:rsidR="004B3171" w:rsidRPr="00193E06" w:rsidRDefault="004B3171" w:rsidP="004B3171">
            <w:pPr>
              <w:numPr>
                <w:ilvl w:val="0"/>
                <w:numId w:val="2"/>
              </w:numPr>
              <w:contextualSpacing/>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sound moral character</w:t>
            </w:r>
          </w:p>
        </w:tc>
        <w:tc>
          <w:tcPr>
            <w:tcW w:w="8100" w:type="dxa"/>
            <w:shd w:val="clear" w:color="auto" w:fill="FFF2CC"/>
          </w:tcPr>
          <w:p w14:paraId="0BFFD784" w14:textId="77777777" w:rsidR="004B3171" w:rsidRPr="00193E06" w:rsidRDefault="004B3171" w:rsidP="004B3171">
            <w:pPr>
              <w:numPr>
                <w:ilvl w:val="0"/>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Bachelor's degree</w:t>
            </w:r>
          </w:p>
          <w:p w14:paraId="0BFFD785" w14:textId="77777777" w:rsidR="004B3171" w:rsidRPr="00193E06" w:rsidRDefault="004B3171" w:rsidP="004B3171">
            <w:pPr>
              <w:numPr>
                <w:ilvl w:val="0"/>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Comm</w:t>
            </w:r>
            <w:r w:rsidR="00193E06">
              <w:rPr>
                <w:rFonts w:asciiTheme="majorHAnsi" w:eastAsia="Calibri" w:hAnsiTheme="majorHAnsi" w:cs="Segoe UI"/>
                <w:color w:val="auto"/>
                <w:sz w:val="22"/>
                <w:szCs w:val="22"/>
              </w:rPr>
              <w:t xml:space="preserve">unication &amp; </w:t>
            </w:r>
            <w:r w:rsidRPr="00193E06">
              <w:rPr>
                <w:rFonts w:asciiTheme="majorHAnsi" w:eastAsia="Calibri" w:hAnsiTheme="majorHAnsi" w:cs="Segoe UI"/>
                <w:color w:val="auto"/>
                <w:sz w:val="22"/>
                <w:szCs w:val="22"/>
              </w:rPr>
              <w:t>Lit</w:t>
            </w:r>
            <w:r w:rsidR="00193E06">
              <w:rPr>
                <w:rFonts w:asciiTheme="majorHAnsi" w:eastAsia="Calibri" w:hAnsiTheme="majorHAnsi" w:cs="Segoe UI"/>
                <w:color w:val="auto"/>
                <w:sz w:val="22"/>
                <w:szCs w:val="22"/>
              </w:rPr>
              <w:t>eracy</w:t>
            </w:r>
            <w:r w:rsidRPr="00193E06">
              <w:rPr>
                <w:rFonts w:asciiTheme="majorHAnsi" w:eastAsia="Calibri" w:hAnsiTheme="majorHAnsi" w:cs="Segoe UI"/>
                <w:color w:val="auto"/>
                <w:sz w:val="22"/>
                <w:szCs w:val="22"/>
              </w:rPr>
              <w:t xml:space="preserve"> + subject matter MTEL </w:t>
            </w:r>
          </w:p>
          <w:p w14:paraId="0BFFD786" w14:textId="77777777" w:rsidR="004B3171" w:rsidRPr="00193E06" w:rsidRDefault="004B3171" w:rsidP="004B3171">
            <w:pPr>
              <w:numPr>
                <w:ilvl w:val="0"/>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Completion of an approved program for the Initial license sought:</w:t>
            </w:r>
          </w:p>
          <w:p w14:paraId="0BFFD787" w14:textId="77777777" w:rsidR="004B3171" w:rsidRPr="00193E06" w:rsidRDefault="004B3171" w:rsidP="004B3171">
            <w:pPr>
              <w:pStyle w:val="ListParagraph"/>
              <w:numPr>
                <w:ilvl w:val="1"/>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Routes 1-3 – MA approved program;</w:t>
            </w:r>
          </w:p>
          <w:p w14:paraId="0BFFD788" w14:textId="77777777" w:rsidR="004B3171" w:rsidRPr="00193E06" w:rsidRDefault="004B3171" w:rsidP="004B3171">
            <w:pPr>
              <w:pStyle w:val="ListParagraph"/>
              <w:numPr>
                <w:ilvl w:val="1"/>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Route 4 – Performance Review Program for Initial Licensure (PRPIL)</w:t>
            </w:r>
          </w:p>
          <w:p w14:paraId="0BFFD789" w14:textId="77777777" w:rsidR="004B3171" w:rsidRPr="00193E06" w:rsidRDefault="004B3171" w:rsidP="004B3171">
            <w:pPr>
              <w:pStyle w:val="ListParagraph"/>
              <w:numPr>
                <w:ilvl w:val="1"/>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Route 5 – Interstate Agreement</w:t>
            </w:r>
          </w:p>
          <w:p w14:paraId="0BFFD78A" w14:textId="77777777" w:rsidR="004B3171" w:rsidRPr="00193E06" w:rsidRDefault="004B3171" w:rsidP="004B3171">
            <w:pPr>
              <w:numPr>
                <w:ilvl w:val="0"/>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Core teachers: SEI Endorsement</w:t>
            </w:r>
          </w:p>
          <w:p w14:paraId="0BFFD78B" w14:textId="77777777" w:rsidR="004B3171" w:rsidRPr="00193E06" w:rsidRDefault="004B3171" w:rsidP="004B3171">
            <w:pPr>
              <w:numPr>
                <w:ilvl w:val="0"/>
                <w:numId w:val="2"/>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sound moral character</w:t>
            </w:r>
          </w:p>
          <w:p w14:paraId="0BFFD78C" w14:textId="77777777" w:rsidR="004B3171" w:rsidRPr="00193E06" w:rsidRDefault="004B3171" w:rsidP="00193E06">
            <w:pPr>
              <w:contextualSpacing/>
              <w:rPr>
                <w:rFonts w:asciiTheme="majorHAnsi" w:eastAsia="Calibri" w:hAnsiTheme="majorHAnsi" w:cs="Segoe UI"/>
                <w:color w:val="auto"/>
                <w:sz w:val="22"/>
                <w:szCs w:val="22"/>
              </w:rPr>
            </w:pPr>
          </w:p>
          <w:p w14:paraId="0BFFD78D" w14:textId="77777777" w:rsidR="004B3171" w:rsidRPr="00193E06" w:rsidRDefault="004B3171" w:rsidP="00193E06">
            <w:pPr>
              <w:contextualSpacing/>
              <w:rPr>
                <w:rFonts w:asciiTheme="majorHAnsi" w:eastAsia="Calibri" w:hAnsiTheme="majorHAnsi" w:cs="Segoe UI"/>
                <w:i/>
                <w:color w:val="auto"/>
                <w:sz w:val="22"/>
                <w:szCs w:val="22"/>
              </w:rPr>
            </w:pPr>
            <w:r w:rsidRPr="00193E06">
              <w:rPr>
                <w:rFonts w:asciiTheme="majorHAnsi" w:eastAsia="Calibri" w:hAnsiTheme="majorHAnsi" w:cs="Segoe UI"/>
                <w:i/>
                <w:color w:val="auto"/>
                <w:sz w:val="22"/>
                <w:szCs w:val="22"/>
              </w:rPr>
              <w:t>Renewal of an Initial License  Extension</w:t>
            </w:r>
          </w:p>
          <w:p w14:paraId="0BFFD78E" w14:textId="77777777" w:rsidR="004B3171" w:rsidRPr="00193E06" w:rsidRDefault="004B3171" w:rsidP="004B3171">
            <w:pPr>
              <w:pStyle w:val="ListParagraph"/>
              <w:numPr>
                <w:ilvl w:val="0"/>
                <w:numId w:val="3"/>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An educator may renew an Initial license one time for an additional five years of employment. The decision of the Commissioner shall be final. </w:t>
            </w:r>
          </w:p>
          <w:p w14:paraId="0BFFD78F" w14:textId="77777777" w:rsidR="004B3171" w:rsidRPr="00193E06" w:rsidRDefault="004B3171" w:rsidP="004B3171">
            <w:pPr>
              <w:pStyle w:val="ListParagraph"/>
              <w:numPr>
                <w:ilvl w:val="0"/>
                <w:numId w:val="3"/>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In order to be eligible to renew, a candidate shall:</w:t>
            </w:r>
          </w:p>
          <w:p w14:paraId="0BFFD790" w14:textId="77777777" w:rsidR="004B3171" w:rsidRPr="00193E06" w:rsidRDefault="004B3171" w:rsidP="004B3171">
            <w:pPr>
              <w:numPr>
                <w:ilvl w:val="1"/>
                <w:numId w:val="3"/>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Have been employed for five years under a valid Initial license.</w:t>
            </w:r>
          </w:p>
          <w:p w14:paraId="0BFFD791" w14:textId="77777777" w:rsidR="004B3171" w:rsidRPr="00193E06" w:rsidRDefault="004B3171" w:rsidP="004B3171">
            <w:pPr>
              <w:numPr>
                <w:ilvl w:val="1"/>
                <w:numId w:val="3"/>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Present evidence of sound moral character.</w:t>
            </w:r>
          </w:p>
          <w:p w14:paraId="0BFFD792" w14:textId="77777777" w:rsidR="004B3171" w:rsidRPr="00193E06" w:rsidRDefault="004B3171" w:rsidP="004B3171">
            <w:pPr>
              <w:numPr>
                <w:ilvl w:val="1"/>
                <w:numId w:val="3"/>
              </w:numPr>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Submit a plan outlining how the candidate will fulfill the requirements for a Professional license.</w:t>
            </w:r>
          </w:p>
        </w:tc>
      </w:tr>
    </w:tbl>
    <w:p w14:paraId="0BFFD794" w14:textId="77777777" w:rsidR="00C554CA" w:rsidRDefault="00C554CA" w:rsidP="004B3171">
      <w:pPr>
        <w:rPr>
          <w:rFonts w:asciiTheme="majorHAnsi" w:hAnsiTheme="majorHAnsi"/>
          <w:b/>
          <w:sz w:val="22"/>
          <w:szCs w:val="22"/>
        </w:rPr>
      </w:pPr>
    </w:p>
    <w:p w14:paraId="0BFFD795" w14:textId="77777777" w:rsidR="00C554CA" w:rsidRDefault="00C554CA" w:rsidP="004B3171">
      <w:pPr>
        <w:rPr>
          <w:rFonts w:asciiTheme="majorHAnsi" w:hAnsiTheme="majorHAnsi"/>
          <w:b/>
          <w:sz w:val="22"/>
          <w:szCs w:val="22"/>
        </w:rPr>
      </w:pPr>
    </w:p>
    <w:p w14:paraId="0BFFD796" w14:textId="77777777" w:rsidR="00C554CA" w:rsidRDefault="00C554CA" w:rsidP="004B3171">
      <w:pPr>
        <w:rPr>
          <w:rFonts w:asciiTheme="majorHAnsi" w:hAnsiTheme="majorHAnsi"/>
          <w:b/>
          <w:sz w:val="22"/>
          <w:szCs w:val="22"/>
        </w:rPr>
      </w:pPr>
    </w:p>
    <w:p w14:paraId="0BFFD797" w14:textId="77777777" w:rsidR="004B3171" w:rsidRPr="00C554CA" w:rsidRDefault="004B3171" w:rsidP="004B3171">
      <w:pPr>
        <w:rPr>
          <w:rFonts w:asciiTheme="majorHAnsi" w:hAnsiTheme="majorHAnsi"/>
          <w:b/>
          <w:sz w:val="22"/>
          <w:szCs w:val="22"/>
        </w:rPr>
      </w:pPr>
      <w:r w:rsidRPr="00193E06">
        <w:rPr>
          <w:rFonts w:asciiTheme="majorHAnsi" w:hAnsiTheme="majorHAnsi"/>
          <w:b/>
          <w:sz w:val="22"/>
          <w:szCs w:val="22"/>
        </w:rPr>
        <w:t xml:space="preserve">Data: </w:t>
      </w:r>
    </w:p>
    <w:tbl>
      <w:tblPr>
        <w:tblW w:w="1072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080"/>
        <w:gridCol w:w="1032"/>
        <w:gridCol w:w="1032"/>
        <w:gridCol w:w="1129"/>
        <w:gridCol w:w="1032"/>
        <w:gridCol w:w="1032"/>
        <w:gridCol w:w="951"/>
        <w:gridCol w:w="1440"/>
      </w:tblGrid>
      <w:tr w:rsidR="004B3171" w:rsidRPr="00193E06" w14:paraId="0BFFD7A0" w14:textId="77777777" w:rsidTr="00193E06">
        <w:trPr>
          <w:trHeight w:val="300"/>
        </w:trPr>
        <w:tc>
          <w:tcPr>
            <w:tcW w:w="3080" w:type="dxa"/>
            <w:shd w:val="clear" w:color="auto" w:fill="4F81BD"/>
            <w:noWrap/>
            <w:hideMark/>
          </w:tcPr>
          <w:p w14:paraId="0BFFD798" w14:textId="77777777" w:rsidR="004B3171" w:rsidRPr="00193E06" w:rsidRDefault="004B3171" w:rsidP="00193E06">
            <w:pPr>
              <w:spacing w:after="0"/>
              <w:rPr>
                <w:rFonts w:asciiTheme="majorHAnsi" w:hAnsiTheme="majorHAnsi"/>
                <w:b/>
                <w:bCs/>
                <w:sz w:val="22"/>
                <w:szCs w:val="22"/>
              </w:rPr>
            </w:pPr>
          </w:p>
        </w:tc>
        <w:tc>
          <w:tcPr>
            <w:tcW w:w="1032" w:type="dxa"/>
            <w:shd w:val="clear" w:color="auto" w:fill="4F81BD"/>
            <w:noWrap/>
            <w:hideMark/>
          </w:tcPr>
          <w:p w14:paraId="0BFFD799"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2011</w:t>
            </w:r>
          </w:p>
        </w:tc>
        <w:tc>
          <w:tcPr>
            <w:tcW w:w="1032" w:type="dxa"/>
            <w:shd w:val="clear" w:color="auto" w:fill="4F81BD"/>
            <w:noWrap/>
            <w:hideMark/>
          </w:tcPr>
          <w:p w14:paraId="0BFFD79A"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2012</w:t>
            </w:r>
          </w:p>
        </w:tc>
        <w:tc>
          <w:tcPr>
            <w:tcW w:w="1129" w:type="dxa"/>
            <w:shd w:val="clear" w:color="auto" w:fill="4F81BD"/>
            <w:noWrap/>
            <w:hideMark/>
          </w:tcPr>
          <w:p w14:paraId="0BFFD79B"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2013</w:t>
            </w:r>
          </w:p>
        </w:tc>
        <w:tc>
          <w:tcPr>
            <w:tcW w:w="1032" w:type="dxa"/>
            <w:shd w:val="clear" w:color="auto" w:fill="4F81BD"/>
            <w:noWrap/>
            <w:hideMark/>
          </w:tcPr>
          <w:p w14:paraId="0BFFD79C"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2014</w:t>
            </w:r>
          </w:p>
        </w:tc>
        <w:tc>
          <w:tcPr>
            <w:tcW w:w="1032" w:type="dxa"/>
            <w:shd w:val="clear" w:color="auto" w:fill="4F81BD"/>
            <w:noWrap/>
            <w:hideMark/>
          </w:tcPr>
          <w:p w14:paraId="0BFFD79D"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2015</w:t>
            </w:r>
          </w:p>
        </w:tc>
        <w:tc>
          <w:tcPr>
            <w:tcW w:w="951" w:type="dxa"/>
            <w:shd w:val="clear" w:color="auto" w:fill="4F81BD"/>
          </w:tcPr>
          <w:p w14:paraId="0BFFD79E"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2016*</w:t>
            </w:r>
          </w:p>
        </w:tc>
        <w:tc>
          <w:tcPr>
            <w:tcW w:w="1440" w:type="dxa"/>
            <w:shd w:val="clear" w:color="auto" w:fill="4F81BD"/>
            <w:noWrap/>
            <w:hideMark/>
          </w:tcPr>
          <w:p w14:paraId="0BFFD79F"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Average</w:t>
            </w:r>
          </w:p>
        </w:tc>
      </w:tr>
      <w:tr w:rsidR="004B3171" w:rsidRPr="00193E06" w14:paraId="0BFFD7A9" w14:textId="77777777" w:rsidTr="00193E06">
        <w:trPr>
          <w:trHeight w:val="300"/>
        </w:trPr>
        <w:tc>
          <w:tcPr>
            <w:tcW w:w="3080" w:type="dxa"/>
            <w:tcBorders>
              <w:top w:val="single" w:sz="8" w:space="0" w:color="4F81BD"/>
              <w:left w:val="single" w:sz="8" w:space="0" w:color="4F81BD"/>
              <w:bottom w:val="single" w:sz="8" w:space="0" w:color="4F81BD"/>
            </w:tcBorders>
            <w:noWrap/>
            <w:hideMark/>
          </w:tcPr>
          <w:p w14:paraId="0BFFD7A1" w14:textId="77777777" w:rsidR="004B3171" w:rsidRPr="00193E06" w:rsidRDefault="004B3171" w:rsidP="00193E06">
            <w:pPr>
              <w:spacing w:after="0"/>
              <w:rPr>
                <w:rFonts w:asciiTheme="majorHAnsi" w:hAnsiTheme="majorHAnsi"/>
                <w:b/>
                <w:bCs/>
                <w:sz w:val="22"/>
                <w:szCs w:val="22"/>
              </w:rPr>
            </w:pPr>
            <w:r w:rsidRPr="00193E06">
              <w:rPr>
                <w:rFonts w:asciiTheme="majorHAnsi" w:hAnsiTheme="majorHAnsi"/>
                <w:b/>
                <w:bCs/>
                <w:sz w:val="22"/>
                <w:szCs w:val="22"/>
              </w:rPr>
              <w:t>Total Initial Licenses</w:t>
            </w:r>
          </w:p>
        </w:tc>
        <w:tc>
          <w:tcPr>
            <w:tcW w:w="1032" w:type="dxa"/>
            <w:tcBorders>
              <w:top w:val="single" w:sz="8" w:space="0" w:color="4F81BD"/>
              <w:bottom w:val="single" w:sz="8" w:space="0" w:color="4F81BD"/>
            </w:tcBorders>
            <w:noWrap/>
            <w:hideMark/>
          </w:tcPr>
          <w:p w14:paraId="0BFFD7A2"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13,094</w:t>
            </w:r>
          </w:p>
        </w:tc>
        <w:tc>
          <w:tcPr>
            <w:tcW w:w="1032" w:type="dxa"/>
            <w:tcBorders>
              <w:top w:val="single" w:sz="8" w:space="0" w:color="4F81BD"/>
              <w:bottom w:val="single" w:sz="8" w:space="0" w:color="4F81BD"/>
            </w:tcBorders>
            <w:noWrap/>
            <w:hideMark/>
          </w:tcPr>
          <w:p w14:paraId="0BFFD7A3"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12,124</w:t>
            </w:r>
          </w:p>
        </w:tc>
        <w:tc>
          <w:tcPr>
            <w:tcW w:w="1129" w:type="dxa"/>
            <w:tcBorders>
              <w:top w:val="single" w:sz="8" w:space="0" w:color="4F81BD"/>
              <w:bottom w:val="single" w:sz="8" w:space="0" w:color="4F81BD"/>
            </w:tcBorders>
            <w:noWrap/>
            <w:hideMark/>
          </w:tcPr>
          <w:p w14:paraId="0BFFD7A4"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13,897</w:t>
            </w:r>
          </w:p>
        </w:tc>
        <w:tc>
          <w:tcPr>
            <w:tcW w:w="1032" w:type="dxa"/>
            <w:tcBorders>
              <w:top w:val="single" w:sz="8" w:space="0" w:color="4F81BD"/>
              <w:bottom w:val="single" w:sz="8" w:space="0" w:color="4F81BD"/>
            </w:tcBorders>
            <w:noWrap/>
            <w:hideMark/>
          </w:tcPr>
          <w:p w14:paraId="0BFFD7A5"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12,869</w:t>
            </w:r>
          </w:p>
        </w:tc>
        <w:tc>
          <w:tcPr>
            <w:tcW w:w="1032" w:type="dxa"/>
            <w:tcBorders>
              <w:top w:val="single" w:sz="8" w:space="0" w:color="4F81BD"/>
              <w:bottom w:val="single" w:sz="8" w:space="0" w:color="4F81BD"/>
            </w:tcBorders>
            <w:noWrap/>
            <w:hideMark/>
          </w:tcPr>
          <w:p w14:paraId="0BFFD7A6"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10,117</w:t>
            </w:r>
          </w:p>
        </w:tc>
        <w:tc>
          <w:tcPr>
            <w:tcW w:w="951" w:type="dxa"/>
            <w:tcBorders>
              <w:top w:val="single" w:sz="8" w:space="0" w:color="4F81BD"/>
              <w:bottom w:val="single" w:sz="8" w:space="0" w:color="4F81BD"/>
            </w:tcBorders>
          </w:tcPr>
          <w:p w14:paraId="0BFFD7A7"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10, 081</w:t>
            </w:r>
          </w:p>
        </w:tc>
        <w:tc>
          <w:tcPr>
            <w:tcW w:w="1440" w:type="dxa"/>
            <w:tcBorders>
              <w:top w:val="single" w:sz="8" w:space="0" w:color="4F81BD"/>
              <w:bottom w:val="single" w:sz="8" w:space="0" w:color="4F81BD"/>
              <w:right w:val="single" w:sz="8" w:space="0" w:color="4F81BD"/>
            </w:tcBorders>
            <w:noWrap/>
            <w:hideMark/>
          </w:tcPr>
          <w:p w14:paraId="0BFFD7A8"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12,030</w:t>
            </w:r>
          </w:p>
        </w:tc>
      </w:tr>
    </w:tbl>
    <w:p w14:paraId="0BFFD7AA" w14:textId="77777777" w:rsidR="004B3171" w:rsidRPr="00193E06" w:rsidRDefault="004B3171" w:rsidP="004B3171">
      <w:pPr>
        <w:rPr>
          <w:rFonts w:asciiTheme="majorHAnsi" w:hAnsiTheme="majorHAnsi"/>
          <w:sz w:val="22"/>
          <w:szCs w:val="22"/>
        </w:rPr>
      </w:pPr>
      <w:r w:rsidRPr="00193E06">
        <w:rPr>
          <w:rFonts w:asciiTheme="majorHAnsi" w:hAnsiTheme="majorHAnsi"/>
          <w:sz w:val="22"/>
          <w:szCs w:val="22"/>
        </w:rPr>
        <w:t>*As of December 1, 2016</w:t>
      </w:r>
    </w:p>
    <w:p w14:paraId="0BFFD7AB" w14:textId="77777777" w:rsidR="004B3171" w:rsidRPr="00193E06" w:rsidRDefault="004B3171" w:rsidP="004B3171">
      <w:pPr>
        <w:rPr>
          <w:rFonts w:asciiTheme="majorHAnsi" w:hAnsiTheme="majorHAnsi"/>
          <w:sz w:val="22"/>
          <w:szCs w:val="22"/>
        </w:rPr>
      </w:pPr>
    </w:p>
    <w:p w14:paraId="0BFFD7AC" w14:textId="77777777" w:rsidR="004B3171" w:rsidRPr="00193E06" w:rsidRDefault="004B3171" w:rsidP="004B3171">
      <w:pPr>
        <w:rPr>
          <w:rFonts w:asciiTheme="majorHAnsi" w:hAnsiTheme="majorHAnsi"/>
          <w:sz w:val="22"/>
          <w:szCs w:val="22"/>
        </w:rPr>
      </w:pPr>
      <w:r w:rsidRPr="00193E06">
        <w:rPr>
          <w:rFonts w:asciiTheme="majorHAnsi" w:hAnsiTheme="majorHAnsi"/>
          <w:sz w:val="22"/>
          <w:szCs w:val="22"/>
        </w:rPr>
        <w:t xml:space="preserve">“Top 10” fields for Initial licenses issued </w:t>
      </w:r>
      <w:proofErr w:type="gramStart"/>
      <w:r w:rsidRPr="00193E06">
        <w:rPr>
          <w:rFonts w:asciiTheme="majorHAnsi" w:hAnsiTheme="majorHAnsi"/>
          <w:sz w:val="22"/>
          <w:szCs w:val="22"/>
        </w:rPr>
        <w:t>between 2011-2015</w:t>
      </w:r>
      <w:proofErr w:type="gramEnd"/>
    </w:p>
    <w:tbl>
      <w:tblPr>
        <w:tblStyle w:val="LightList-Accent1"/>
        <w:tblW w:w="7880" w:type="dxa"/>
        <w:tblLook w:val="04A0" w:firstRow="1" w:lastRow="0" w:firstColumn="1" w:lastColumn="0" w:noHBand="0" w:noVBand="1"/>
      </w:tblPr>
      <w:tblGrid>
        <w:gridCol w:w="3080"/>
        <w:gridCol w:w="960"/>
        <w:gridCol w:w="960"/>
        <w:gridCol w:w="960"/>
        <w:gridCol w:w="960"/>
        <w:gridCol w:w="960"/>
      </w:tblGrid>
      <w:tr w:rsidR="004B3171" w:rsidRPr="00193E06" w14:paraId="0BFFD7B3" w14:textId="77777777" w:rsidTr="00193E0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AD" w14:textId="77777777" w:rsidR="004B3171" w:rsidRPr="00193E06" w:rsidRDefault="004B3171" w:rsidP="00193E06">
            <w:pPr>
              <w:rPr>
                <w:rFonts w:asciiTheme="majorHAnsi" w:hAnsiTheme="majorHAnsi" w:cs="Times New Roman"/>
                <w:color w:val="FFFFFF"/>
                <w:sz w:val="22"/>
                <w:szCs w:val="22"/>
              </w:rPr>
            </w:pPr>
            <w:r w:rsidRPr="00193E06">
              <w:rPr>
                <w:rFonts w:asciiTheme="majorHAnsi" w:hAnsiTheme="majorHAnsi"/>
                <w:sz w:val="22"/>
                <w:szCs w:val="22"/>
              </w:rPr>
              <w:t>“</w:t>
            </w:r>
            <w:r w:rsidRPr="00193E06">
              <w:rPr>
                <w:rFonts w:asciiTheme="majorHAnsi" w:hAnsiTheme="majorHAnsi" w:cs="Times New Roman"/>
                <w:color w:val="FFFFFF"/>
                <w:sz w:val="22"/>
                <w:szCs w:val="22"/>
              </w:rPr>
              <w:t>Field</w:t>
            </w:r>
          </w:p>
        </w:tc>
        <w:tc>
          <w:tcPr>
            <w:tcW w:w="960" w:type="dxa"/>
            <w:noWrap/>
            <w:hideMark/>
          </w:tcPr>
          <w:p w14:paraId="0BFFD7AE" w14:textId="77777777" w:rsidR="004B3171" w:rsidRPr="00193E06" w:rsidRDefault="004B3171" w:rsidP="00193E0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2011</w:t>
            </w:r>
          </w:p>
        </w:tc>
        <w:tc>
          <w:tcPr>
            <w:tcW w:w="960" w:type="dxa"/>
            <w:noWrap/>
            <w:hideMark/>
          </w:tcPr>
          <w:p w14:paraId="0BFFD7AF" w14:textId="77777777" w:rsidR="004B3171" w:rsidRPr="00193E06" w:rsidRDefault="004B3171" w:rsidP="00193E0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2012</w:t>
            </w:r>
          </w:p>
        </w:tc>
        <w:tc>
          <w:tcPr>
            <w:tcW w:w="960" w:type="dxa"/>
            <w:noWrap/>
            <w:hideMark/>
          </w:tcPr>
          <w:p w14:paraId="0BFFD7B0" w14:textId="77777777" w:rsidR="004B3171" w:rsidRPr="00193E06" w:rsidRDefault="004B3171" w:rsidP="00193E0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2013</w:t>
            </w:r>
          </w:p>
        </w:tc>
        <w:tc>
          <w:tcPr>
            <w:tcW w:w="960" w:type="dxa"/>
            <w:noWrap/>
            <w:hideMark/>
          </w:tcPr>
          <w:p w14:paraId="0BFFD7B1" w14:textId="77777777" w:rsidR="004B3171" w:rsidRPr="00193E06" w:rsidRDefault="004B3171" w:rsidP="00193E0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2014</w:t>
            </w:r>
          </w:p>
        </w:tc>
        <w:tc>
          <w:tcPr>
            <w:tcW w:w="960" w:type="dxa"/>
            <w:noWrap/>
            <w:hideMark/>
          </w:tcPr>
          <w:p w14:paraId="0BFFD7B2" w14:textId="77777777" w:rsidR="004B3171" w:rsidRPr="00193E06" w:rsidRDefault="004B3171" w:rsidP="00193E0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FFFF"/>
                <w:sz w:val="22"/>
                <w:szCs w:val="22"/>
              </w:rPr>
            </w:pPr>
            <w:r w:rsidRPr="00193E06">
              <w:rPr>
                <w:rFonts w:asciiTheme="majorHAnsi" w:hAnsiTheme="majorHAnsi" w:cs="Times New Roman"/>
                <w:color w:val="FFFFFF"/>
                <w:sz w:val="22"/>
                <w:szCs w:val="22"/>
              </w:rPr>
              <w:t>2015</w:t>
            </w:r>
          </w:p>
        </w:tc>
      </w:tr>
      <w:tr w:rsidR="004B3171" w:rsidRPr="00193E06" w14:paraId="0BFFD7BA"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B4"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Elementary</w:t>
            </w:r>
          </w:p>
        </w:tc>
        <w:tc>
          <w:tcPr>
            <w:tcW w:w="960" w:type="dxa"/>
            <w:noWrap/>
            <w:hideMark/>
          </w:tcPr>
          <w:p w14:paraId="0BFFD7B5"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1,657</w:t>
            </w:r>
          </w:p>
        </w:tc>
        <w:tc>
          <w:tcPr>
            <w:tcW w:w="960" w:type="dxa"/>
            <w:noWrap/>
            <w:hideMark/>
          </w:tcPr>
          <w:p w14:paraId="0BFFD7B6"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1,526</w:t>
            </w:r>
          </w:p>
        </w:tc>
        <w:tc>
          <w:tcPr>
            <w:tcW w:w="960" w:type="dxa"/>
            <w:noWrap/>
            <w:hideMark/>
          </w:tcPr>
          <w:p w14:paraId="0BFFD7B7"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1,658</w:t>
            </w:r>
          </w:p>
        </w:tc>
        <w:tc>
          <w:tcPr>
            <w:tcW w:w="960" w:type="dxa"/>
            <w:noWrap/>
            <w:hideMark/>
          </w:tcPr>
          <w:p w14:paraId="0BFFD7B8"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1,475</w:t>
            </w:r>
          </w:p>
        </w:tc>
        <w:tc>
          <w:tcPr>
            <w:tcW w:w="960" w:type="dxa"/>
            <w:noWrap/>
            <w:hideMark/>
          </w:tcPr>
          <w:p w14:paraId="0BFFD7B9"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1,221</w:t>
            </w:r>
          </w:p>
        </w:tc>
      </w:tr>
      <w:tr w:rsidR="004B3171" w:rsidRPr="00193E06" w14:paraId="0BFFD7C1"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BB"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Moderate</w:t>
            </w:r>
          </w:p>
        </w:tc>
        <w:tc>
          <w:tcPr>
            <w:tcW w:w="960" w:type="dxa"/>
            <w:noWrap/>
            <w:hideMark/>
          </w:tcPr>
          <w:p w14:paraId="0BFFD7BC"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1,327</w:t>
            </w:r>
          </w:p>
        </w:tc>
        <w:tc>
          <w:tcPr>
            <w:tcW w:w="960" w:type="dxa"/>
            <w:noWrap/>
            <w:hideMark/>
          </w:tcPr>
          <w:p w14:paraId="0BFFD7BD"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1,251</w:t>
            </w:r>
          </w:p>
        </w:tc>
        <w:tc>
          <w:tcPr>
            <w:tcW w:w="960" w:type="dxa"/>
            <w:noWrap/>
            <w:hideMark/>
          </w:tcPr>
          <w:p w14:paraId="0BFFD7BE"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1,478</w:t>
            </w:r>
          </w:p>
        </w:tc>
        <w:tc>
          <w:tcPr>
            <w:tcW w:w="960" w:type="dxa"/>
            <w:noWrap/>
            <w:hideMark/>
          </w:tcPr>
          <w:p w14:paraId="0BFFD7BF"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1,338</w:t>
            </w:r>
          </w:p>
        </w:tc>
        <w:tc>
          <w:tcPr>
            <w:tcW w:w="960" w:type="dxa"/>
            <w:noWrap/>
            <w:hideMark/>
          </w:tcPr>
          <w:p w14:paraId="0BFFD7C0"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1,263</w:t>
            </w:r>
          </w:p>
        </w:tc>
      </w:tr>
      <w:tr w:rsidR="004B3171" w:rsidRPr="00193E06" w14:paraId="0BFFD7C8"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C2"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Principal</w:t>
            </w:r>
          </w:p>
        </w:tc>
        <w:tc>
          <w:tcPr>
            <w:tcW w:w="960" w:type="dxa"/>
            <w:noWrap/>
            <w:hideMark/>
          </w:tcPr>
          <w:p w14:paraId="0BFFD7C3"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952</w:t>
            </w:r>
          </w:p>
        </w:tc>
        <w:tc>
          <w:tcPr>
            <w:tcW w:w="960" w:type="dxa"/>
            <w:noWrap/>
            <w:hideMark/>
          </w:tcPr>
          <w:p w14:paraId="0BFFD7C4"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931</w:t>
            </w:r>
          </w:p>
        </w:tc>
        <w:tc>
          <w:tcPr>
            <w:tcW w:w="960" w:type="dxa"/>
            <w:noWrap/>
            <w:hideMark/>
          </w:tcPr>
          <w:p w14:paraId="0BFFD7C5"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1,155</w:t>
            </w:r>
          </w:p>
        </w:tc>
        <w:tc>
          <w:tcPr>
            <w:tcW w:w="960" w:type="dxa"/>
            <w:noWrap/>
            <w:hideMark/>
          </w:tcPr>
          <w:p w14:paraId="0BFFD7C6"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1,207</w:t>
            </w:r>
          </w:p>
        </w:tc>
        <w:tc>
          <w:tcPr>
            <w:tcW w:w="960" w:type="dxa"/>
            <w:noWrap/>
            <w:hideMark/>
          </w:tcPr>
          <w:p w14:paraId="0BFFD7C7"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722</w:t>
            </w:r>
          </w:p>
        </w:tc>
      </w:tr>
      <w:tr w:rsidR="004B3171" w:rsidRPr="00193E06" w14:paraId="0BFFD7CF"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C9"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English</w:t>
            </w:r>
          </w:p>
        </w:tc>
        <w:tc>
          <w:tcPr>
            <w:tcW w:w="960" w:type="dxa"/>
            <w:noWrap/>
            <w:hideMark/>
          </w:tcPr>
          <w:p w14:paraId="0BFFD7CA"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879</w:t>
            </w:r>
          </w:p>
        </w:tc>
        <w:tc>
          <w:tcPr>
            <w:tcW w:w="960" w:type="dxa"/>
            <w:noWrap/>
            <w:hideMark/>
          </w:tcPr>
          <w:p w14:paraId="0BFFD7CB"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803</w:t>
            </w:r>
          </w:p>
        </w:tc>
        <w:tc>
          <w:tcPr>
            <w:tcW w:w="960" w:type="dxa"/>
            <w:noWrap/>
            <w:hideMark/>
          </w:tcPr>
          <w:p w14:paraId="0BFFD7CC"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948</w:t>
            </w:r>
          </w:p>
        </w:tc>
        <w:tc>
          <w:tcPr>
            <w:tcW w:w="960" w:type="dxa"/>
            <w:noWrap/>
            <w:hideMark/>
          </w:tcPr>
          <w:p w14:paraId="0BFFD7CD"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779</w:t>
            </w:r>
          </w:p>
        </w:tc>
        <w:tc>
          <w:tcPr>
            <w:tcW w:w="960" w:type="dxa"/>
            <w:noWrap/>
            <w:hideMark/>
          </w:tcPr>
          <w:p w14:paraId="0BFFD7CE"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767</w:t>
            </w:r>
          </w:p>
        </w:tc>
      </w:tr>
      <w:tr w:rsidR="004B3171" w:rsidRPr="00193E06" w14:paraId="0BFFD7D6"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D0"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Math</w:t>
            </w:r>
          </w:p>
        </w:tc>
        <w:tc>
          <w:tcPr>
            <w:tcW w:w="960" w:type="dxa"/>
            <w:noWrap/>
            <w:hideMark/>
          </w:tcPr>
          <w:p w14:paraId="0BFFD7D1"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771</w:t>
            </w:r>
          </w:p>
        </w:tc>
        <w:tc>
          <w:tcPr>
            <w:tcW w:w="960" w:type="dxa"/>
            <w:noWrap/>
            <w:hideMark/>
          </w:tcPr>
          <w:p w14:paraId="0BFFD7D2"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662</w:t>
            </w:r>
          </w:p>
        </w:tc>
        <w:tc>
          <w:tcPr>
            <w:tcW w:w="960" w:type="dxa"/>
            <w:noWrap/>
            <w:hideMark/>
          </w:tcPr>
          <w:p w14:paraId="0BFFD7D3"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745</w:t>
            </w:r>
          </w:p>
        </w:tc>
        <w:tc>
          <w:tcPr>
            <w:tcW w:w="960" w:type="dxa"/>
            <w:noWrap/>
            <w:hideMark/>
          </w:tcPr>
          <w:p w14:paraId="0BFFD7D4"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622</w:t>
            </w:r>
          </w:p>
        </w:tc>
        <w:tc>
          <w:tcPr>
            <w:tcW w:w="960" w:type="dxa"/>
            <w:noWrap/>
            <w:hideMark/>
          </w:tcPr>
          <w:p w14:paraId="0BFFD7D5"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570</w:t>
            </w:r>
          </w:p>
        </w:tc>
      </w:tr>
      <w:tr w:rsidR="004B3171" w:rsidRPr="00193E06" w14:paraId="0BFFD7DD"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D7"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ESL</w:t>
            </w:r>
          </w:p>
        </w:tc>
        <w:tc>
          <w:tcPr>
            <w:tcW w:w="960" w:type="dxa"/>
            <w:noWrap/>
            <w:hideMark/>
          </w:tcPr>
          <w:p w14:paraId="0BFFD7D8"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767</w:t>
            </w:r>
          </w:p>
        </w:tc>
        <w:tc>
          <w:tcPr>
            <w:tcW w:w="960" w:type="dxa"/>
            <w:noWrap/>
            <w:hideMark/>
          </w:tcPr>
          <w:p w14:paraId="0BFFD7D9"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613</w:t>
            </w:r>
          </w:p>
        </w:tc>
        <w:tc>
          <w:tcPr>
            <w:tcW w:w="960" w:type="dxa"/>
            <w:noWrap/>
            <w:hideMark/>
          </w:tcPr>
          <w:p w14:paraId="0BFFD7DA"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522</w:t>
            </w:r>
          </w:p>
        </w:tc>
        <w:tc>
          <w:tcPr>
            <w:tcW w:w="960" w:type="dxa"/>
            <w:noWrap/>
            <w:hideMark/>
          </w:tcPr>
          <w:p w14:paraId="0BFFD7DB"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640</w:t>
            </w:r>
          </w:p>
        </w:tc>
        <w:tc>
          <w:tcPr>
            <w:tcW w:w="960" w:type="dxa"/>
            <w:noWrap/>
            <w:hideMark/>
          </w:tcPr>
          <w:p w14:paraId="0BFFD7DC"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645</w:t>
            </w:r>
          </w:p>
        </w:tc>
      </w:tr>
      <w:tr w:rsidR="004B3171" w:rsidRPr="00193E06" w14:paraId="0BFFD7E4"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DE"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History</w:t>
            </w:r>
          </w:p>
        </w:tc>
        <w:tc>
          <w:tcPr>
            <w:tcW w:w="960" w:type="dxa"/>
            <w:noWrap/>
            <w:hideMark/>
          </w:tcPr>
          <w:p w14:paraId="0BFFD7DF"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639</w:t>
            </w:r>
          </w:p>
        </w:tc>
        <w:tc>
          <w:tcPr>
            <w:tcW w:w="960" w:type="dxa"/>
            <w:noWrap/>
            <w:hideMark/>
          </w:tcPr>
          <w:p w14:paraId="0BFFD7E0"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615</w:t>
            </w:r>
          </w:p>
        </w:tc>
        <w:tc>
          <w:tcPr>
            <w:tcW w:w="960" w:type="dxa"/>
            <w:noWrap/>
            <w:hideMark/>
          </w:tcPr>
          <w:p w14:paraId="0BFFD7E1"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716</w:t>
            </w:r>
          </w:p>
        </w:tc>
        <w:tc>
          <w:tcPr>
            <w:tcW w:w="960" w:type="dxa"/>
            <w:noWrap/>
            <w:hideMark/>
          </w:tcPr>
          <w:p w14:paraId="0BFFD7E2"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559</w:t>
            </w:r>
          </w:p>
        </w:tc>
        <w:tc>
          <w:tcPr>
            <w:tcW w:w="960" w:type="dxa"/>
            <w:noWrap/>
            <w:hideMark/>
          </w:tcPr>
          <w:p w14:paraId="0BFFD7E3"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520</w:t>
            </w:r>
          </w:p>
        </w:tc>
      </w:tr>
      <w:tr w:rsidR="004B3171" w:rsidRPr="00193E06" w14:paraId="0BFFD7EB"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E5"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ECH</w:t>
            </w:r>
          </w:p>
        </w:tc>
        <w:tc>
          <w:tcPr>
            <w:tcW w:w="960" w:type="dxa"/>
            <w:noWrap/>
            <w:hideMark/>
          </w:tcPr>
          <w:p w14:paraId="0BFFD7E6"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564</w:t>
            </w:r>
          </w:p>
        </w:tc>
        <w:tc>
          <w:tcPr>
            <w:tcW w:w="960" w:type="dxa"/>
            <w:noWrap/>
            <w:hideMark/>
          </w:tcPr>
          <w:p w14:paraId="0BFFD7E7"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537</w:t>
            </w:r>
          </w:p>
        </w:tc>
        <w:tc>
          <w:tcPr>
            <w:tcW w:w="960" w:type="dxa"/>
            <w:noWrap/>
            <w:hideMark/>
          </w:tcPr>
          <w:p w14:paraId="0BFFD7E8"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647</w:t>
            </w:r>
          </w:p>
        </w:tc>
        <w:tc>
          <w:tcPr>
            <w:tcW w:w="960" w:type="dxa"/>
            <w:noWrap/>
            <w:hideMark/>
          </w:tcPr>
          <w:p w14:paraId="0BFFD7E9"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552</w:t>
            </w:r>
          </w:p>
        </w:tc>
        <w:tc>
          <w:tcPr>
            <w:tcW w:w="960" w:type="dxa"/>
            <w:noWrap/>
            <w:hideMark/>
          </w:tcPr>
          <w:p w14:paraId="0BFFD7EA"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507</w:t>
            </w:r>
          </w:p>
        </w:tc>
      </w:tr>
      <w:tr w:rsidR="004B3171" w:rsidRPr="00193E06" w14:paraId="0BFFD7F2" w14:textId="77777777" w:rsidTr="00193E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EC"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Guidance</w:t>
            </w:r>
          </w:p>
        </w:tc>
        <w:tc>
          <w:tcPr>
            <w:tcW w:w="960" w:type="dxa"/>
            <w:noWrap/>
            <w:hideMark/>
          </w:tcPr>
          <w:p w14:paraId="0BFFD7ED"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389</w:t>
            </w:r>
          </w:p>
        </w:tc>
        <w:tc>
          <w:tcPr>
            <w:tcW w:w="960" w:type="dxa"/>
            <w:noWrap/>
            <w:hideMark/>
          </w:tcPr>
          <w:p w14:paraId="0BFFD7EE"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350</w:t>
            </w:r>
          </w:p>
        </w:tc>
        <w:tc>
          <w:tcPr>
            <w:tcW w:w="960" w:type="dxa"/>
            <w:noWrap/>
            <w:hideMark/>
          </w:tcPr>
          <w:p w14:paraId="0BFFD7EF"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385</w:t>
            </w:r>
          </w:p>
        </w:tc>
        <w:tc>
          <w:tcPr>
            <w:tcW w:w="960" w:type="dxa"/>
            <w:noWrap/>
            <w:hideMark/>
          </w:tcPr>
          <w:p w14:paraId="0BFFD7F0"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402</w:t>
            </w:r>
          </w:p>
        </w:tc>
        <w:tc>
          <w:tcPr>
            <w:tcW w:w="960" w:type="dxa"/>
            <w:noWrap/>
            <w:hideMark/>
          </w:tcPr>
          <w:p w14:paraId="0BFFD7F1" w14:textId="77777777" w:rsidR="004B3171" w:rsidRPr="00193E06" w:rsidRDefault="004B3171" w:rsidP="00193E0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430</w:t>
            </w:r>
          </w:p>
        </w:tc>
      </w:tr>
      <w:tr w:rsidR="004B3171" w:rsidRPr="00193E06" w14:paraId="0BFFD7F9" w14:textId="77777777" w:rsidTr="00193E06">
        <w:trPr>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BFFD7F3" w14:textId="77777777" w:rsidR="004B3171" w:rsidRPr="00193E06" w:rsidRDefault="004B3171" w:rsidP="00193E06">
            <w:pPr>
              <w:rPr>
                <w:rFonts w:asciiTheme="majorHAnsi" w:hAnsiTheme="majorHAnsi" w:cs="Times New Roman"/>
                <w:sz w:val="22"/>
                <w:szCs w:val="22"/>
              </w:rPr>
            </w:pPr>
            <w:r w:rsidRPr="00193E06">
              <w:rPr>
                <w:rFonts w:asciiTheme="majorHAnsi" w:hAnsiTheme="majorHAnsi" w:cs="Times New Roman"/>
                <w:sz w:val="22"/>
                <w:szCs w:val="22"/>
              </w:rPr>
              <w:t>Reading</w:t>
            </w:r>
          </w:p>
        </w:tc>
        <w:tc>
          <w:tcPr>
            <w:tcW w:w="960" w:type="dxa"/>
            <w:noWrap/>
            <w:hideMark/>
          </w:tcPr>
          <w:p w14:paraId="0BFFD7F4"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276</w:t>
            </w:r>
          </w:p>
        </w:tc>
        <w:tc>
          <w:tcPr>
            <w:tcW w:w="960" w:type="dxa"/>
            <w:noWrap/>
            <w:hideMark/>
          </w:tcPr>
          <w:p w14:paraId="0BFFD7F5"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225</w:t>
            </w:r>
          </w:p>
        </w:tc>
        <w:tc>
          <w:tcPr>
            <w:tcW w:w="960" w:type="dxa"/>
            <w:noWrap/>
            <w:hideMark/>
          </w:tcPr>
          <w:p w14:paraId="0BFFD7F6"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298</w:t>
            </w:r>
          </w:p>
        </w:tc>
        <w:tc>
          <w:tcPr>
            <w:tcW w:w="960" w:type="dxa"/>
            <w:noWrap/>
            <w:hideMark/>
          </w:tcPr>
          <w:p w14:paraId="0BFFD7F7"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353</w:t>
            </w:r>
          </w:p>
        </w:tc>
        <w:tc>
          <w:tcPr>
            <w:tcW w:w="960" w:type="dxa"/>
            <w:noWrap/>
            <w:hideMark/>
          </w:tcPr>
          <w:p w14:paraId="0BFFD7F8" w14:textId="77777777" w:rsidR="004B3171" w:rsidRPr="00193E06" w:rsidRDefault="004B3171" w:rsidP="00193E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193E06">
              <w:rPr>
                <w:rFonts w:asciiTheme="majorHAnsi" w:hAnsiTheme="majorHAnsi" w:cs="Times New Roman"/>
                <w:sz w:val="22"/>
                <w:szCs w:val="22"/>
              </w:rPr>
              <w:t>271</w:t>
            </w:r>
          </w:p>
        </w:tc>
      </w:tr>
    </w:tbl>
    <w:p w14:paraId="0BFFD7FA" w14:textId="77777777" w:rsidR="004B3171" w:rsidRPr="00193E06" w:rsidRDefault="004B3171" w:rsidP="004B3171">
      <w:pPr>
        <w:rPr>
          <w:rFonts w:asciiTheme="majorHAnsi" w:hAnsiTheme="majorHAnsi"/>
          <w:sz w:val="22"/>
          <w:szCs w:val="22"/>
        </w:rPr>
      </w:pPr>
    </w:p>
    <w:p w14:paraId="0BFFD7FB" w14:textId="77777777" w:rsidR="004B3171" w:rsidRPr="00193E06" w:rsidRDefault="004B3171" w:rsidP="004B3171">
      <w:pPr>
        <w:rPr>
          <w:rFonts w:asciiTheme="majorHAnsi" w:hAnsiTheme="majorHAnsi"/>
          <w:b/>
          <w:sz w:val="22"/>
          <w:szCs w:val="22"/>
        </w:rPr>
      </w:pPr>
    </w:p>
    <w:tbl>
      <w:tblPr>
        <w:tblW w:w="980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080"/>
        <w:gridCol w:w="960"/>
        <w:gridCol w:w="960"/>
        <w:gridCol w:w="960"/>
        <w:gridCol w:w="960"/>
        <w:gridCol w:w="960"/>
        <w:gridCol w:w="876"/>
        <w:gridCol w:w="1044"/>
      </w:tblGrid>
      <w:tr w:rsidR="004B3171" w:rsidRPr="00193E06" w14:paraId="0BFFD804" w14:textId="77777777" w:rsidTr="00193E06">
        <w:trPr>
          <w:trHeight w:val="300"/>
        </w:trPr>
        <w:tc>
          <w:tcPr>
            <w:tcW w:w="3080" w:type="dxa"/>
            <w:shd w:val="clear" w:color="auto" w:fill="4F81BD"/>
            <w:noWrap/>
            <w:hideMark/>
          </w:tcPr>
          <w:p w14:paraId="0BFFD7FC" w14:textId="77777777" w:rsidR="004B3171" w:rsidRPr="00193E06" w:rsidRDefault="004B3171" w:rsidP="00193E06">
            <w:pPr>
              <w:spacing w:after="0"/>
              <w:rPr>
                <w:rFonts w:asciiTheme="majorHAnsi" w:hAnsiTheme="majorHAnsi"/>
                <w:b/>
                <w:bCs/>
                <w:sz w:val="22"/>
                <w:szCs w:val="22"/>
              </w:rPr>
            </w:pPr>
          </w:p>
        </w:tc>
        <w:tc>
          <w:tcPr>
            <w:tcW w:w="960" w:type="dxa"/>
            <w:shd w:val="clear" w:color="auto" w:fill="4F81BD"/>
            <w:noWrap/>
            <w:hideMark/>
          </w:tcPr>
          <w:p w14:paraId="0BFFD7FD"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2011</w:t>
            </w:r>
          </w:p>
        </w:tc>
        <w:tc>
          <w:tcPr>
            <w:tcW w:w="960" w:type="dxa"/>
            <w:shd w:val="clear" w:color="auto" w:fill="4F81BD"/>
            <w:noWrap/>
            <w:hideMark/>
          </w:tcPr>
          <w:p w14:paraId="0BFFD7FE"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2012</w:t>
            </w:r>
          </w:p>
        </w:tc>
        <w:tc>
          <w:tcPr>
            <w:tcW w:w="960" w:type="dxa"/>
            <w:shd w:val="clear" w:color="auto" w:fill="4F81BD"/>
            <w:noWrap/>
            <w:hideMark/>
          </w:tcPr>
          <w:p w14:paraId="0BFFD7FF"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2013</w:t>
            </w:r>
          </w:p>
        </w:tc>
        <w:tc>
          <w:tcPr>
            <w:tcW w:w="960" w:type="dxa"/>
            <w:shd w:val="clear" w:color="auto" w:fill="4F81BD"/>
            <w:noWrap/>
            <w:hideMark/>
          </w:tcPr>
          <w:p w14:paraId="0BFFD800"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2014</w:t>
            </w:r>
          </w:p>
        </w:tc>
        <w:tc>
          <w:tcPr>
            <w:tcW w:w="960" w:type="dxa"/>
            <w:shd w:val="clear" w:color="auto" w:fill="4F81BD"/>
            <w:noWrap/>
            <w:hideMark/>
          </w:tcPr>
          <w:p w14:paraId="0BFFD801" w14:textId="77777777" w:rsidR="004B3171" w:rsidRPr="00193E06" w:rsidRDefault="004B3171" w:rsidP="00193E06">
            <w:pPr>
              <w:spacing w:after="0"/>
              <w:jc w:val="right"/>
              <w:rPr>
                <w:rFonts w:asciiTheme="majorHAnsi" w:hAnsiTheme="majorHAnsi"/>
                <w:b/>
                <w:bCs/>
                <w:sz w:val="22"/>
                <w:szCs w:val="22"/>
              </w:rPr>
            </w:pPr>
            <w:r w:rsidRPr="00193E06">
              <w:rPr>
                <w:rFonts w:asciiTheme="majorHAnsi" w:hAnsiTheme="majorHAnsi"/>
                <w:b/>
                <w:bCs/>
                <w:sz w:val="22"/>
                <w:szCs w:val="22"/>
              </w:rPr>
              <w:t>2015</w:t>
            </w:r>
          </w:p>
        </w:tc>
        <w:tc>
          <w:tcPr>
            <w:tcW w:w="960" w:type="dxa"/>
            <w:shd w:val="clear" w:color="auto" w:fill="4F81BD"/>
          </w:tcPr>
          <w:p w14:paraId="0BFFD802"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2016*</w:t>
            </w:r>
          </w:p>
        </w:tc>
        <w:tc>
          <w:tcPr>
            <w:tcW w:w="960" w:type="dxa"/>
            <w:shd w:val="clear" w:color="auto" w:fill="4F81BD"/>
            <w:noWrap/>
            <w:hideMark/>
          </w:tcPr>
          <w:p w14:paraId="0BFFD803"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Average</w:t>
            </w:r>
          </w:p>
        </w:tc>
      </w:tr>
      <w:tr w:rsidR="004B3171" w:rsidRPr="00193E06" w14:paraId="0BFFD80D" w14:textId="77777777" w:rsidTr="00193E06">
        <w:trPr>
          <w:trHeight w:val="300"/>
        </w:trPr>
        <w:tc>
          <w:tcPr>
            <w:tcW w:w="3080" w:type="dxa"/>
            <w:tcBorders>
              <w:top w:val="single" w:sz="8" w:space="0" w:color="4F81BD"/>
              <w:left w:val="single" w:sz="8" w:space="0" w:color="4F81BD"/>
              <w:bottom w:val="single" w:sz="8" w:space="0" w:color="4F81BD"/>
            </w:tcBorders>
            <w:noWrap/>
            <w:hideMark/>
          </w:tcPr>
          <w:p w14:paraId="0BFFD805" w14:textId="77777777" w:rsidR="004B3171" w:rsidRPr="00193E06" w:rsidRDefault="004B3171" w:rsidP="00193E06">
            <w:pPr>
              <w:spacing w:after="0"/>
              <w:rPr>
                <w:rFonts w:asciiTheme="majorHAnsi" w:hAnsiTheme="majorHAnsi"/>
                <w:b/>
                <w:bCs/>
                <w:sz w:val="22"/>
                <w:szCs w:val="22"/>
              </w:rPr>
            </w:pPr>
            <w:r w:rsidRPr="00193E06">
              <w:rPr>
                <w:rFonts w:asciiTheme="majorHAnsi" w:hAnsiTheme="majorHAnsi"/>
                <w:b/>
                <w:bCs/>
                <w:sz w:val="22"/>
                <w:szCs w:val="22"/>
              </w:rPr>
              <w:t>Total Initial Extension</w:t>
            </w:r>
          </w:p>
        </w:tc>
        <w:tc>
          <w:tcPr>
            <w:tcW w:w="960" w:type="dxa"/>
            <w:tcBorders>
              <w:top w:val="single" w:sz="8" w:space="0" w:color="4F81BD"/>
              <w:bottom w:val="single" w:sz="8" w:space="0" w:color="4F81BD"/>
            </w:tcBorders>
            <w:noWrap/>
            <w:hideMark/>
          </w:tcPr>
          <w:p w14:paraId="0BFFD806"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873</w:t>
            </w:r>
          </w:p>
        </w:tc>
        <w:tc>
          <w:tcPr>
            <w:tcW w:w="960" w:type="dxa"/>
            <w:tcBorders>
              <w:top w:val="single" w:sz="8" w:space="0" w:color="4F81BD"/>
              <w:bottom w:val="single" w:sz="8" w:space="0" w:color="4F81BD"/>
            </w:tcBorders>
            <w:noWrap/>
            <w:hideMark/>
          </w:tcPr>
          <w:p w14:paraId="0BFFD807"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843</w:t>
            </w:r>
          </w:p>
        </w:tc>
        <w:tc>
          <w:tcPr>
            <w:tcW w:w="960" w:type="dxa"/>
            <w:tcBorders>
              <w:top w:val="single" w:sz="8" w:space="0" w:color="4F81BD"/>
              <w:bottom w:val="single" w:sz="8" w:space="0" w:color="4F81BD"/>
            </w:tcBorders>
            <w:noWrap/>
            <w:hideMark/>
          </w:tcPr>
          <w:p w14:paraId="0BFFD808"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1030</w:t>
            </w:r>
          </w:p>
        </w:tc>
        <w:tc>
          <w:tcPr>
            <w:tcW w:w="960" w:type="dxa"/>
            <w:tcBorders>
              <w:top w:val="single" w:sz="8" w:space="0" w:color="4F81BD"/>
              <w:bottom w:val="single" w:sz="8" w:space="0" w:color="4F81BD"/>
            </w:tcBorders>
            <w:noWrap/>
            <w:hideMark/>
          </w:tcPr>
          <w:p w14:paraId="0BFFD809"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924</w:t>
            </w:r>
          </w:p>
        </w:tc>
        <w:tc>
          <w:tcPr>
            <w:tcW w:w="960" w:type="dxa"/>
            <w:tcBorders>
              <w:top w:val="single" w:sz="8" w:space="0" w:color="4F81BD"/>
              <w:bottom w:val="single" w:sz="8" w:space="0" w:color="4F81BD"/>
            </w:tcBorders>
            <w:noWrap/>
            <w:hideMark/>
          </w:tcPr>
          <w:p w14:paraId="0BFFD80A" w14:textId="77777777" w:rsidR="004B3171" w:rsidRPr="00193E06" w:rsidRDefault="004B3171" w:rsidP="00193E06">
            <w:pPr>
              <w:spacing w:after="0"/>
              <w:jc w:val="right"/>
              <w:rPr>
                <w:rFonts w:asciiTheme="majorHAnsi" w:hAnsiTheme="majorHAnsi"/>
                <w:b/>
                <w:sz w:val="22"/>
                <w:szCs w:val="22"/>
              </w:rPr>
            </w:pPr>
            <w:r w:rsidRPr="00193E06">
              <w:rPr>
                <w:rFonts w:asciiTheme="majorHAnsi" w:hAnsiTheme="majorHAnsi"/>
                <w:b/>
                <w:sz w:val="22"/>
                <w:szCs w:val="22"/>
              </w:rPr>
              <w:t>793</w:t>
            </w:r>
          </w:p>
        </w:tc>
        <w:tc>
          <w:tcPr>
            <w:tcW w:w="960" w:type="dxa"/>
            <w:tcBorders>
              <w:top w:val="single" w:sz="8" w:space="0" w:color="4F81BD"/>
              <w:bottom w:val="single" w:sz="8" w:space="0" w:color="4F81BD"/>
            </w:tcBorders>
          </w:tcPr>
          <w:p w14:paraId="0BFFD80B"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790</w:t>
            </w:r>
          </w:p>
        </w:tc>
        <w:tc>
          <w:tcPr>
            <w:tcW w:w="960" w:type="dxa"/>
            <w:tcBorders>
              <w:top w:val="single" w:sz="8" w:space="0" w:color="4F81BD"/>
              <w:bottom w:val="single" w:sz="8" w:space="0" w:color="4F81BD"/>
              <w:right w:val="single" w:sz="8" w:space="0" w:color="4F81BD"/>
            </w:tcBorders>
            <w:noWrap/>
            <w:hideMark/>
          </w:tcPr>
          <w:p w14:paraId="0BFFD80C"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876</w:t>
            </w:r>
          </w:p>
        </w:tc>
      </w:tr>
    </w:tbl>
    <w:p w14:paraId="0BFFD80E" w14:textId="77777777" w:rsidR="004B3171" w:rsidRPr="00193E06" w:rsidRDefault="004B3171" w:rsidP="004B3171">
      <w:pPr>
        <w:rPr>
          <w:rFonts w:asciiTheme="majorHAnsi" w:hAnsiTheme="majorHAnsi"/>
          <w:sz w:val="22"/>
          <w:szCs w:val="22"/>
        </w:rPr>
      </w:pPr>
      <w:r w:rsidRPr="00193E06">
        <w:rPr>
          <w:rFonts w:asciiTheme="majorHAnsi" w:hAnsiTheme="majorHAnsi"/>
          <w:sz w:val="22"/>
          <w:szCs w:val="22"/>
        </w:rPr>
        <w:t>*As of December 1, 2016</w:t>
      </w:r>
    </w:p>
    <w:p w14:paraId="0BFFD80F" w14:textId="77777777" w:rsidR="00C554CA" w:rsidRDefault="00C554CA">
      <w:pPr>
        <w:spacing w:line="276" w:lineRule="auto"/>
        <w:rPr>
          <w:rFonts w:asciiTheme="majorHAnsi" w:hAnsiTheme="majorHAnsi" w:cs="Segoe UI"/>
          <w:b/>
          <w:sz w:val="22"/>
          <w:szCs w:val="22"/>
        </w:rPr>
      </w:pPr>
      <w:r>
        <w:rPr>
          <w:rFonts w:asciiTheme="majorHAnsi" w:hAnsiTheme="majorHAnsi" w:cs="Segoe UI"/>
          <w:b/>
          <w:sz w:val="22"/>
          <w:szCs w:val="22"/>
        </w:rPr>
        <w:br w:type="page"/>
      </w:r>
    </w:p>
    <w:p w14:paraId="0BFFD810" w14:textId="77777777" w:rsidR="004B3171" w:rsidRPr="00193E06" w:rsidRDefault="004B3171" w:rsidP="004B3171">
      <w:pPr>
        <w:pBdr>
          <w:bottom w:val="single" w:sz="4" w:space="1" w:color="auto"/>
        </w:pBdr>
        <w:spacing w:after="400"/>
        <w:contextualSpacing/>
        <w:rPr>
          <w:rFonts w:asciiTheme="majorHAnsi" w:hAnsiTheme="majorHAnsi" w:cs="Segoe UI"/>
          <w:b/>
          <w:sz w:val="22"/>
          <w:szCs w:val="22"/>
        </w:rPr>
      </w:pPr>
      <w:r w:rsidRPr="00193E06">
        <w:rPr>
          <w:rFonts w:asciiTheme="majorHAnsi" w:hAnsiTheme="majorHAnsi" w:cs="Segoe UI"/>
          <w:b/>
          <w:sz w:val="22"/>
          <w:szCs w:val="22"/>
        </w:rPr>
        <w:lastRenderedPageBreak/>
        <w:t>Massachusetts Statute &amp; Regulations Crosswalk Professional License</w:t>
      </w:r>
    </w:p>
    <w:p w14:paraId="0BFFD811" w14:textId="77777777" w:rsidR="004B3171" w:rsidRPr="00193E06" w:rsidRDefault="004B3171" w:rsidP="004B3171">
      <w:pPr>
        <w:spacing w:after="160" w:line="259" w:lineRule="auto"/>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Overview</w:t>
      </w:r>
    </w:p>
    <w:p w14:paraId="0BFFD812" w14:textId="77777777" w:rsidR="004B3171" w:rsidRPr="00193E06" w:rsidRDefault="004B3171" w:rsidP="004B3171">
      <w:pPr>
        <w:spacing w:after="160" w:line="259" w:lineRule="auto"/>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This document outlines the statutory (M.G.L. 71 § 38G) and corresponding regulatory (603 CMR 7.00) aspects of obtaining a Professional License in the Commonwealth. Each section has a table divided by statute, regulations, and recommendations for the working group to discuss.  </w:t>
      </w:r>
    </w:p>
    <w:p w14:paraId="0BFFD813" w14:textId="77777777" w:rsidR="004B3171" w:rsidRPr="00C554CA" w:rsidRDefault="004B3171" w:rsidP="004B3171">
      <w:pPr>
        <w:rPr>
          <w:rFonts w:asciiTheme="majorHAnsi" w:hAnsiTheme="majorHAnsi"/>
          <w:sz w:val="22"/>
          <w:szCs w:val="22"/>
        </w:rPr>
      </w:pPr>
      <w:r w:rsidRPr="00193E06">
        <w:rPr>
          <w:rFonts w:asciiTheme="majorHAnsi" w:hAnsiTheme="majorHAnsi"/>
          <w:b/>
          <w:sz w:val="22"/>
          <w:szCs w:val="22"/>
        </w:rPr>
        <w:t xml:space="preserve">Definition: </w:t>
      </w:r>
      <w:r w:rsidRPr="00193E06">
        <w:rPr>
          <w:rFonts w:asciiTheme="majorHAnsi" w:hAnsiTheme="majorHAnsi"/>
          <w:sz w:val="22"/>
          <w:szCs w:val="22"/>
        </w:rPr>
        <w:t xml:space="preserve">An educator's license issued to a person who has been employed under an initial license for three years, completed induction and mentoring and satisfied other requirements established by the Board. The Professional license is valid for five calendar years and renewable based on earning PDPs.  </w:t>
      </w:r>
    </w:p>
    <w:tbl>
      <w:tblPr>
        <w:tblStyle w:val="TableGrid1"/>
        <w:tblW w:w="13968" w:type="dxa"/>
        <w:tblLayout w:type="fixed"/>
        <w:tblLook w:val="04A0" w:firstRow="1" w:lastRow="0" w:firstColumn="1" w:lastColumn="0" w:noHBand="0" w:noVBand="1"/>
      </w:tblPr>
      <w:tblGrid>
        <w:gridCol w:w="2718"/>
        <w:gridCol w:w="11250"/>
      </w:tblGrid>
      <w:tr w:rsidR="004B3171" w:rsidRPr="00193E06" w14:paraId="0BFFD816" w14:textId="77777777" w:rsidTr="00193E06">
        <w:tc>
          <w:tcPr>
            <w:tcW w:w="2718" w:type="dxa"/>
            <w:tcBorders>
              <w:bottom w:val="single" w:sz="4" w:space="0" w:color="auto"/>
            </w:tcBorders>
            <w:shd w:val="clear" w:color="auto" w:fill="5B9BD5"/>
          </w:tcPr>
          <w:p w14:paraId="0BFFD814"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Statute</w:t>
            </w:r>
          </w:p>
        </w:tc>
        <w:tc>
          <w:tcPr>
            <w:tcW w:w="11250" w:type="dxa"/>
            <w:tcBorders>
              <w:bottom w:val="single" w:sz="4" w:space="0" w:color="auto"/>
            </w:tcBorders>
            <w:shd w:val="clear" w:color="auto" w:fill="5B9BD5"/>
          </w:tcPr>
          <w:p w14:paraId="0BFFD815" w14:textId="77777777" w:rsidR="004B3171" w:rsidRPr="00193E06" w:rsidRDefault="004B3171" w:rsidP="00193E06">
            <w:pPr>
              <w:jc w:val="center"/>
              <w:rPr>
                <w:rFonts w:asciiTheme="majorHAnsi" w:eastAsia="Calibri" w:hAnsiTheme="majorHAnsi" w:cs="Segoe UI"/>
                <w:b/>
                <w:color w:val="auto"/>
                <w:sz w:val="22"/>
                <w:szCs w:val="22"/>
              </w:rPr>
            </w:pPr>
            <w:r w:rsidRPr="00193E06">
              <w:rPr>
                <w:rFonts w:asciiTheme="majorHAnsi" w:hAnsiTheme="majorHAnsi"/>
                <w:b/>
                <w:color w:val="auto"/>
                <w:sz w:val="22"/>
                <w:szCs w:val="22"/>
              </w:rPr>
              <w:t>Regulations</w:t>
            </w:r>
          </w:p>
        </w:tc>
      </w:tr>
      <w:tr w:rsidR="004B3171" w:rsidRPr="00193E06" w14:paraId="0BFFD82E" w14:textId="77777777" w:rsidTr="00193E06">
        <w:tc>
          <w:tcPr>
            <w:tcW w:w="2718" w:type="dxa"/>
            <w:tcBorders>
              <w:bottom w:val="single" w:sz="4" w:space="0" w:color="auto"/>
            </w:tcBorders>
            <w:shd w:val="clear" w:color="auto" w:fill="FFF2CC"/>
          </w:tcPr>
          <w:p w14:paraId="0BFFD817" w14:textId="77777777" w:rsidR="004B3171" w:rsidRPr="00193E06" w:rsidRDefault="004B3171" w:rsidP="004B3171">
            <w:pPr>
              <w:numPr>
                <w:ilvl w:val="0"/>
                <w:numId w:val="1"/>
              </w:numPr>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At least one year under provisional with advanced standing</w:t>
            </w:r>
          </w:p>
          <w:p w14:paraId="0BFFD818" w14:textId="77777777" w:rsidR="004B3171" w:rsidRPr="00193E06" w:rsidRDefault="004B3171" w:rsidP="004B3171">
            <w:pPr>
              <w:numPr>
                <w:ilvl w:val="0"/>
                <w:numId w:val="1"/>
              </w:numPr>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Completed</w:t>
            </w:r>
          </w:p>
          <w:p w14:paraId="0BFFD819"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Approved Master’ s program OR</w:t>
            </w:r>
          </w:p>
          <w:p w14:paraId="0BFFD81A"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Equivalent approved district program for standard certification OR</w:t>
            </w:r>
          </w:p>
          <w:p w14:paraId="0BFFD81B"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Other equivalent programs approved by Commissioner AND</w:t>
            </w:r>
          </w:p>
          <w:p w14:paraId="0BFFD81C" w14:textId="77777777" w:rsidR="004B3171" w:rsidRPr="00193E06" w:rsidRDefault="004B3171" w:rsidP="004B3171">
            <w:pPr>
              <w:numPr>
                <w:ilvl w:val="0"/>
                <w:numId w:val="1"/>
              </w:numPr>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Demonstrated successful performance set by Commissioner</w:t>
            </w:r>
          </w:p>
          <w:p w14:paraId="0BFFD81D" w14:textId="77777777" w:rsidR="004B3171" w:rsidRPr="00193E06" w:rsidRDefault="004B3171" w:rsidP="004B3171">
            <w:pPr>
              <w:numPr>
                <w:ilvl w:val="0"/>
                <w:numId w:val="1"/>
              </w:numPr>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Valid for renewable terms of 5 years</w:t>
            </w:r>
          </w:p>
          <w:p w14:paraId="0BFFD81E" w14:textId="77777777" w:rsidR="004B3171" w:rsidRPr="00193E06" w:rsidRDefault="004B3171" w:rsidP="00193E06">
            <w:pPr>
              <w:ind w:left="360"/>
              <w:contextualSpacing/>
              <w:rPr>
                <w:rFonts w:asciiTheme="majorHAnsi" w:eastAsia="Calibri" w:hAnsiTheme="majorHAnsi" w:cs="Segoe UI"/>
                <w:color w:val="auto"/>
                <w:sz w:val="20"/>
              </w:rPr>
            </w:pPr>
          </w:p>
        </w:tc>
        <w:tc>
          <w:tcPr>
            <w:tcW w:w="11250" w:type="dxa"/>
            <w:tcBorders>
              <w:bottom w:val="single" w:sz="4" w:space="0" w:color="auto"/>
            </w:tcBorders>
            <w:shd w:val="clear" w:color="auto" w:fill="FFF2CC"/>
          </w:tcPr>
          <w:p w14:paraId="0BFFD81F" w14:textId="77777777" w:rsidR="004B3171" w:rsidRPr="00193E06" w:rsidRDefault="004B3171" w:rsidP="004B3171">
            <w:pPr>
              <w:numPr>
                <w:ilvl w:val="0"/>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Possession of an Initial license in the same field as the Professional license sought.</w:t>
            </w:r>
          </w:p>
          <w:p w14:paraId="0BFFD820" w14:textId="77777777" w:rsidR="004B3171" w:rsidRPr="00193E06" w:rsidRDefault="004B3171" w:rsidP="004B3171">
            <w:pPr>
              <w:numPr>
                <w:ilvl w:val="0"/>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Completion of a one-year induction program with a mentor.</w:t>
            </w:r>
          </w:p>
          <w:p w14:paraId="0BFFD821" w14:textId="77777777" w:rsidR="004B3171" w:rsidRPr="00193E06" w:rsidRDefault="004B3171" w:rsidP="004B3171">
            <w:pPr>
              <w:numPr>
                <w:ilvl w:val="0"/>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At least three full years of employment under the Initial license.</w:t>
            </w:r>
          </w:p>
          <w:p w14:paraId="0BFFD822" w14:textId="77777777" w:rsidR="004B3171" w:rsidRPr="00193E06" w:rsidRDefault="004B3171" w:rsidP="004B3171">
            <w:pPr>
              <w:numPr>
                <w:ilvl w:val="0"/>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At least 50 hours of a mentored experience beyond the induction year, which may be fulfilled as part of a program option in 603 CMR 7.04 (2) (c) 5.</w:t>
            </w:r>
          </w:p>
          <w:p w14:paraId="0BFFD823" w14:textId="77777777" w:rsidR="004B3171" w:rsidRPr="00193E06" w:rsidRDefault="004B3171" w:rsidP="004B3171">
            <w:pPr>
              <w:numPr>
                <w:ilvl w:val="0"/>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Completion of one of the following:</w:t>
            </w:r>
          </w:p>
          <w:p w14:paraId="0BFFD824"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 xml:space="preserve">Approved district-based program for the Professional license sought as set forth in 603 CMR 7.03 (2) (b) 1. </w:t>
            </w:r>
            <w:proofErr w:type="gramStart"/>
            <w:r w:rsidRPr="00193E06">
              <w:rPr>
                <w:rFonts w:asciiTheme="majorHAnsi" w:eastAsia="Calibri" w:hAnsiTheme="majorHAnsi" w:cs="Segoe UI"/>
                <w:color w:val="auto"/>
                <w:sz w:val="20"/>
              </w:rPr>
              <w:t>a</w:t>
            </w:r>
            <w:proofErr w:type="gramEnd"/>
            <w:r w:rsidRPr="00193E06">
              <w:rPr>
                <w:rFonts w:asciiTheme="majorHAnsi" w:eastAsia="Calibri" w:hAnsiTheme="majorHAnsi" w:cs="Segoe UI"/>
                <w:color w:val="auto"/>
                <w:sz w:val="20"/>
              </w:rPr>
              <w:t>.</w:t>
            </w:r>
          </w:p>
          <w:p w14:paraId="0BFFD825"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A master's or higher graduate level program in an accredited college or university that is or includes one of the following:</w:t>
            </w:r>
          </w:p>
          <w:p w14:paraId="0BFFD826" w14:textId="77777777" w:rsidR="004B3171" w:rsidRPr="00193E06" w:rsidRDefault="004B3171" w:rsidP="004B3171">
            <w:pPr>
              <w:numPr>
                <w:ilvl w:val="3"/>
                <w:numId w:val="1"/>
              </w:numPr>
              <w:ind w:left="1170"/>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 xml:space="preserve">Approved program for the Professional license sought as set forth in 603 CMR 7.03 (2) (b) 1. </w:t>
            </w:r>
            <w:proofErr w:type="gramStart"/>
            <w:r w:rsidRPr="00193E06">
              <w:rPr>
                <w:rFonts w:asciiTheme="majorHAnsi" w:eastAsia="Calibri" w:hAnsiTheme="majorHAnsi" w:cs="Segoe UI"/>
                <w:color w:val="auto"/>
                <w:sz w:val="20"/>
              </w:rPr>
              <w:t>b</w:t>
            </w:r>
            <w:proofErr w:type="gramEnd"/>
            <w:r w:rsidRPr="00193E06">
              <w:rPr>
                <w:rFonts w:asciiTheme="majorHAnsi" w:eastAsia="Calibri" w:hAnsiTheme="majorHAnsi" w:cs="Segoe UI"/>
                <w:color w:val="auto"/>
                <w:sz w:val="20"/>
              </w:rPr>
              <w:t>.</w:t>
            </w:r>
          </w:p>
          <w:p w14:paraId="0BFFD827" w14:textId="77777777" w:rsidR="004B3171" w:rsidRPr="00193E06" w:rsidRDefault="004B3171" w:rsidP="004B3171">
            <w:pPr>
              <w:numPr>
                <w:ilvl w:val="3"/>
                <w:numId w:val="1"/>
              </w:numPr>
              <w:ind w:left="1170"/>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A master's degree program or other advanced graduate program in the academic discipline appropriate to the license sought in a graduate or professional school other than education.</w:t>
            </w:r>
          </w:p>
          <w:p w14:paraId="0BFFD828"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For those who have completed any master's or higher degree or other advanced graduate program not described in 603 CMR 7.04 (2) (c) 5. b., in an accredited college or university, one of the following:</w:t>
            </w:r>
          </w:p>
          <w:p w14:paraId="0BFFD829" w14:textId="77777777" w:rsidR="004B3171" w:rsidRPr="00193E06" w:rsidRDefault="004B3171" w:rsidP="004B3171">
            <w:pPr>
              <w:numPr>
                <w:ilvl w:val="3"/>
                <w:numId w:val="1"/>
              </w:numPr>
              <w:ind w:left="1170"/>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Approved, non-degree, 12-credit program of which no fewer than nine credits are in subject matter knowledge or pedagogy based on the subject matter knowledge of the Professional license sought as set forth in 603 CMR 7.03 (4) (b) 1.</w:t>
            </w:r>
          </w:p>
          <w:p w14:paraId="0BFFD82A" w14:textId="77777777" w:rsidR="004B3171" w:rsidRPr="00193E06" w:rsidRDefault="004B3171" w:rsidP="004B3171">
            <w:pPr>
              <w:numPr>
                <w:ilvl w:val="3"/>
                <w:numId w:val="1"/>
              </w:numPr>
              <w:ind w:left="1170"/>
              <w:contextualSpacing/>
              <w:rPr>
                <w:rFonts w:asciiTheme="majorHAnsi" w:eastAsia="Calibri" w:hAnsiTheme="majorHAnsi" w:cs="Segoe UI"/>
                <w:color w:val="auto"/>
                <w:sz w:val="20"/>
              </w:rPr>
            </w:pPr>
            <w:r w:rsidRPr="00193E06">
              <w:rPr>
                <w:rFonts w:asciiTheme="majorHAnsi" w:eastAsia="Calibri" w:hAnsiTheme="majorHAnsi" w:cs="Segoe UI"/>
                <w:color w:val="auto"/>
                <w:sz w:val="20"/>
              </w:rPr>
              <w:t>12 credits of graduate level courses in subject matter knowledge or pedagogy based on the subject matter knowledge of the Professional license sought; these may include credits earned prior to application for the license.</w:t>
            </w:r>
          </w:p>
          <w:p w14:paraId="0BFFD82B"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Programs leading to eligibility for master teacher status, such as those sponsored by the National Board for Professional Teaching Standards and others accepted by the Commissioner.</w:t>
            </w:r>
          </w:p>
          <w:p w14:paraId="0BFFD82C" w14:textId="77777777" w:rsidR="004B3171" w:rsidRPr="00193E06" w:rsidRDefault="004B3171" w:rsidP="004B3171">
            <w:pPr>
              <w:numPr>
                <w:ilvl w:val="1"/>
                <w:numId w:val="1"/>
              </w:numPr>
              <w:rPr>
                <w:rFonts w:asciiTheme="majorHAnsi" w:eastAsia="Calibri" w:hAnsiTheme="majorHAnsi" w:cs="Segoe UI"/>
                <w:color w:val="auto"/>
                <w:sz w:val="20"/>
              </w:rPr>
            </w:pPr>
            <w:r w:rsidRPr="00193E06">
              <w:rPr>
                <w:rFonts w:asciiTheme="majorHAnsi" w:eastAsia="Calibri" w:hAnsiTheme="majorHAnsi" w:cs="Segoe UI"/>
                <w:color w:val="auto"/>
                <w:sz w:val="20"/>
              </w:rPr>
              <w:t>A Department-sponsored Performance Assessment Program, when available.</w:t>
            </w:r>
          </w:p>
          <w:p w14:paraId="0BFFD82D" w14:textId="77777777" w:rsidR="004B3171" w:rsidRPr="00193E06" w:rsidRDefault="004B3171" w:rsidP="00193E06">
            <w:pPr>
              <w:ind w:left="360"/>
              <w:rPr>
                <w:rFonts w:asciiTheme="majorHAnsi" w:eastAsia="Calibri" w:hAnsiTheme="majorHAnsi" w:cs="Segoe UI"/>
                <w:color w:val="auto"/>
                <w:sz w:val="20"/>
              </w:rPr>
            </w:pPr>
          </w:p>
        </w:tc>
      </w:tr>
    </w:tbl>
    <w:p w14:paraId="0BFFD82F" w14:textId="77777777" w:rsidR="00C554CA" w:rsidRDefault="00C554CA" w:rsidP="004B3171">
      <w:pPr>
        <w:rPr>
          <w:rFonts w:asciiTheme="majorHAnsi" w:hAnsiTheme="majorHAnsi"/>
          <w:b/>
          <w:sz w:val="22"/>
          <w:szCs w:val="22"/>
        </w:rPr>
      </w:pPr>
    </w:p>
    <w:p w14:paraId="0BFFD830" w14:textId="77777777" w:rsidR="004B3171" w:rsidRPr="00193E06" w:rsidRDefault="004B3171" w:rsidP="00C554CA">
      <w:pPr>
        <w:spacing w:after="0"/>
        <w:rPr>
          <w:rFonts w:asciiTheme="majorHAnsi" w:hAnsiTheme="majorHAnsi"/>
          <w:b/>
          <w:sz w:val="22"/>
          <w:szCs w:val="22"/>
        </w:rPr>
      </w:pPr>
      <w:r w:rsidRPr="00193E06">
        <w:rPr>
          <w:rFonts w:asciiTheme="majorHAnsi" w:hAnsiTheme="majorHAnsi"/>
          <w:b/>
          <w:sz w:val="22"/>
          <w:szCs w:val="22"/>
        </w:rPr>
        <w:t xml:space="preserve">Data: </w:t>
      </w:r>
    </w:p>
    <w:tbl>
      <w:tblPr>
        <w:tblW w:w="980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080"/>
        <w:gridCol w:w="960"/>
        <w:gridCol w:w="960"/>
        <w:gridCol w:w="960"/>
        <w:gridCol w:w="960"/>
        <w:gridCol w:w="960"/>
        <w:gridCol w:w="876"/>
        <w:gridCol w:w="1044"/>
      </w:tblGrid>
      <w:tr w:rsidR="004B3171" w:rsidRPr="00193E06" w14:paraId="0BFFD839" w14:textId="77777777" w:rsidTr="00193E06">
        <w:trPr>
          <w:trHeight w:val="300"/>
        </w:trPr>
        <w:tc>
          <w:tcPr>
            <w:tcW w:w="3080" w:type="dxa"/>
            <w:shd w:val="clear" w:color="auto" w:fill="4F81BD"/>
            <w:noWrap/>
            <w:hideMark/>
          </w:tcPr>
          <w:p w14:paraId="0BFFD831" w14:textId="77777777" w:rsidR="004B3171" w:rsidRPr="00193E06" w:rsidRDefault="004B3171" w:rsidP="00193E06">
            <w:pPr>
              <w:spacing w:after="0"/>
              <w:rPr>
                <w:rFonts w:asciiTheme="majorHAnsi" w:hAnsiTheme="majorHAnsi"/>
                <w:b/>
                <w:bCs/>
                <w:sz w:val="22"/>
                <w:szCs w:val="22"/>
              </w:rPr>
            </w:pPr>
          </w:p>
        </w:tc>
        <w:tc>
          <w:tcPr>
            <w:tcW w:w="960" w:type="dxa"/>
            <w:shd w:val="clear" w:color="auto" w:fill="4F81BD"/>
            <w:noWrap/>
            <w:hideMark/>
          </w:tcPr>
          <w:p w14:paraId="0BFFD832"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2011</w:t>
            </w:r>
          </w:p>
        </w:tc>
        <w:tc>
          <w:tcPr>
            <w:tcW w:w="960" w:type="dxa"/>
            <w:shd w:val="clear" w:color="auto" w:fill="4F81BD"/>
            <w:noWrap/>
            <w:hideMark/>
          </w:tcPr>
          <w:p w14:paraId="0BFFD833"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2012</w:t>
            </w:r>
          </w:p>
        </w:tc>
        <w:tc>
          <w:tcPr>
            <w:tcW w:w="960" w:type="dxa"/>
            <w:shd w:val="clear" w:color="auto" w:fill="4F81BD"/>
            <w:noWrap/>
            <w:hideMark/>
          </w:tcPr>
          <w:p w14:paraId="0BFFD834"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2013</w:t>
            </w:r>
          </w:p>
        </w:tc>
        <w:tc>
          <w:tcPr>
            <w:tcW w:w="960" w:type="dxa"/>
            <w:shd w:val="clear" w:color="auto" w:fill="4F81BD"/>
            <w:noWrap/>
            <w:hideMark/>
          </w:tcPr>
          <w:p w14:paraId="0BFFD835"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2014</w:t>
            </w:r>
          </w:p>
        </w:tc>
        <w:tc>
          <w:tcPr>
            <w:tcW w:w="960" w:type="dxa"/>
            <w:shd w:val="clear" w:color="auto" w:fill="4F81BD"/>
            <w:noWrap/>
            <w:hideMark/>
          </w:tcPr>
          <w:p w14:paraId="0BFFD836"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2015</w:t>
            </w:r>
          </w:p>
        </w:tc>
        <w:tc>
          <w:tcPr>
            <w:tcW w:w="960" w:type="dxa"/>
            <w:shd w:val="clear" w:color="auto" w:fill="4F81BD"/>
          </w:tcPr>
          <w:p w14:paraId="0BFFD837"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2016*</w:t>
            </w:r>
          </w:p>
        </w:tc>
        <w:tc>
          <w:tcPr>
            <w:tcW w:w="960" w:type="dxa"/>
            <w:shd w:val="clear" w:color="auto" w:fill="4F81BD"/>
            <w:noWrap/>
            <w:hideMark/>
          </w:tcPr>
          <w:p w14:paraId="0BFFD838" w14:textId="77777777" w:rsidR="004B3171" w:rsidRPr="00193E06" w:rsidRDefault="004B3171" w:rsidP="00193E06">
            <w:pPr>
              <w:spacing w:after="0"/>
              <w:jc w:val="center"/>
              <w:rPr>
                <w:rFonts w:asciiTheme="majorHAnsi" w:hAnsiTheme="majorHAnsi"/>
                <w:b/>
                <w:bCs/>
                <w:sz w:val="22"/>
                <w:szCs w:val="22"/>
              </w:rPr>
            </w:pPr>
            <w:r w:rsidRPr="00193E06">
              <w:rPr>
                <w:rFonts w:asciiTheme="majorHAnsi" w:hAnsiTheme="majorHAnsi"/>
                <w:b/>
                <w:bCs/>
                <w:sz w:val="22"/>
                <w:szCs w:val="22"/>
              </w:rPr>
              <w:t>Average</w:t>
            </w:r>
          </w:p>
        </w:tc>
      </w:tr>
      <w:tr w:rsidR="004B3171" w:rsidRPr="00193E06" w14:paraId="0BFFD842" w14:textId="77777777" w:rsidTr="00193E06">
        <w:trPr>
          <w:trHeight w:val="300"/>
        </w:trPr>
        <w:tc>
          <w:tcPr>
            <w:tcW w:w="3080" w:type="dxa"/>
            <w:tcBorders>
              <w:top w:val="single" w:sz="8" w:space="0" w:color="4F81BD"/>
              <w:left w:val="single" w:sz="8" w:space="0" w:color="4F81BD"/>
              <w:bottom w:val="single" w:sz="8" w:space="0" w:color="4F81BD"/>
            </w:tcBorders>
            <w:noWrap/>
            <w:hideMark/>
          </w:tcPr>
          <w:p w14:paraId="0BFFD83A" w14:textId="77777777" w:rsidR="004B3171" w:rsidRPr="00193E06" w:rsidRDefault="004B3171" w:rsidP="00193E06">
            <w:pPr>
              <w:spacing w:after="0"/>
              <w:rPr>
                <w:rFonts w:asciiTheme="majorHAnsi" w:hAnsiTheme="majorHAnsi"/>
                <w:b/>
                <w:bCs/>
                <w:sz w:val="22"/>
                <w:szCs w:val="22"/>
              </w:rPr>
            </w:pPr>
            <w:r w:rsidRPr="00193E06">
              <w:rPr>
                <w:rFonts w:asciiTheme="majorHAnsi" w:hAnsiTheme="majorHAnsi"/>
                <w:b/>
                <w:bCs/>
                <w:sz w:val="22"/>
                <w:szCs w:val="22"/>
              </w:rPr>
              <w:t>Professional Licenses Issued</w:t>
            </w:r>
          </w:p>
        </w:tc>
        <w:tc>
          <w:tcPr>
            <w:tcW w:w="960" w:type="dxa"/>
            <w:tcBorders>
              <w:top w:val="single" w:sz="8" w:space="0" w:color="4F81BD"/>
              <w:bottom w:val="single" w:sz="8" w:space="0" w:color="4F81BD"/>
            </w:tcBorders>
            <w:noWrap/>
            <w:hideMark/>
          </w:tcPr>
          <w:p w14:paraId="0BFFD83B"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5,576</w:t>
            </w:r>
          </w:p>
        </w:tc>
        <w:tc>
          <w:tcPr>
            <w:tcW w:w="960" w:type="dxa"/>
            <w:tcBorders>
              <w:top w:val="single" w:sz="8" w:space="0" w:color="4F81BD"/>
              <w:bottom w:val="single" w:sz="8" w:space="0" w:color="4F81BD"/>
            </w:tcBorders>
            <w:noWrap/>
            <w:hideMark/>
          </w:tcPr>
          <w:p w14:paraId="0BFFD83C"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4,901</w:t>
            </w:r>
          </w:p>
        </w:tc>
        <w:tc>
          <w:tcPr>
            <w:tcW w:w="960" w:type="dxa"/>
            <w:tcBorders>
              <w:top w:val="single" w:sz="8" w:space="0" w:color="4F81BD"/>
              <w:bottom w:val="single" w:sz="8" w:space="0" w:color="4F81BD"/>
            </w:tcBorders>
            <w:noWrap/>
            <w:hideMark/>
          </w:tcPr>
          <w:p w14:paraId="0BFFD83D"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6,129</w:t>
            </w:r>
          </w:p>
        </w:tc>
        <w:tc>
          <w:tcPr>
            <w:tcW w:w="960" w:type="dxa"/>
            <w:tcBorders>
              <w:top w:val="single" w:sz="8" w:space="0" w:color="4F81BD"/>
              <w:bottom w:val="single" w:sz="8" w:space="0" w:color="4F81BD"/>
            </w:tcBorders>
            <w:noWrap/>
            <w:hideMark/>
          </w:tcPr>
          <w:p w14:paraId="0BFFD83E"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7,609</w:t>
            </w:r>
          </w:p>
        </w:tc>
        <w:tc>
          <w:tcPr>
            <w:tcW w:w="960" w:type="dxa"/>
            <w:tcBorders>
              <w:top w:val="single" w:sz="8" w:space="0" w:color="4F81BD"/>
              <w:bottom w:val="single" w:sz="8" w:space="0" w:color="4F81BD"/>
            </w:tcBorders>
            <w:noWrap/>
            <w:hideMark/>
          </w:tcPr>
          <w:p w14:paraId="0BFFD83F"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5,688</w:t>
            </w:r>
          </w:p>
        </w:tc>
        <w:tc>
          <w:tcPr>
            <w:tcW w:w="960" w:type="dxa"/>
            <w:tcBorders>
              <w:top w:val="single" w:sz="8" w:space="0" w:color="4F81BD"/>
              <w:bottom w:val="single" w:sz="8" w:space="0" w:color="4F81BD"/>
            </w:tcBorders>
          </w:tcPr>
          <w:p w14:paraId="0BFFD840" w14:textId="77777777" w:rsidR="004B3171" w:rsidRPr="00193E06" w:rsidRDefault="004B3171" w:rsidP="00193E06">
            <w:pPr>
              <w:spacing w:after="0"/>
              <w:jc w:val="center"/>
              <w:rPr>
                <w:rFonts w:asciiTheme="majorHAnsi" w:hAnsiTheme="majorHAnsi"/>
                <w:b/>
                <w:sz w:val="22"/>
                <w:szCs w:val="22"/>
              </w:rPr>
            </w:pPr>
            <w:r w:rsidRPr="00193E06">
              <w:rPr>
                <w:rFonts w:asciiTheme="majorHAnsi" w:hAnsiTheme="majorHAnsi"/>
                <w:b/>
                <w:sz w:val="22"/>
                <w:szCs w:val="22"/>
              </w:rPr>
              <w:t>5648</w:t>
            </w:r>
          </w:p>
        </w:tc>
        <w:tc>
          <w:tcPr>
            <w:tcW w:w="960" w:type="dxa"/>
            <w:tcBorders>
              <w:top w:val="single" w:sz="8" w:space="0" w:color="4F81BD"/>
              <w:bottom w:val="single" w:sz="8" w:space="0" w:color="4F81BD"/>
              <w:right w:val="single" w:sz="8" w:space="0" w:color="4F81BD"/>
            </w:tcBorders>
            <w:noWrap/>
            <w:hideMark/>
          </w:tcPr>
          <w:p w14:paraId="0BFFD841" w14:textId="77777777" w:rsidR="004B3171" w:rsidRPr="00193E06" w:rsidRDefault="004B3171" w:rsidP="00193E06">
            <w:pPr>
              <w:spacing w:after="0"/>
              <w:jc w:val="center"/>
              <w:rPr>
                <w:rFonts w:asciiTheme="majorHAnsi" w:hAnsiTheme="majorHAnsi"/>
                <w:sz w:val="22"/>
                <w:szCs w:val="22"/>
              </w:rPr>
            </w:pPr>
            <w:r w:rsidRPr="00193E06">
              <w:rPr>
                <w:rFonts w:asciiTheme="majorHAnsi" w:hAnsiTheme="majorHAnsi"/>
                <w:sz w:val="22"/>
                <w:szCs w:val="22"/>
              </w:rPr>
              <w:t>5,925</w:t>
            </w:r>
          </w:p>
        </w:tc>
      </w:tr>
    </w:tbl>
    <w:p w14:paraId="0BFFD843" w14:textId="77777777" w:rsidR="00C554CA" w:rsidRPr="00C554CA" w:rsidRDefault="004B3171" w:rsidP="00C554CA">
      <w:pPr>
        <w:rPr>
          <w:rFonts w:asciiTheme="majorHAnsi" w:hAnsiTheme="majorHAnsi"/>
          <w:sz w:val="22"/>
          <w:szCs w:val="22"/>
        </w:rPr>
      </w:pPr>
      <w:r w:rsidRPr="00193E06">
        <w:rPr>
          <w:rFonts w:asciiTheme="majorHAnsi" w:hAnsiTheme="majorHAnsi"/>
          <w:sz w:val="22"/>
          <w:szCs w:val="22"/>
        </w:rPr>
        <w:t>*As of December 1, 2016</w:t>
      </w:r>
    </w:p>
    <w:p w14:paraId="0BFFD844" w14:textId="77777777" w:rsidR="00193E06" w:rsidRPr="00193E06" w:rsidRDefault="00193E06" w:rsidP="00193E06">
      <w:pPr>
        <w:pBdr>
          <w:bottom w:val="single" w:sz="4" w:space="1" w:color="auto"/>
        </w:pBdr>
        <w:spacing w:after="400"/>
        <w:contextualSpacing/>
        <w:rPr>
          <w:rFonts w:asciiTheme="majorHAnsi" w:hAnsiTheme="majorHAnsi" w:cs="Segoe UI"/>
          <w:b/>
          <w:sz w:val="22"/>
          <w:szCs w:val="22"/>
        </w:rPr>
      </w:pPr>
      <w:r w:rsidRPr="00193E06">
        <w:rPr>
          <w:rFonts w:asciiTheme="majorHAnsi" w:hAnsiTheme="majorHAnsi" w:cs="Segoe UI"/>
          <w:b/>
          <w:sz w:val="22"/>
          <w:szCs w:val="22"/>
        </w:rPr>
        <w:lastRenderedPageBreak/>
        <w:t>Massachusetts Statute &amp; Regulations Crosswalk Professional License Renewal</w:t>
      </w:r>
    </w:p>
    <w:p w14:paraId="0BFFD845" w14:textId="77777777" w:rsidR="00193E06" w:rsidRPr="00C554CA" w:rsidRDefault="00C554CA" w:rsidP="00193E06">
      <w:pPr>
        <w:spacing w:after="160" w:line="259" w:lineRule="auto"/>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Overview</w:t>
      </w:r>
    </w:p>
    <w:p w14:paraId="0BFFD846" w14:textId="77777777" w:rsidR="00193E06" w:rsidRPr="00193E06" w:rsidRDefault="00193E06" w:rsidP="00193E06">
      <w:pPr>
        <w:spacing w:after="160" w:line="259" w:lineRule="auto"/>
        <w:rPr>
          <w:rFonts w:asciiTheme="majorHAnsi" w:eastAsia="Calibri" w:hAnsiTheme="majorHAnsi" w:cs="Segoe UI"/>
          <w:color w:val="auto"/>
          <w:sz w:val="22"/>
          <w:szCs w:val="22"/>
        </w:rPr>
      </w:pPr>
      <w:r w:rsidRPr="00193E06">
        <w:rPr>
          <w:rFonts w:asciiTheme="majorHAnsi" w:eastAsia="Calibri" w:hAnsiTheme="majorHAnsi" w:cs="Segoe UI"/>
          <w:color w:val="auto"/>
          <w:sz w:val="22"/>
          <w:szCs w:val="22"/>
        </w:rPr>
        <w:t xml:space="preserve">This document outlines the statutory (M.G.L. 71 § 38G) and corresponding regulatory (603 CMR 44.00) aspects of renewing a Professional License in the Commonwealth. Each section has a table divided by statute, regulations, and recommendations for the working group to discuss.  </w:t>
      </w:r>
    </w:p>
    <w:p w14:paraId="0BFFD847" w14:textId="77777777" w:rsidR="00193E06" w:rsidRPr="00193E06" w:rsidRDefault="00193E06" w:rsidP="00193E06">
      <w:pPr>
        <w:rPr>
          <w:rFonts w:asciiTheme="majorHAnsi" w:hAnsiTheme="majorHAnsi"/>
          <w:b/>
          <w:sz w:val="22"/>
          <w:szCs w:val="22"/>
        </w:rPr>
      </w:pPr>
      <w:r w:rsidRPr="00193E06">
        <w:rPr>
          <w:rFonts w:asciiTheme="majorHAnsi" w:hAnsiTheme="majorHAnsi"/>
          <w:b/>
          <w:sz w:val="22"/>
          <w:szCs w:val="22"/>
        </w:rPr>
        <w:t>License Renewal Purpose:</w:t>
      </w:r>
      <w:r w:rsidRPr="00193E06">
        <w:rPr>
          <w:rFonts w:asciiTheme="majorHAnsi" w:hAnsiTheme="majorHAnsi"/>
          <w:sz w:val="22"/>
          <w:szCs w:val="22"/>
        </w:rPr>
        <w:t xml:space="preserve"> The renewal system will enhance education through ongoing professional development for educators that meets high standards for quality. The license renewal system is carried out in the context of PD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w:t>
      </w:r>
    </w:p>
    <w:tbl>
      <w:tblPr>
        <w:tblStyle w:val="TableGrid1"/>
        <w:tblW w:w="13698" w:type="dxa"/>
        <w:tblLayout w:type="fixed"/>
        <w:tblLook w:val="04A0" w:firstRow="1" w:lastRow="0" w:firstColumn="1" w:lastColumn="0" w:noHBand="0" w:noVBand="1"/>
      </w:tblPr>
      <w:tblGrid>
        <w:gridCol w:w="6678"/>
        <w:gridCol w:w="7020"/>
      </w:tblGrid>
      <w:tr w:rsidR="00193E06" w:rsidRPr="00193E06" w14:paraId="0BFFD84A" w14:textId="77777777" w:rsidTr="00193E06">
        <w:trPr>
          <w:trHeight w:val="638"/>
        </w:trPr>
        <w:tc>
          <w:tcPr>
            <w:tcW w:w="6678" w:type="dxa"/>
            <w:tcBorders>
              <w:bottom w:val="single" w:sz="4" w:space="0" w:color="auto"/>
            </w:tcBorders>
            <w:shd w:val="clear" w:color="auto" w:fill="5B9BD5"/>
          </w:tcPr>
          <w:p w14:paraId="0BFFD848" w14:textId="77777777" w:rsidR="00193E06" w:rsidRPr="00193E06" w:rsidRDefault="00193E06" w:rsidP="00193E06">
            <w:pPr>
              <w:jc w:val="center"/>
              <w:rPr>
                <w:rFonts w:asciiTheme="majorHAnsi" w:eastAsia="Calibri" w:hAnsiTheme="majorHAnsi" w:cs="Segoe UI"/>
                <w:b/>
                <w:color w:val="auto"/>
                <w:sz w:val="22"/>
                <w:szCs w:val="22"/>
              </w:rPr>
            </w:pPr>
            <w:r w:rsidRPr="00193E06">
              <w:rPr>
                <w:rFonts w:asciiTheme="majorHAnsi" w:eastAsia="Calibri" w:hAnsiTheme="majorHAnsi" w:cs="Segoe UI"/>
                <w:b/>
                <w:color w:val="auto"/>
                <w:sz w:val="22"/>
                <w:szCs w:val="22"/>
              </w:rPr>
              <w:t>Statute</w:t>
            </w:r>
          </w:p>
        </w:tc>
        <w:tc>
          <w:tcPr>
            <w:tcW w:w="7020" w:type="dxa"/>
            <w:tcBorders>
              <w:bottom w:val="single" w:sz="4" w:space="0" w:color="auto"/>
            </w:tcBorders>
            <w:shd w:val="clear" w:color="auto" w:fill="5B9BD5"/>
          </w:tcPr>
          <w:p w14:paraId="0BFFD849" w14:textId="77777777" w:rsidR="00193E06" w:rsidRPr="00193E06" w:rsidRDefault="00193E06" w:rsidP="00193E06">
            <w:pPr>
              <w:jc w:val="center"/>
              <w:rPr>
                <w:rFonts w:asciiTheme="majorHAnsi" w:eastAsia="Calibri" w:hAnsiTheme="majorHAnsi" w:cs="Segoe UI"/>
                <w:b/>
                <w:color w:val="auto"/>
                <w:sz w:val="22"/>
                <w:szCs w:val="22"/>
              </w:rPr>
            </w:pPr>
            <w:r w:rsidRPr="00193E06">
              <w:rPr>
                <w:rFonts w:asciiTheme="majorHAnsi" w:hAnsiTheme="majorHAnsi"/>
                <w:b/>
                <w:color w:val="auto"/>
                <w:sz w:val="22"/>
                <w:szCs w:val="22"/>
              </w:rPr>
              <w:t>Regulations</w:t>
            </w:r>
          </w:p>
        </w:tc>
      </w:tr>
      <w:tr w:rsidR="00193E06" w:rsidRPr="00193E06" w14:paraId="0BFFD85D" w14:textId="77777777" w:rsidTr="00C554CA">
        <w:trPr>
          <w:trHeight w:val="5030"/>
        </w:trPr>
        <w:tc>
          <w:tcPr>
            <w:tcW w:w="6678" w:type="dxa"/>
            <w:tcBorders>
              <w:bottom w:val="single" w:sz="4" w:space="0" w:color="auto"/>
            </w:tcBorders>
            <w:shd w:val="clear" w:color="auto" w:fill="FFF2CC"/>
          </w:tcPr>
          <w:p w14:paraId="0BFFD84B" w14:textId="77777777" w:rsidR="00193E06" w:rsidRPr="00193E06" w:rsidRDefault="00193E06" w:rsidP="00193E06">
            <w:pPr>
              <w:contextualSpacing/>
              <w:rPr>
                <w:rFonts w:asciiTheme="majorHAnsi" w:eastAsia="Calibri" w:hAnsiTheme="majorHAnsi" w:cs="Segoe UI"/>
                <w:color w:val="auto"/>
                <w:sz w:val="22"/>
                <w:szCs w:val="22"/>
              </w:rPr>
            </w:pPr>
            <w:r w:rsidRPr="00193E06">
              <w:rPr>
                <w:rFonts w:asciiTheme="majorHAnsi" w:hAnsiTheme="majorHAnsi" w:cs="Segoe UI"/>
                <w:color w:val="auto"/>
                <w:sz w:val="22"/>
                <w:szCs w:val="22"/>
              </w:rPr>
              <w:t>*The standard educator's certificate shall be valid for renewable terms of five years.</w:t>
            </w:r>
          </w:p>
          <w:p w14:paraId="0BFFD84C" w14:textId="77777777" w:rsidR="00193E06" w:rsidRPr="00193E06" w:rsidRDefault="00193E06" w:rsidP="00193E06">
            <w:pPr>
              <w:ind w:left="360"/>
              <w:contextualSpacing/>
              <w:rPr>
                <w:rFonts w:asciiTheme="majorHAnsi" w:eastAsia="Calibri" w:hAnsiTheme="majorHAnsi" w:cs="Segoe UI"/>
                <w:color w:val="auto"/>
                <w:sz w:val="22"/>
                <w:szCs w:val="22"/>
              </w:rPr>
            </w:pPr>
          </w:p>
          <w:p w14:paraId="0BFFD84D" w14:textId="77777777" w:rsidR="00193E06" w:rsidRPr="00193E06" w:rsidRDefault="00193E06" w:rsidP="00193E06">
            <w:pPr>
              <w:contextualSpacing/>
              <w:rPr>
                <w:rFonts w:asciiTheme="majorHAnsi" w:eastAsia="Calibri" w:hAnsiTheme="majorHAnsi" w:cs="Segoe UI"/>
                <w:color w:val="auto"/>
                <w:sz w:val="22"/>
                <w:szCs w:val="22"/>
              </w:rPr>
            </w:pPr>
            <w:r w:rsidRPr="00193E06">
              <w:rPr>
                <w:rFonts w:asciiTheme="majorHAnsi" w:hAnsiTheme="majorHAnsi" w:cs="Segoe UI"/>
                <w:color w:val="auto"/>
                <w:sz w:val="22"/>
                <w:szCs w:val="22"/>
              </w:rPr>
              <w:t>*Each local and regional school district shall attest to the department of education, in such form and at such time as the commissioner shall prescribe, that professional development activities for which credit toward certification renewal is granted meet the requirements set by the board and are documented in accordance with procedures established by the board.</w:t>
            </w:r>
          </w:p>
          <w:p w14:paraId="0BFFD84E" w14:textId="77777777" w:rsidR="00193E06" w:rsidRPr="00193E06" w:rsidRDefault="00193E06" w:rsidP="00193E06">
            <w:pPr>
              <w:ind w:left="360"/>
              <w:contextualSpacing/>
              <w:rPr>
                <w:rFonts w:asciiTheme="majorHAnsi" w:eastAsia="Calibri" w:hAnsiTheme="majorHAnsi" w:cs="Segoe UI"/>
                <w:color w:val="auto"/>
                <w:sz w:val="22"/>
                <w:szCs w:val="22"/>
              </w:rPr>
            </w:pPr>
          </w:p>
          <w:p w14:paraId="0BFFD84F" w14:textId="77777777" w:rsidR="00193E06" w:rsidRPr="00193E06" w:rsidRDefault="00193E06" w:rsidP="00193E06">
            <w:pPr>
              <w:contextualSpacing/>
              <w:rPr>
                <w:rFonts w:asciiTheme="majorHAnsi" w:eastAsia="Calibri" w:hAnsiTheme="majorHAnsi" w:cs="Segoe UI"/>
                <w:color w:val="auto"/>
                <w:sz w:val="22"/>
                <w:szCs w:val="22"/>
              </w:rPr>
            </w:pPr>
            <w:r w:rsidRPr="00193E06">
              <w:rPr>
                <w:rFonts w:asciiTheme="majorHAnsi" w:hAnsiTheme="majorHAnsi" w:cs="Segoe UI"/>
                <w:color w:val="auto"/>
                <w:sz w:val="22"/>
                <w:szCs w:val="22"/>
              </w:rPr>
              <w:t>*The commissioner shall establish for each certification alternate methods for fulfilling the professional development requirement, at least one of which must be at no cost to persons employed by a school district who are engaging in such an activity for the purpose of satisfying the professional development requirements for recertification of this section.</w:t>
            </w:r>
          </w:p>
        </w:tc>
        <w:tc>
          <w:tcPr>
            <w:tcW w:w="7020" w:type="dxa"/>
            <w:tcBorders>
              <w:bottom w:val="single" w:sz="4" w:space="0" w:color="auto"/>
            </w:tcBorders>
            <w:shd w:val="clear" w:color="auto" w:fill="FFF2CC"/>
          </w:tcPr>
          <w:p w14:paraId="0BFFD850" w14:textId="77777777" w:rsidR="00193E06" w:rsidRPr="00193E06" w:rsidRDefault="00193E06" w:rsidP="00193E06">
            <w:pPr>
              <w:rPr>
                <w:rFonts w:asciiTheme="majorHAnsi" w:hAnsiTheme="majorHAnsi"/>
                <w:sz w:val="22"/>
                <w:szCs w:val="22"/>
              </w:rPr>
            </w:pPr>
            <w:r w:rsidRPr="00193E06">
              <w:rPr>
                <w:rFonts w:asciiTheme="majorHAnsi" w:hAnsiTheme="majorHAnsi"/>
                <w:sz w:val="22"/>
                <w:szCs w:val="22"/>
              </w:rPr>
              <w:t>*Required for Professional licenses.</w:t>
            </w:r>
          </w:p>
          <w:p w14:paraId="0BFFD851" w14:textId="77777777" w:rsidR="00193E06" w:rsidRPr="00193E06" w:rsidRDefault="00193E06" w:rsidP="00193E06">
            <w:pPr>
              <w:rPr>
                <w:rFonts w:asciiTheme="majorHAnsi" w:hAnsiTheme="majorHAnsi"/>
                <w:sz w:val="22"/>
                <w:szCs w:val="22"/>
              </w:rPr>
            </w:pPr>
          </w:p>
          <w:p w14:paraId="0BFFD852" w14:textId="77777777" w:rsidR="00193E06" w:rsidRPr="00193E06" w:rsidRDefault="00193E06" w:rsidP="00193E06">
            <w:pPr>
              <w:rPr>
                <w:rFonts w:asciiTheme="majorHAnsi" w:hAnsiTheme="majorHAnsi"/>
                <w:sz w:val="22"/>
                <w:szCs w:val="22"/>
              </w:rPr>
            </w:pPr>
            <w:r w:rsidRPr="00193E06">
              <w:rPr>
                <w:rFonts w:asciiTheme="majorHAnsi" w:hAnsiTheme="majorHAnsi"/>
                <w:sz w:val="22"/>
                <w:szCs w:val="22"/>
              </w:rPr>
              <w:t xml:space="preserve">*Renewal cycles are valid for five years. </w:t>
            </w:r>
          </w:p>
          <w:p w14:paraId="0BFFD853" w14:textId="77777777" w:rsidR="00193E06" w:rsidRPr="00193E06" w:rsidRDefault="00193E06" w:rsidP="00193E06">
            <w:pPr>
              <w:rPr>
                <w:rFonts w:asciiTheme="majorHAnsi" w:hAnsiTheme="majorHAnsi"/>
                <w:sz w:val="22"/>
                <w:szCs w:val="22"/>
              </w:rPr>
            </w:pPr>
          </w:p>
          <w:p w14:paraId="0BFFD854" w14:textId="77777777" w:rsidR="00193E06" w:rsidRPr="00193E06" w:rsidRDefault="00193E06" w:rsidP="00193E06">
            <w:pPr>
              <w:rPr>
                <w:rFonts w:asciiTheme="majorHAnsi" w:hAnsiTheme="majorHAnsi"/>
                <w:sz w:val="22"/>
                <w:szCs w:val="22"/>
              </w:rPr>
            </w:pPr>
            <w:r w:rsidRPr="00193E06">
              <w:rPr>
                <w:rFonts w:asciiTheme="majorHAnsi" w:hAnsiTheme="majorHAnsi"/>
                <w:sz w:val="22"/>
                <w:szCs w:val="22"/>
              </w:rPr>
              <w:t xml:space="preserve">*Non-renewal leads to an inactive license, and continued non-renewal leads to an invalid license. </w:t>
            </w:r>
          </w:p>
          <w:p w14:paraId="0BFFD855" w14:textId="77777777" w:rsidR="00193E06" w:rsidRPr="00193E06" w:rsidRDefault="00193E06" w:rsidP="00193E06">
            <w:pPr>
              <w:rPr>
                <w:rFonts w:asciiTheme="majorHAnsi" w:hAnsiTheme="majorHAnsi"/>
                <w:sz w:val="22"/>
                <w:szCs w:val="22"/>
              </w:rPr>
            </w:pPr>
          </w:p>
          <w:p w14:paraId="0BFFD856" w14:textId="77777777" w:rsidR="00193E06" w:rsidRPr="00193E06" w:rsidRDefault="00193E06" w:rsidP="00193E06">
            <w:pPr>
              <w:rPr>
                <w:rFonts w:asciiTheme="majorHAnsi" w:hAnsiTheme="majorHAnsi"/>
                <w:sz w:val="22"/>
                <w:szCs w:val="22"/>
              </w:rPr>
            </w:pPr>
            <w:r w:rsidRPr="00193E06">
              <w:rPr>
                <w:rFonts w:asciiTheme="majorHAnsi" w:hAnsiTheme="majorHAnsi"/>
                <w:sz w:val="22"/>
                <w:szCs w:val="22"/>
              </w:rPr>
              <w:t>*Educators are required to develop and gain approval of a plan for renewal: IPDP or Educator Plan</w:t>
            </w:r>
          </w:p>
          <w:p w14:paraId="0BFFD857" w14:textId="77777777" w:rsidR="00193E06" w:rsidRPr="00193E06" w:rsidRDefault="00193E06" w:rsidP="00193E06">
            <w:pPr>
              <w:rPr>
                <w:rFonts w:asciiTheme="majorHAnsi" w:hAnsiTheme="majorHAnsi"/>
                <w:sz w:val="22"/>
                <w:szCs w:val="22"/>
              </w:rPr>
            </w:pPr>
          </w:p>
          <w:p w14:paraId="0BFFD858" w14:textId="77777777" w:rsidR="00193E06" w:rsidRPr="00193E06" w:rsidRDefault="00193E06" w:rsidP="00193E06">
            <w:pPr>
              <w:rPr>
                <w:rFonts w:asciiTheme="majorHAnsi" w:hAnsiTheme="majorHAnsi"/>
                <w:sz w:val="22"/>
                <w:szCs w:val="22"/>
              </w:rPr>
            </w:pPr>
            <w:r w:rsidRPr="00193E06">
              <w:rPr>
                <w:rFonts w:asciiTheme="majorHAnsi" w:hAnsiTheme="majorHAnsi"/>
                <w:sz w:val="22"/>
                <w:szCs w:val="22"/>
              </w:rPr>
              <w:t xml:space="preserve">*Must accrue 150 PDPs within a five year renewal cycle. Must earn a minimum of content PDPs and as of 7/1/16; PDPs in SEI/ESL and SPED required. </w:t>
            </w:r>
          </w:p>
          <w:p w14:paraId="0BFFD859" w14:textId="77777777" w:rsidR="00193E06" w:rsidRPr="00193E06" w:rsidRDefault="00193E06" w:rsidP="00193E06">
            <w:pPr>
              <w:rPr>
                <w:rFonts w:asciiTheme="majorHAnsi" w:hAnsiTheme="majorHAnsi"/>
                <w:sz w:val="22"/>
                <w:szCs w:val="22"/>
              </w:rPr>
            </w:pPr>
          </w:p>
          <w:p w14:paraId="0BFFD85A" w14:textId="77777777" w:rsidR="00193E06" w:rsidRPr="00193E06" w:rsidRDefault="00193E06" w:rsidP="00193E06">
            <w:pPr>
              <w:rPr>
                <w:rFonts w:asciiTheme="majorHAnsi" w:hAnsiTheme="majorHAnsi"/>
                <w:sz w:val="22"/>
                <w:szCs w:val="22"/>
              </w:rPr>
            </w:pPr>
            <w:r w:rsidRPr="00193E06">
              <w:rPr>
                <w:rFonts w:asciiTheme="majorHAnsi" w:hAnsiTheme="majorHAnsi"/>
                <w:sz w:val="22"/>
                <w:szCs w:val="22"/>
              </w:rPr>
              <w:t>*All documentation is subject to audit by the Department and review by an educator's supervisor, and must be provided to the Department upon request</w:t>
            </w:r>
          </w:p>
          <w:p w14:paraId="0BFFD85B" w14:textId="77777777" w:rsidR="00193E06" w:rsidRPr="00193E06" w:rsidRDefault="00193E06" w:rsidP="00193E06">
            <w:pPr>
              <w:rPr>
                <w:rFonts w:asciiTheme="majorHAnsi" w:hAnsiTheme="majorHAnsi"/>
                <w:sz w:val="22"/>
                <w:szCs w:val="22"/>
              </w:rPr>
            </w:pPr>
          </w:p>
          <w:p w14:paraId="0BFFD85C" w14:textId="77777777" w:rsidR="00193E06" w:rsidRPr="00C554CA" w:rsidRDefault="00193E06" w:rsidP="00C554CA">
            <w:pPr>
              <w:rPr>
                <w:rFonts w:asciiTheme="majorHAnsi" w:hAnsiTheme="majorHAnsi"/>
                <w:sz w:val="22"/>
                <w:szCs w:val="22"/>
              </w:rPr>
            </w:pPr>
            <w:r w:rsidRPr="00193E06">
              <w:rPr>
                <w:rFonts w:asciiTheme="majorHAnsi" w:hAnsiTheme="majorHAnsi"/>
                <w:sz w:val="22"/>
                <w:szCs w:val="22"/>
              </w:rPr>
              <w:t xml:space="preserve">*NOTE - Guidelines specify most of acceptable PD and point value. </w:t>
            </w:r>
          </w:p>
        </w:tc>
      </w:tr>
    </w:tbl>
    <w:p w14:paraId="0BFFD85E" w14:textId="77777777" w:rsidR="00193E06" w:rsidRDefault="00193E06" w:rsidP="00193E06">
      <w:pPr>
        <w:rPr>
          <w:rFonts w:asciiTheme="majorHAnsi" w:hAnsiTheme="majorHAnsi"/>
          <w:b/>
          <w:sz w:val="22"/>
          <w:szCs w:val="22"/>
        </w:rPr>
      </w:pPr>
    </w:p>
    <w:p w14:paraId="0BFFD85F" w14:textId="77777777" w:rsidR="00C554CA" w:rsidRDefault="00C554CA" w:rsidP="00193E06">
      <w:pPr>
        <w:rPr>
          <w:rFonts w:asciiTheme="majorHAnsi" w:hAnsiTheme="majorHAnsi"/>
          <w:b/>
          <w:sz w:val="22"/>
          <w:szCs w:val="22"/>
        </w:rPr>
      </w:pPr>
    </w:p>
    <w:p w14:paraId="0BFFD860" w14:textId="77777777" w:rsidR="00C554CA" w:rsidRDefault="00C554CA" w:rsidP="00193E06">
      <w:pPr>
        <w:rPr>
          <w:rFonts w:asciiTheme="majorHAnsi" w:hAnsiTheme="majorHAnsi"/>
          <w:b/>
          <w:sz w:val="22"/>
          <w:szCs w:val="22"/>
        </w:rPr>
      </w:pPr>
    </w:p>
    <w:p w14:paraId="0BFFD861" w14:textId="77777777" w:rsidR="00C554CA" w:rsidRPr="00193E06" w:rsidRDefault="00C554CA" w:rsidP="00193E06">
      <w:pPr>
        <w:rPr>
          <w:rFonts w:asciiTheme="majorHAnsi" w:hAnsiTheme="majorHAnsi"/>
          <w:b/>
          <w:sz w:val="22"/>
          <w:szCs w:val="22"/>
        </w:rPr>
      </w:pPr>
    </w:p>
    <w:p w14:paraId="0BFFD862" w14:textId="77777777" w:rsidR="00193E06" w:rsidRPr="00193E06" w:rsidRDefault="00193E06" w:rsidP="00193E06">
      <w:pPr>
        <w:rPr>
          <w:rFonts w:asciiTheme="majorHAnsi" w:hAnsiTheme="majorHAnsi"/>
          <w:b/>
          <w:sz w:val="22"/>
          <w:szCs w:val="22"/>
        </w:rPr>
      </w:pPr>
      <w:r w:rsidRPr="00193E06">
        <w:rPr>
          <w:rFonts w:asciiTheme="majorHAnsi" w:hAnsiTheme="majorHAnsi"/>
          <w:b/>
          <w:sz w:val="22"/>
          <w:szCs w:val="22"/>
        </w:rPr>
        <w:lastRenderedPageBreak/>
        <w:t xml:space="preserve">Data: </w:t>
      </w:r>
    </w:p>
    <w:tbl>
      <w:tblPr>
        <w:tblStyle w:val="MediumGrid3-Accent1"/>
        <w:tblW w:w="0" w:type="auto"/>
        <w:tblLook w:val="04A0" w:firstRow="1" w:lastRow="0" w:firstColumn="1" w:lastColumn="0" w:noHBand="0" w:noVBand="1"/>
      </w:tblPr>
      <w:tblGrid>
        <w:gridCol w:w="1908"/>
        <w:gridCol w:w="2880"/>
        <w:gridCol w:w="3870"/>
      </w:tblGrid>
      <w:tr w:rsidR="00193E06" w:rsidRPr="00193E06" w14:paraId="0BFFD866" w14:textId="77777777" w:rsidTr="0019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BFFD863"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Year</w:t>
            </w:r>
          </w:p>
        </w:tc>
        <w:tc>
          <w:tcPr>
            <w:tcW w:w="2880" w:type="dxa"/>
          </w:tcPr>
          <w:p w14:paraId="0BFFD864" w14:textId="77777777" w:rsidR="00193E06" w:rsidRPr="00193E06" w:rsidRDefault="00193E06" w:rsidP="00193E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193E06">
              <w:rPr>
                <w:rFonts w:asciiTheme="majorHAnsi" w:hAnsiTheme="majorHAnsi"/>
                <w:b w:val="0"/>
                <w:sz w:val="22"/>
                <w:szCs w:val="22"/>
              </w:rPr>
              <w:t>Educators Renewed</w:t>
            </w:r>
          </w:p>
        </w:tc>
        <w:tc>
          <w:tcPr>
            <w:tcW w:w="3870" w:type="dxa"/>
          </w:tcPr>
          <w:p w14:paraId="0BFFD865" w14:textId="77777777" w:rsidR="00193E06" w:rsidRPr="00193E06" w:rsidRDefault="00193E06" w:rsidP="00193E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193E06">
              <w:rPr>
                <w:rFonts w:asciiTheme="majorHAnsi" w:hAnsiTheme="majorHAnsi"/>
                <w:b w:val="0"/>
                <w:sz w:val="22"/>
                <w:szCs w:val="22"/>
              </w:rPr>
              <w:t>Total Licenses Renewed</w:t>
            </w:r>
          </w:p>
        </w:tc>
      </w:tr>
      <w:tr w:rsidR="00193E06" w:rsidRPr="00193E06" w14:paraId="0BFFD86A"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BFFD867"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2016-17*</w:t>
            </w:r>
          </w:p>
        </w:tc>
        <w:tc>
          <w:tcPr>
            <w:tcW w:w="2880" w:type="dxa"/>
          </w:tcPr>
          <w:p w14:paraId="0BFFD868"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3,982</w:t>
            </w:r>
          </w:p>
        </w:tc>
        <w:tc>
          <w:tcPr>
            <w:tcW w:w="3870" w:type="dxa"/>
          </w:tcPr>
          <w:p w14:paraId="0BFFD869"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3,140</w:t>
            </w:r>
          </w:p>
        </w:tc>
      </w:tr>
      <w:tr w:rsidR="00193E06" w:rsidRPr="00193E06" w14:paraId="0BFFD86E" w14:textId="77777777" w:rsidTr="00193E06">
        <w:tc>
          <w:tcPr>
            <w:cnfStyle w:val="001000000000" w:firstRow="0" w:lastRow="0" w:firstColumn="1" w:lastColumn="0" w:oddVBand="0" w:evenVBand="0" w:oddHBand="0" w:evenHBand="0" w:firstRowFirstColumn="0" w:firstRowLastColumn="0" w:lastRowFirstColumn="0" w:lastRowLastColumn="0"/>
            <w:tcW w:w="1908" w:type="dxa"/>
          </w:tcPr>
          <w:p w14:paraId="0BFFD86B"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2015-16</w:t>
            </w:r>
          </w:p>
        </w:tc>
        <w:tc>
          <w:tcPr>
            <w:tcW w:w="2880" w:type="dxa"/>
          </w:tcPr>
          <w:p w14:paraId="0BFFD86C"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8,464</w:t>
            </w:r>
          </w:p>
        </w:tc>
        <w:tc>
          <w:tcPr>
            <w:tcW w:w="3870" w:type="dxa"/>
          </w:tcPr>
          <w:p w14:paraId="0BFFD86D"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10,971</w:t>
            </w:r>
          </w:p>
        </w:tc>
      </w:tr>
      <w:tr w:rsidR="00193E06" w:rsidRPr="00193E06" w14:paraId="0BFFD872"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BFFD86F"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2014-15</w:t>
            </w:r>
          </w:p>
        </w:tc>
        <w:tc>
          <w:tcPr>
            <w:tcW w:w="2880" w:type="dxa"/>
          </w:tcPr>
          <w:p w14:paraId="0BFFD870"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9,778</w:t>
            </w:r>
          </w:p>
        </w:tc>
        <w:tc>
          <w:tcPr>
            <w:tcW w:w="3870" w:type="dxa"/>
          </w:tcPr>
          <w:p w14:paraId="0BFFD871"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13,071</w:t>
            </w:r>
          </w:p>
        </w:tc>
      </w:tr>
      <w:tr w:rsidR="00193E06" w:rsidRPr="00193E06" w14:paraId="0BFFD876" w14:textId="77777777" w:rsidTr="00193E06">
        <w:tc>
          <w:tcPr>
            <w:cnfStyle w:val="001000000000" w:firstRow="0" w:lastRow="0" w:firstColumn="1" w:lastColumn="0" w:oddVBand="0" w:evenVBand="0" w:oddHBand="0" w:evenHBand="0" w:firstRowFirstColumn="0" w:firstRowLastColumn="0" w:lastRowFirstColumn="0" w:lastRowLastColumn="0"/>
            <w:tcW w:w="1908" w:type="dxa"/>
          </w:tcPr>
          <w:p w14:paraId="0BFFD873"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2013-14</w:t>
            </w:r>
          </w:p>
        </w:tc>
        <w:tc>
          <w:tcPr>
            <w:tcW w:w="2880" w:type="dxa"/>
          </w:tcPr>
          <w:p w14:paraId="0BFFD874"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33,027</w:t>
            </w:r>
          </w:p>
        </w:tc>
        <w:tc>
          <w:tcPr>
            <w:tcW w:w="3870" w:type="dxa"/>
          </w:tcPr>
          <w:p w14:paraId="0BFFD875"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51,281</w:t>
            </w:r>
          </w:p>
        </w:tc>
      </w:tr>
      <w:tr w:rsidR="00193E06" w:rsidRPr="00193E06" w14:paraId="0BFFD87A"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BFFD877"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2012-13</w:t>
            </w:r>
          </w:p>
        </w:tc>
        <w:tc>
          <w:tcPr>
            <w:tcW w:w="2880" w:type="dxa"/>
          </w:tcPr>
          <w:p w14:paraId="0BFFD878"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7,377</w:t>
            </w:r>
          </w:p>
        </w:tc>
        <w:tc>
          <w:tcPr>
            <w:tcW w:w="3870" w:type="dxa"/>
          </w:tcPr>
          <w:p w14:paraId="0BFFD879"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9,729</w:t>
            </w:r>
          </w:p>
        </w:tc>
      </w:tr>
      <w:tr w:rsidR="00193E06" w:rsidRPr="00193E06" w14:paraId="0BFFD87E" w14:textId="77777777" w:rsidTr="00193E06">
        <w:tc>
          <w:tcPr>
            <w:cnfStyle w:val="001000000000" w:firstRow="0" w:lastRow="0" w:firstColumn="1" w:lastColumn="0" w:oddVBand="0" w:evenVBand="0" w:oddHBand="0" w:evenHBand="0" w:firstRowFirstColumn="0" w:firstRowLastColumn="0" w:lastRowFirstColumn="0" w:lastRowLastColumn="0"/>
            <w:tcW w:w="1908" w:type="dxa"/>
          </w:tcPr>
          <w:p w14:paraId="0BFFD87B"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2011-12</w:t>
            </w:r>
          </w:p>
        </w:tc>
        <w:tc>
          <w:tcPr>
            <w:tcW w:w="2880" w:type="dxa"/>
          </w:tcPr>
          <w:p w14:paraId="0BFFD87C"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5,919</w:t>
            </w:r>
          </w:p>
        </w:tc>
        <w:tc>
          <w:tcPr>
            <w:tcW w:w="3870" w:type="dxa"/>
          </w:tcPr>
          <w:p w14:paraId="0BFFD87D"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7,838</w:t>
            </w:r>
          </w:p>
        </w:tc>
      </w:tr>
      <w:tr w:rsidR="00193E06" w:rsidRPr="00193E06" w14:paraId="0BFFD882"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BFFD87F"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2010-11</w:t>
            </w:r>
          </w:p>
        </w:tc>
        <w:tc>
          <w:tcPr>
            <w:tcW w:w="2880" w:type="dxa"/>
          </w:tcPr>
          <w:p w14:paraId="0BFFD880"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5,706</w:t>
            </w:r>
          </w:p>
        </w:tc>
        <w:tc>
          <w:tcPr>
            <w:tcW w:w="3870" w:type="dxa"/>
          </w:tcPr>
          <w:p w14:paraId="0BFFD881" w14:textId="77777777" w:rsidR="00193E06" w:rsidRPr="00193E06" w:rsidRDefault="00193E06" w:rsidP="00193E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7,741</w:t>
            </w:r>
          </w:p>
        </w:tc>
      </w:tr>
      <w:tr w:rsidR="00193E06" w:rsidRPr="00193E06" w14:paraId="0BFFD886" w14:textId="77777777" w:rsidTr="00193E06">
        <w:tc>
          <w:tcPr>
            <w:cnfStyle w:val="001000000000" w:firstRow="0" w:lastRow="0" w:firstColumn="1" w:lastColumn="0" w:oddVBand="0" w:evenVBand="0" w:oddHBand="0" w:evenHBand="0" w:firstRowFirstColumn="0" w:firstRowLastColumn="0" w:lastRowFirstColumn="0" w:lastRowLastColumn="0"/>
            <w:tcW w:w="1908" w:type="dxa"/>
          </w:tcPr>
          <w:p w14:paraId="0BFFD883" w14:textId="77777777" w:rsidR="00193E06" w:rsidRPr="00193E06" w:rsidRDefault="00193E06" w:rsidP="00193E06">
            <w:pPr>
              <w:jc w:val="center"/>
              <w:rPr>
                <w:rFonts w:asciiTheme="majorHAnsi" w:hAnsiTheme="majorHAnsi"/>
                <w:b w:val="0"/>
                <w:sz w:val="22"/>
                <w:szCs w:val="22"/>
              </w:rPr>
            </w:pPr>
            <w:r w:rsidRPr="00193E06">
              <w:rPr>
                <w:rFonts w:asciiTheme="majorHAnsi" w:hAnsiTheme="majorHAnsi"/>
                <w:b w:val="0"/>
                <w:sz w:val="22"/>
                <w:szCs w:val="22"/>
              </w:rPr>
              <w:t>2009-10</w:t>
            </w:r>
          </w:p>
        </w:tc>
        <w:tc>
          <w:tcPr>
            <w:tcW w:w="2880" w:type="dxa"/>
          </w:tcPr>
          <w:p w14:paraId="0BFFD884"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7,095</w:t>
            </w:r>
          </w:p>
        </w:tc>
        <w:tc>
          <w:tcPr>
            <w:tcW w:w="3870" w:type="dxa"/>
          </w:tcPr>
          <w:p w14:paraId="0BFFD885" w14:textId="77777777" w:rsidR="00193E06" w:rsidRPr="00193E06" w:rsidRDefault="00193E06" w:rsidP="00193E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93E06">
              <w:rPr>
                <w:rFonts w:asciiTheme="majorHAnsi" w:hAnsiTheme="majorHAnsi"/>
                <w:b/>
                <w:sz w:val="22"/>
                <w:szCs w:val="22"/>
              </w:rPr>
              <w:t>10,029</w:t>
            </w:r>
          </w:p>
        </w:tc>
      </w:tr>
    </w:tbl>
    <w:p w14:paraId="0BFFD887" w14:textId="77777777" w:rsidR="00193E06" w:rsidRPr="00193E06" w:rsidRDefault="00193E06" w:rsidP="00193E06">
      <w:pPr>
        <w:rPr>
          <w:rFonts w:asciiTheme="majorHAnsi" w:hAnsiTheme="majorHAnsi"/>
          <w:b/>
          <w:sz w:val="22"/>
          <w:szCs w:val="22"/>
        </w:rPr>
      </w:pPr>
      <w:r w:rsidRPr="00193E06">
        <w:rPr>
          <w:rFonts w:asciiTheme="majorHAnsi" w:hAnsiTheme="majorHAnsi"/>
          <w:b/>
          <w:sz w:val="22"/>
          <w:szCs w:val="22"/>
        </w:rPr>
        <w:t>*As of December 1, 2016</w:t>
      </w:r>
    </w:p>
    <w:p w14:paraId="0BFFD888" w14:textId="77777777" w:rsidR="004B3171" w:rsidRPr="00193E06" w:rsidRDefault="004B3171" w:rsidP="004B3171">
      <w:pPr>
        <w:tabs>
          <w:tab w:val="left" w:pos="3915"/>
        </w:tabs>
        <w:rPr>
          <w:rFonts w:asciiTheme="majorHAnsi" w:hAnsiTheme="majorHAnsi"/>
          <w:sz w:val="22"/>
          <w:szCs w:val="22"/>
        </w:rPr>
      </w:pPr>
    </w:p>
    <w:sectPr w:rsidR="004B3171" w:rsidRPr="00193E06" w:rsidSect="00C554CA">
      <w:headerReference w:type="defaul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FD88B" w14:textId="77777777" w:rsidR="00193E06" w:rsidRDefault="00193E06" w:rsidP="004B3171">
      <w:pPr>
        <w:spacing w:after="0"/>
      </w:pPr>
      <w:r>
        <w:separator/>
      </w:r>
    </w:p>
  </w:endnote>
  <w:endnote w:type="continuationSeparator" w:id="0">
    <w:p w14:paraId="0BFFD88C" w14:textId="77777777" w:rsidR="00193E06" w:rsidRDefault="00193E06" w:rsidP="004B3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FD889" w14:textId="77777777" w:rsidR="00193E06" w:rsidRDefault="00193E06" w:rsidP="004B3171">
      <w:pPr>
        <w:spacing w:after="0"/>
      </w:pPr>
      <w:r>
        <w:separator/>
      </w:r>
    </w:p>
  </w:footnote>
  <w:footnote w:type="continuationSeparator" w:id="0">
    <w:p w14:paraId="0BFFD88A" w14:textId="77777777" w:rsidR="00193E06" w:rsidRDefault="00193E06" w:rsidP="004B31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D88D" w14:textId="77777777" w:rsidR="00C554CA" w:rsidRDefault="00C55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A0E"/>
    <w:multiLevelType w:val="hybridMultilevel"/>
    <w:tmpl w:val="4A5E6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6082E4E4">
      <w:numFmt w:val="bullet"/>
      <w:lvlText w:val="-"/>
      <w:lvlJc w:val="left"/>
      <w:pPr>
        <w:ind w:left="360" w:hanging="360"/>
      </w:pPr>
      <w:rPr>
        <w:rFonts w:ascii="Calibri" w:eastAsiaTheme="minorHAnsi" w:hAnsi="Calibri"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42C45"/>
    <w:multiLevelType w:val="hybridMultilevel"/>
    <w:tmpl w:val="FB3CB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D26BF"/>
    <w:multiLevelType w:val="hybridMultilevel"/>
    <w:tmpl w:val="9BFED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71"/>
    <w:rsid w:val="00193E06"/>
    <w:rsid w:val="002C173C"/>
    <w:rsid w:val="002C7800"/>
    <w:rsid w:val="00321F4F"/>
    <w:rsid w:val="00324EA9"/>
    <w:rsid w:val="00431D88"/>
    <w:rsid w:val="004B3171"/>
    <w:rsid w:val="00905813"/>
    <w:rsid w:val="00915D2F"/>
    <w:rsid w:val="00995747"/>
    <w:rsid w:val="00AE2779"/>
    <w:rsid w:val="00AE539A"/>
    <w:rsid w:val="00BB6D2A"/>
    <w:rsid w:val="00C364D3"/>
    <w:rsid w:val="00C554CA"/>
    <w:rsid w:val="00DC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D654"/>
  <w15:docId w15:val="{AFA92A9B-F09D-4E50-9720-0CAD3F2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171"/>
    <w:pPr>
      <w:spacing w:line="240" w:lineRule="auto"/>
    </w:pPr>
    <w:rPr>
      <w:rFonts w:ascii="Segoe UI" w:eastAsia="Times New Roman" w:hAnsi="Segoe UI" w:cs="Arial"/>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B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B31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4B3171"/>
    <w:pPr>
      <w:tabs>
        <w:tab w:val="center" w:pos="4680"/>
        <w:tab w:val="right" w:pos="9360"/>
      </w:tabs>
      <w:spacing w:after="0"/>
    </w:pPr>
  </w:style>
  <w:style w:type="character" w:customStyle="1" w:styleId="HeaderChar">
    <w:name w:val="Header Char"/>
    <w:basedOn w:val="DefaultParagraphFont"/>
    <w:link w:val="Header"/>
    <w:uiPriority w:val="99"/>
    <w:semiHidden/>
    <w:rsid w:val="004B3171"/>
    <w:rPr>
      <w:rFonts w:ascii="Segoe UI" w:eastAsia="Times New Roman" w:hAnsi="Segoe UI" w:cs="Arial"/>
      <w:color w:val="000000"/>
      <w:sz w:val="18"/>
      <w:szCs w:val="20"/>
    </w:rPr>
  </w:style>
  <w:style w:type="table" w:styleId="TableGrid">
    <w:name w:val="Table Grid"/>
    <w:basedOn w:val="TableNormal"/>
    <w:uiPriority w:val="59"/>
    <w:rsid w:val="004B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171"/>
    <w:pPr>
      <w:ind w:left="720"/>
      <w:contextualSpacing/>
    </w:pPr>
  </w:style>
  <w:style w:type="paragraph" w:styleId="Footer">
    <w:name w:val="footer"/>
    <w:basedOn w:val="Normal"/>
    <w:link w:val="FooterChar"/>
    <w:uiPriority w:val="99"/>
    <w:unhideWhenUsed/>
    <w:rsid w:val="004B3171"/>
    <w:pPr>
      <w:tabs>
        <w:tab w:val="center" w:pos="4680"/>
        <w:tab w:val="right" w:pos="9360"/>
      </w:tabs>
      <w:spacing w:after="0"/>
    </w:pPr>
  </w:style>
  <w:style w:type="character" w:customStyle="1" w:styleId="FooterChar">
    <w:name w:val="Footer Char"/>
    <w:basedOn w:val="DefaultParagraphFont"/>
    <w:link w:val="Footer"/>
    <w:uiPriority w:val="99"/>
    <w:rsid w:val="004B3171"/>
    <w:rPr>
      <w:rFonts w:ascii="Segoe UI" w:eastAsia="Times New Roman" w:hAnsi="Segoe UI" w:cs="Arial"/>
      <w:color w:val="000000"/>
      <w:sz w:val="18"/>
      <w:szCs w:val="20"/>
    </w:rPr>
  </w:style>
  <w:style w:type="table" w:styleId="MediumGrid3-Accent1">
    <w:name w:val="Medium Grid 3 Accent 1"/>
    <w:basedOn w:val="TableNormal"/>
    <w:uiPriority w:val="69"/>
    <w:rsid w:val="00193E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7.html?section=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DESE-231-30030</_dlc_DocId>
    <_dlc_DocIdUrl xmlns="733efe1c-5bbe-4968-87dc-d400e65c879f">
      <Url>https://sharepoint.doemass.org/ese/webteam/cps/_layouts/DocIdRedir.aspx?ID=DESE-231-30030</Url>
      <Description>DESE-231-30030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643A04-2C0C-40FC-97AA-D6F2CC512A60}">
  <ds:schemaRefs>
    <ds:schemaRef ds:uri="http://schemas.microsoft.com/sharepoint/v3/contenttype/forms"/>
  </ds:schemaRefs>
</ds:datastoreItem>
</file>

<file path=customXml/itemProps2.xml><?xml version="1.0" encoding="utf-8"?>
<ds:datastoreItem xmlns:ds="http://schemas.openxmlformats.org/officeDocument/2006/customXml" ds:itemID="{680CDF20-376E-4402-9EC2-439CFFA1E9CD}">
  <ds:schemaRefs>
    <ds:schemaRef ds:uri="http://purl.org/dc/elements/1.1/"/>
    <ds:schemaRef ds:uri="http://schemas.microsoft.com/office/2006/documentManagement/types"/>
    <ds:schemaRef ds:uri="733efe1c-5bbe-4968-87dc-d400e65c879f"/>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0a4e05da-b9bc-4326-ad73-01ef31b95567"/>
  </ds:schemaRefs>
</ds:datastoreItem>
</file>

<file path=customXml/itemProps3.xml><?xml version="1.0" encoding="utf-8"?>
<ds:datastoreItem xmlns:ds="http://schemas.openxmlformats.org/officeDocument/2006/customXml" ds:itemID="{756F8BAB-8068-4950-9F54-97DCB65ED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CA509-12D2-4126-AF83-1E5616405D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Massachusetts Statute &amp; Regulations Crosswalk</vt:lpstr>
    </vt:vector>
  </TitlesOfParts>
  <Company>Microsoft</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12/20/16 BESE Meeting: Massachusetts Statute &amp; Regulations Crosswalk: Temporary License</dc:title>
  <dc:creator>ESE</dc:creator>
  <cp:lastModifiedBy>Giovanni, Danielle (EOE)</cp:lastModifiedBy>
  <cp:revision>2</cp:revision>
  <dcterms:created xsi:type="dcterms:W3CDTF">2016-12-13T22:04:00Z</dcterms:created>
  <dcterms:modified xsi:type="dcterms:W3CDTF">2016-12-13T22:04:00Z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0e70be03-1fc6-4606-8f54-010fb809a17d</vt:lpwstr>
  </property>
  <property fmtid="{D5CDD505-2E9C-101B-9397-08002B2CF9AE}" pid="4" name="metadate">
    <vt:lpwstr>Dec 13 2016</vt:lpwstr>
  </property>
</Properties>
</file>