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7D39A" w14:textId="6F5A2395" w:rsidR="00C95ABD" w:rsidRPr="00DC7FAC" w:rsidRDefault="00C95ABD" w:rsidP="00DC7FAC">
      <w:pPr>
        <w:pStyle w:val="Title"/>
      </w:pPr>
      <w:bookmarkStart w:id="0" w:name="OLE_LINK1"/>
      <w:bookmarkStart w:id="1" w:name="OLE_LINK2"/>
      <w:r w:rsidRPr="00DC7FAC">
        <w:t>Summary of Public Comment</w:t>
      </w:r>
      <w:r w:rsidR="001A0DBD" w:rsidRPr="00DC7FAC">
        <w:t>s</w:t>
      </w:r>
      <w:r w:rsidRPr="00DC7FAC">
        <w:t xml:space="preserve"> on Proposed </w:t>
      </w:r>
      <w:r w:rsidR="00D0291A" w:rsidRPr="00DC7FAC">
        <w:t>Changes to the District and School Accountability System</w:t>
      </w:r>
    </w:p>
    <w:bookmarkEnd w:id="0"/>
    <w:bookmarkEnd w:id="1"/>
    <w:p w14:paraId="3A09BAF6" w14:textId="21DE6612" w:rsidR="00557510" w:rsidRDefault="000C5016" w:rsidP="00FA00DE">
      <w:pPr>
        <w:rPr>
          <w:rFonts w:asciiTheme="minorHAnsi" w:hAnsiTheme="minorHAnsi" w:cstheme="minorHAnsi"/>
        </w:rPr>
      </w:pPr>
      <w:r w:rsidRPr="000C5016">
        <w:rPr>
          <w:rFonts w:asciiTheme="minorHAnsi" w:hAnsiTheme="minorHAnsi" w:cstheme="minorHAnsi"/>
        </w:rPr>
        <w:t xml:space="preserve">The Massachusetts Department of Elementary and Secondary Education (Department) </w:t>
      </w:r>
      <w:r>
        <w:rPr>
          <w:rFonts w:asciiTheme="minorHAnsi" w:hAnsiTheme="minorHAnsi" w:cstheme="minorHAnsi"/>
        </w:rPr>
        <w:t>solicited</w:t>
      </w:r>
      <w:r w:rsidRPr="000C5016">
        <w:rPr>
          <w:rFonts w:asciiTheme="minorHAnsi" w:hAnsiTheme="minorHAnsi" w:cstheme="minorHAnsi"/>
        </w:rPr>
        <w:t xml:space="preserve"> public comment o</w:t>
      </w:r>
      <w:r>
        <w:rPr>
          <w:rFonts w:asciiTheme="minorHAnsi" w:hAnsiTheme="minorHAnsi" w:cstheme="minorHAnsi"/>
        </w:rPr>
        <w:t>n proposed changes to the state’</w:t>
      </w:r>
      <w:r w:rsidRPr="000C5016">
        <w:rPr>
          <w:rFonts w:asciiTheme="minorHAnsi" w:hAnsiTheme="minorHAnsi" w:cstheme="minorHAnsi"/>
        </w:rPr>
        <w:t>s district a</w:t>
      </w:r>
      <w:r>
        <w:rPr>
          <w:rFonts w:asciiTheme="minorHAnsi" w:hAnsiTheme="minorHAnsi" w:cstheme="minorHAnsi"/>
        </w:rPr>
        <w:t>nd school accountability system from April 12 to May 31, 2019. The Department received correspondence from 40 individuals through email and a dedicated public comment survey tool</w:t>
      </w:r>
      <w:r w:rsidR="007367C9">
        <w:rPr>
          <w:rFonts w:asciiTheme="minorHAnsi" w:hAnsiTheme="minorHAnsi" w:cstheme="minorHAnsi"/>
        </w:rPr>
        <w:t>: 31 submitted comments as individual</w:t>
      </w:r>
      <w:r w:rsidR="00557510">
        <w:rPr>
          <w:rFonts w:asciiTheme="minorHAnsi" w:hAnsiTheme="minorHAnsi" w:cstheme="minorHAnsi"/>
        </w:rPr>
        <w:t>s</w:t>
      </w:r>
      <w:r w:rsidR="007367C9">
        <w:rPr>
          <w:rFonts w:asciiTheme="minorHAnsi" w:hAnsiTheme="minorHAnsi" w:cstheme="minorHAnsi"/>
        </w:rPr>
        <w:t xml:space="preserve"> and </w:t>
      </w:r>
      <w:r w:rsidR="009F7B1D">
        <w:rPr>
          <w:rFonts w:asciiTheme="minorHAnsi" w:hAnsiTheme="minorHAnsi" w:cstheme="minorHAnsi"/>
        </w:rPr>
        <w:t>9</w:t>
      </w:r>
      <w:r w:rsidR="007367C9">
        <w:rPr>
          <w:rFonts w:asciiTheme="minorHAnsi" w:hAnsiTheme="minorHAnsi" w:cstheme="minorHAnsi"/>
        </w:rPr>
        <w:t xml:space="preserve"> submitted comments on behalf of their school or district</w:t>
      </w:r>
      <w:r>
        <w:rPr>
          <w:rFonts w:asciiTheme="minorHAnsi" w:hAnsiTheme="minorHAnsi" w:cstheme="minorHAnsi"/>
        </w:rPr>
        <w:t xml:space="preserve">. </w:t>
      </w:r>
      <w:r w:rsidR="00557510">
        <w:rPr>
          <w:rFonts w:asciiTheme="minorHAnsi" w:hAnsiTheme="minorHAnsi" w:cstheme="minorHAnsi"/>
        </w:rPr>
        <w:t xml:space="preserve">A complete list of individuals who submitted comments is included at the </w:t>
      </w:r>
      <w:hyperlink w:anchor="_List_of_individuals" w:history="1">
        <w:r w:rsidR="00557510" w:rsidRPr="00DC7FAC">
          <w:rPr>
            <w:rStyle w:val="Hyperlink"/>
            <w:rFonts w:asciiTheme="minorHAnsi" w:hAnsiTheme="minorHAnsi" w:cstheme="minorHAnsi"/>
          </w:rPr>
          <w:t>end of this document</w:t>
        </w:r>
      </w:hyperlink>
      <w:r w:rsidR="00557510">
        <w:rPr>
          <w:rFonts w:asciiTheme="minorHAnsi" w:hAnsiTheme="minorHAnsi" w:cstheme="minorHAnsi"/>
        </w:rPr>
        <w:t>.</w:t>
      </w:r>
    </w:p>
    <w:p w14:paraId="1E32B603" w14:textId="387FA249" w:rsidR="009F7B1D" w:rsidRPr="00557510" w:rsidRDefault="000C5016" w:rsidP="00FA00DE">
      <w:pPr>
        <w:rPr>
          <w:rFonts w:asciiTheme="minorHAnsi" w:hAnsiTheme="minorHAnsi" w:cstheme="minorHAnsi"/>
        </w:rPr>
        <w:sectPr w:rsidR="009F7B1D" w:rsidRPr="00557510" w:rsidSect="00557510">
          <w:footerReference w:type="default" r:id="rId12"/>
          <w:type w:val="continuous"/>
          <w:pgSz w:w="15840" w:h="12240" w:orient="landscape"/>
          <w:pgMar w:top="1080" w:right="1080" w:bottom="1080" w:left="1080" w:header="720" w:footer="720" w:gutter="0"/>
          <w:cols w:space="720"/>
          <w:docGrid w:linePitch="360"/>
        </w:sectPr>
      </w:pPr>
      <w:r>
        <w:rPr>
          <w:rFonts w:asciiTheme="minorHAnsi" w:hAnsiTheme="minorHAnsi" w:cstheme="minorHAnsi"/>
        </w:rPr>
        <w:t>Many commenters expressed support for the proposed changes, while others shared concerns about the changes. The topics most frequently mentioned by commenters opposed to the proposed changes are summarized in the table below, along with</w:t>
      </w:r>
      <w:r w:rsidR="00557510">
        <w:rPr>
          <w:rFonts w:asciiTheme="minorHAnsi" w:hAnsiTheme="minorHAnsi" w:cstheme="minorHAnsi"/>
        </w:rPr>
        <w:t xml:space="preserve"> the Department’s responses. </w:t>
      </w:r>
    </w:p>
    <w:tbl>
      <w:tblPr>
        <w:tblStyle w:val="TableGrid"/>
        <w:tblW w:w="5000" w:type="pct"/>
        <w:tblLayout w:type="fixed"/>
        <w:tblLook w:val="04A0" w:firstRow="1" w:lastRow="0" w:firstColumn="1" w:lastColumn="0" w:noHBand="0" w:noVBand="1"/>
      </w:tblPr>
      <w:tblGrid>
        <w:gridCol w:w="6835"/>
        <w:gridCol w:w="6835"/>
      </w:tblGrid>
      <w:tr w:rsidR="00C95ABD" w:rsidRPr="00CD1570" w14:paraId="568C7024" w14:textId="77777777" w:rsidTr="00F0404E">
        <w:trPr>
          <w:tblHeader/>
        </w:trPr>
        <w:tc>
          <w:tcPr>
            <w:tcW w:w="5000" w:type="pct"/>
            <w:gridSpan w:val="2"/>
            <w:shd w:val="clear" w:color="auto" w:fill="9CC2E5" w:themeFill="accent1" w:themeFillTint="99"/>
          </w:tcPr>
          <w:p w14:paraId="59275FA0" w14:textId="1D311547" w:rsidR="00C95ABD" w:rsidRPr="00CD1570" w:rsidRDefault="00C95ABD" w:rsidP="00FA00DE">
            <w:pPr>
              <w:spacing w:after="0"/>
              <w:rPr>
                <w:rFonts w:asciiTheme="minorHAnsi" w:hAnsiTheme="minorHAnsi" w:cstheme="minorHAnsi"/>
                <w:b/>
              </w:rPr>
            </w:pPr>
            <w:r w:rsidRPr="00CD1570">
              <w:rPr>
                <w:rFonts w:asciiTheme="minorHAnsi" w:hAnsiTheme="minorHAnsi" w:cstheme="minorHAnsi"/>
                <w:b/>
              </w:rPr>
              <w:t>Summa</w:t>
            </w:r>
            <w:r w:rsidR="007978FD">
              <w:rPr>
                <w:rFonts w:asciiTheme="minorHAnsi" w:hAnsiTheme="minorHAnsi" w:cstheme="minorHAnsi"/>
                <w:b/>
              </w:rPr>
              <w:t>ry of Public C</w:t>
            </w:r>
            <w:r w:rsidRPr="00CD1570">
              <w:rPr>
                <w:rFonts w:asciiTheme="minorHAnsi" w:hAnsiTheme="minorHAnsi" w:cstheme="minorHAnsi"/>
                <w:b/>
              </w:rPr>
              <w:t xml:space="preserve">omment </w:t>
            </w:r>
          </w:p>
        </w:tc>
      </w:tr>
      <w:tr w:rsidR="00DB1426" w:rsidRPr="00CD1570" w14:paraId="755F5B54" w14:textId="77777777" w:rsidTr="00F0404E">
        <w:trPr>
          <w:tblHeader/>
        </w:trPr>
        <w:tc>
          <w:tcPr>
            <w:tcW w:w="2500" w:type="pct"/>
            <w:shd w:val="clear" w:color="auto" w:fill="DEEAF6" w:themeFill="accent1" w:themeFillTint="33"/>
          </w:tcPr>
          <w:p w14:paraId="57ED2B12" w14:textId="03923AE9" w:rsidR="00DB1426" w:rsidRPr="00CD1570" w:rsidRDefault="00DB1426" w:rsidP="00FA00DE">
            <w:pPr>
              <w:spacing w:after="0"/>
              <w:rPr>
                <w:rFonts w:asciiTheme="minorHAnsi" w:hAnsiTheme="minorHAnsi" w:cstheme="minorHAnsi"/>
                <w:b/>
              </w:rPr>
            </w:pPr>
            <w:r w:rsidRPr="00CD1570">
              <w:rPr>
                <w:rFonts w:asciiTheme="minorHAnsi" w:hAnsiTheme="minorHAnsi" w:cstheme="minorHAnsi"/>
                <w:b/>
              </w:rPr>
              <w:t>Public Comment Received</w:t>
            </w:r>
          </w:p>
        </w:tc>
        <w:tc>
          <w:tcPr>
            <w:tcW w:w="2500" w:type="pct"/>
            <w:shd w:val="clear" w:color="auto" w:fill="DEEAF6" w:themeFill="accent1" w:themeFillTint="33"/>
          </w:tcPr>
          <w:p w14:paraId="409A2A8E" w14:textId="77777777" w:rsidR="00DB1426" w:rsidRPr="00CD1570" w:rsidRDefault="00DB1426" w:rsidP="00FA00DE">
            <w:pPr>
              <w:spacing w:after="0"/>
              <w:rPr>
                <w:rFonts w:asciiTheme="minorHAnsi" w:hAnsiTheme="minorHAnsi" w:cstheme="minorHAnsi"/>
                <w:b/>
              </w:rPr>
            </w:pPr>
            <w:r w:rsidRPr="00CD1570">
              <w:rPr>
                <w:rFonts w:asciiTheme="minorHAnsi" w:hAnsiTheme="minorHAnsi" w:cstheme="minorHAnsi"/>
                <w:b/>
              </w:rPr>
              <w:t>Department’s Response</w:t>
            </w:r>
          </w:p>
        </w:tc>
      </w:tr>
      <w:tr w:rsidR="00DB1426" w:rsidRPr="00CD1570" w14:paraId="16170C10" w14:textId="77777777" w:rsidTr="00F0404E">
        <w:tc>
          <w:tcPr>
            <w:tcW w:w="5000" w:type="pct"/>
            <w:gridSpan w:val="2"/>
            <w:shd w:val="clear" w:color="auto" w:fill="FBE4D5" w:themeFill="accent2" w:themeFillTint="33"/>
          </w:tcPr>
          <w:p w14:paraId="01A445D1" w14:textId="7D848BC4" w:rsidR="00DB1426" w:rsidRPr="00CD1570" w:rsidRDefault="00DB1426" w:rsidP="00FA00DE">
            <w:pPr>
              <w:spacing w:after="0"/>
              <w:rPr>
                <w:rFonts w:asciiTheme="minorHAnsi" w:hAnsiTheme="minorHAnsi" w:cstheme="minorHAnsi"/>
                <w:b/>
              </w:rPr>
            </w:pPr>
            <w:r>
              <w:rPr>
                <w:rFonts w:asciiTheme="minorHAnsi" w:hAnsiTheme="minorHAnsi" w:cstheme="minorHAnsi"/>
                <w:b/>
              </w:rPr>
              <w:t>Accountability Indicators</w:t>
            </w:r>
          </w:p>
        </w:tc>
      </w:tr>
      <w:tr w:rsidR="00DB1426" w:rsidRPr="00CD1570" w14:paraId="46A7A584" w14:textId="77777777" w:rsidTr="00F0404E">
        <w:tc>
          <w:tcPr>
            <w:tcW w:w="2500" w:type="pct"/>
            <w:shd w:val="clear" w:color="auto" w:fill="auto"/>
          </w:tcPr>
          <w:p w14:paraId="27B4346C" w14:textId="2A95034A" w:rsidR="00DB1426" w:rsidRDefault="00DB1426" w:rsidP="00DB1426">
            <w:pPr>
              <w:tabs>
                <w:tab w:val="left" w:pos="1152"/>
              </w:tabs>
              <w:spacing w:after="0"/>
              <w:rPr>
                <w:rFonts w:asciiTheme="minorHAnsi" w:hAnsiTheme="minorHAnsi" w:cstheme="minorHAnsi"/>
              </w:rPr>
            </w:pPr>
            <w:r>
              <w:rPr>
                <w:rFonts w:asciiTheme="minorHAnsi" w:hAnsiTheme="minorHAnsi" w:cstheme="minorHAnsi"/>
              </w:rPr>
              <w:t xml:space="preserve">The list of advanced courses should include more than proprietary courses like Advanced Placement (AP), International Baccalaureate (IB), and Project Lead the Way (PLTW), which require a financial commitment by the district. </w:t>
            </w:r>
            <w:r w:rsidR="007002F6">
              <w:rPr>
                <w:rFonts w:asciiTheme="minorHAnsi" w:hAnsiTheme="minorHAnsi" w:cstheme="minorHAnsi"/>
              </w:rPr>
              <w:t>(Chapman</w:t>
            </w:r>
            <w:r w:rsidR="00572896">
              <w:rPr>
                <w:rFonts w:asciiTheme="minorHAnsi" w:hAnsiTheme="minorHAnsi" w:cstheme="minorHAnsi"/>
              </w:rPr>
              <w:t xml:space="preserve">, </w:t>
            </w:r>
            <w:proofErr w:type="spellStart"/>
            <w:r w:rsidR="00572896">
              <w:rPr>
                <w:rFonts w:asciiTheme="minorHAnsi" w:hAnsiTheme="minorHAnsi" w:cstheme="minorHAnsi"/>
              </w:rPr>
              <w:t>Dillman</w:t>
            </w:r>
            <w:proofErr w:type="spellEnd"/>
            <w:r w:rsidR="00572896">
              <w:rPr>
                <w:rFonts w:asciiTheme="minorHAnsi" w:hAnsiTheme="minorHAnsi" w:cstheme="minorHAnsi"/>
              </w:rPr>
              <w:t xml:space="preserve">, </w:t>
            </w:r>
            <w:proofErr w:type="spellStart"/>
            <w:r w:rsidR="00E9044D" w:rsidRPr="00E9044D">
              <w:rPr>
                <w:rFonts w:asciiTheme="minorHAnsi" w:hAnsiTheme="minorHAnsi" w:cstheme="minorHAnsi"/>
              </w:rPr>
              <w:t>Hochheiser</w:t>
            </w:r>
            <w:proofErr w:type="spellEnd"/>
            <w:r w:rsidR="00E9044D">
              <w:rPr>
                <w:rFonts w:asciiTheme="minorHAnsi" w:hAnsiTheme="minorHAnsi" w:cstheme="minorHAnsi"/>
              </w:rPr>
              <w:t xml:space="preserve">, </w:t>
            </w:r>
            <w:r w:rsidR="00572896">
              <w:rPr>
                <w:rFonts w:asciiTheme="minorHAnsi" w:hAnsiTheme="minorHAnsi" w:cstheme="minorHAnsi"/>
              </w:rPr>
              <w:t>Kidwell, Lee, Miller, Werner)</w:t>
            </w:r>
          </w:p>
        </w:tc>
        <w:tc>
          <w:tcPr>
            <w:tcW w:w="2500" w:type="pct"/>
            <w:shd w:val="clear" w:color="auto" w:fill="auto"/>
          </w:tcPr>
          <w:p w14:paraId="474BEBF3" w14:textId="761B3D3B" w:rsidR="00DB1426" w:rsidRPr="003140A3" w:rsidRDefault="00B34954" w:rsidP="00A86186">
            <w:pPr>
              <w:spacing w:after="0"/>
              <w:rPr>
                <w:rFonts w:asciiTheme="minorHAnsi" w:hAnsiTheme="minorHAnsi" w:cstheme="minorHAnsi"/>
              </w:rPr>
            </w:pPr>
            <w:r>
              <w:rPr>
                <w:rFonts w:asciiTheme="minorHAnsi" w:hAnsiTheme="minorHAnsi" w:cstheme="minorHAnsi"/>
              </w:rPr>
              <w:t xml:space="preserve">No changes. </w:t>
            </w:r>
            <w:r w:rsidR="00A86186">
              <w:rPr>
                <w:rFonts w:asciiTheme="minorHAnsi" w:hAnsiTheme="minorHAnsi" w:cstheme="minorHAnsi"/>
              </w:rPr>
              <w:t xml:space="preserve">The Department has identified a </w:t>
            </w:r>
            <w:hyperlink r:id="rId13" w:history="1">
              <w:r w:rsidR="00A86186" w:rsidRPr="00A86186">
                <w:rPr>
                  <w:rStyle w:val="Hyperlink"/>
                  <w:rFonts w:asciiTheme="minorHAnsi" w:hAnsiTheme="minorHAnsi" w:cstheme="minorHAnsi"/>
                </w:rPr>
                <w:t>list of courses</w:t>
              </w:r>
            </w:hyperlink>
            <w:r w:rsidR="00A86186">
              <w:rPr>
                <w:rFonts w:asciiTheme="minorHAnsi" w:hAnsiTheme="minorHAnsi" w:cstheme="minorHAnsi"/>
              </w:rPr>
              <w:t xml:space="preserve"> including but not limited to AP, IB, and PLTW that are considered “advanced” for the purposes of accountability reporting. This list will be reviewed on an annual basis, and additional courses may be added, where appropriate. </w:t>
            </w:r>
          </w:p>
        </w:tc>
      </w:tr>
      <w:tr w:rsidR="00DB1426" w:rsidRPr="00CD1570" w14:paraId="5289E6B0" w14:textId="77777777" w:rsidTr="00F0404E">
        <w:tc>
          <w:tcPr>
            <w:tcW w:w="2500" w:type="pct"/>
            <w:shd w:val="clear" w:color="auto" w:fill="auto"/>
          </w:tcPr>
          <w:p w14:paraId="456A252D" w14:textId="62D64C50" w:rsidR="00DB1426" w:rsidRPr="003140A3" w:rsidRDefault="00DB1426" w:rsidP="00E9044D">
            <w:pPr>
              <w:tabs>
                <w:tab w:val="left" w:pos="2328"/>
              </w:tabs>
              <w:spacing w:after="0"/>
              <w:rPr>
                <w:rFonts w:asciiTheme="minorHAnsi" w:hAnsiTheme="minorHAnsi" w:cstheme="minorHAnsi"/>
              </w:rPr>
            </w:pPr>
            <w:r w:rsidRPr="003140A3">
              <w:rPr>
                <w:rFonts w:asciiTheme="minorHAnsi" w:hAnsiTheme="minorHAnsi" w:cstheme="minorHAnsi"/>
              </w:rPr>
              <w:t>Chronic absenteeism</w:t>
            </w:r>
            <w:r>
              <w:rPr>
                <w:rFonts w:asciiTheme="minorHAnsi" w:hAnsiTheme="minorHAnsi" w:cstheme="minorHAnsi"/>
              </w:rPr>
              <w:t xml:space="preserve"> should not be included as an indicator in the accountability system</w:t>
            </w:r>
            <w:r w:rsidR="00CE5A7C">
              <w:rPr>
                <w:rFonts w:asciiTheme="minorHAnsi" w:hAnsiTheme="minorHAnsi" w:cstheme="minorHAnsi"/>
              </w:rPr>
              <w:t>, as student attendance is outside of the school</w:t>
            </w:r>
            <w:r w:rsidR="00A86FF4">
              <w:rPr>
                <w:rFonts w:asciiTheme="minorHAnsi" w:hAnsiTheme="minorHAnsi" w:cstheme="minorHAnsi"/>
              </w:rPr>
              <w:t>’s</w:t>
            </w:r>
            <w:r w:rsidR="00CE5A7C">
              <w:rPr>
                <w:rFonts w:asciiTheme="minorHAnsi" w:hAnsiTheme="minorHAnsi" w:cstheme="minorHAnsi"/>
              </w:rPr>
              <w:t xml:space="preserve"> or district’s control</w:t>
            </w:r>
            <w:r>
              <w:rPr>
                <w:rFonts w:asciiTheme="minorHAnsi" w:hAnsiTheme="minorHAnsi" w:cstheme="minorHAnsi"/>
              </w:rPr>
              <w:t>.</w:t>
            </w:r>
            <w:r w:rsidR="00572896">
              <w:rPr>
                <w:rFonts w:asciiTheme="minorHAnsi" w:hAnsiTheme="minorHAnsi" w:cstheme="minorHAnsi"/>
              </w:rPr>
              <w:t xml:space="preserve"> (</w:t>
            </w:r>
            <w:r w:rsidR="00951D70" w:rsidRPr="00951D70">
              <w:rPr>
                <w:rFonts w:asciiTheme="minorHAnsi" w:hAnsiTheme="minorHAnsi" w:cstheme="minorHAnsi"/>
              </w:rPr>
              <w:t>Bevilacqua</w:t>
            </w:r>
            <w:r w:rsidR="00951D70">
              <w:rPr>
                <w:rFonts w:asciiTheme="minorHAnsi" w:hAnsiTheme="minorHAnsi" w:cstheme="minorHAnsi"/>
              </w:rPr>
              <w:t xml:space="preserve">, </w:t>
            </w:r>
            <w:r w:rsidR="00E9044D">
              <w:rPr>
                <w:rFonts w:asciiTheme="minorHAnsi" w:hAnsiTheme="minorHAnsi" w:cstheme="minorHAnsi"/>
              </w:rPr>
              <w:t xml:space="preserve">Curley, </w:t>
            </w:r>
            <w:r w:rsidR="00CB4B24">
              <w:rPr>
                <w:rFonts w:asciiTheme="minorHAnsi" w:hAnsiTheme="minorHAnsi" w:cstheme="minorHAnsi"/>
              </w:rPr>
              <w:t>Moore</w:t>
            </w:r>
            <w:r w:rsidR="00951D70">
              <w:rPr>
                <w:rFonts w:asciiTheme="minorHAnsi" w:hAnsiTheme="minorHAnsi" w:cstheme="minorHAnsi"/>
              </w:rPr>
              <w:t xml:space="preserve">, </w:t>
            </w:r>
            <w:proofErr w:type="spellStart"/>
            <w:r w:rsidR="00951D70" w:rsidRPr="00951D70">
              <w:rPr>
                <w:rFonts w:asciiTheme="minorHAnsi" w:hAnsiTheme="minorHAnsi" w:cstheme="minorHAnsi"/>
              </w:rPr>
              <w:t>Santaniello</w:t>
            </w:r>
            <w:proofErr w:type="spellEnd"/>
            <w:r w:rsidR="00CB4B24">
              <w:rPr>
                <w:rFonts w:asciiTheme="minorHAnsi" w:hAnsiTheme="minorHAnsi" w:cstheme="minorHAnsi"/>
              </w:rPr>
              <w:t>)</w:t>
            </w:r>
          </w:p>
        </w:tc>
        <w:tc>
          <w:tcPr>
            <w:tcW w:w="2500" w:type="pct"/>
            <w:shd w:val="clear" w:color="auto" w:fill="auto"/>
          </w:tcPr>
          <w:p w14:paraId="14210A04" w14:textId="6970822C" w:rsidR="00DB1426" w:rsidRPr="003140A3" w:rsidRDefault="00B34954" w:rsidP="00EC042C">
            <w:pPr>
              <w:spacing w:after="0"/>
              <w:rPr>
                <w:rFonts w:asciiTheme="minorHAnsi" w:hAnsiTheme="minorHAnsi" w:cstheme="minorHAnsi"/>
              </w:rPr>
            </w:pPr>
            <w:r>
              <w:rPr>
                <w:rFonts w:asciiTheme="minorHAnsi" w:hAnsiTheme="minorHAnsi" w:cstheme="minorHAnsi"/>
              </w:rPr>
              <w:t xml:space="preserve">No changes. </w:t>
            </w:r>
            <w:r w:rsidR="00A86186">
              <w:rPr>
                <w:rFonts w:asciiTheme="minorHAnsi" w:hAnsiTheme="minorHAnsi" w:cstheme="minorHAnsi"/>
              </w:rPr>
              <w:t xml:space="preserve">The federal Every Student Succeeds Act (ESSA) requires that each state’s accountability system include at least one measure of school quality or student success. </w:t>
            </w:r>
            <w:r w:rsidR="00A86186" w:rsidRPr="00CB1E1F">
              <w:rPr>
                <w:rFonts w:asciiTheme="minorHAnsi" w:hAnsiTheme="minorHAnsi"/>
              </w:rPr>
              <w:t xml:space="preserve">Massachusetts </w:t>
            </w:r>
            <w:r w:rsidR="00A86186">
              <w:rPr>
                <w:rFonts w:asciiTheme="minorHAnsi" w:hAnsiTheme="minorHAnsi"/>
              </w:rPr>
              <w:t>uses</w:t>
            </w:r>
            <w:r w:rsidR="00A86186" w:rsidRPr="00CB1E1F">
              <w:rPr>
                <w:rFonts w:asciiTheme="minorHAnsi" w:hAnsiTheme="minorHAnsi"/>
              </w:rPr>
              <w:t xml:space="preserve"> </w:t>
            </w:r>
            <w:r w:rsidR="00A86186">
              <w:rPr>
                <w:rFonts w:asciiTheme="minorHAnsi" w:hAnsiTheme="minorHAnsi"/>
              </w:rPr>
              <w:t>chronic</w:t>
            </w:r>
            <w:r w:rsidR="00A86186" w:rsidRPr="00CB1E1F">
              <w:rPr>
                <w:rFonts w:asciiTheme="minorHAnsi" w:hAnsiTheme="minorHAnsi"/>
              </w:rPr>
              <w:t xml:space="preserve"> absenteeism because the district and school accountability system should incentivize a minimal loss </w:t>
            </w:r>
            <w:r w:rsidR="00A86186">
              <w:rPr>
                <w:rFonts w:asciiTheme="minorHAnsi" w:hAnsiTheme="minorHAnsi"/>
              </w:rPr>
              <w:t xml:space="preserve">of instruction time. </w:t>
            </w:r>
            <w:r w:rsidR="00A86186" w:rsidRPr="00CB1E1F">
              <w:rPr>
                <w:rFonts w:asciiTheme="minorHAnsi" w:hAnsiTheme="minorHAnsi"/>
              </w:rPr>
              <w:t>There has been significant research</w:t>
            </w:r>
            <w:r w:rsidR="00A86186">
              <w:rPr>
                <w:rFonts w:asciiTheme="minorHAnsi" w:hAnsiTheme="minorHAnsi"/>
              </w:rPr>
              <w:t xml:space="preserve"> on the impact of absenteeism. </w:t>
            </w:r>
            <w:r w:rsidR="00A86186" w:rsidRPr="00CB1E1F">
              <w:rPr>
                <w:rFonts w:asciiTheme="minorHAnsi" w:hAnsiTheme="minorHAnsi"/>
              </w:rPr>
              <w:t xml:space="preserve">Two examples can be found </w:t>
            </w:r>
            <w:hyperlink r:id="rId14" w:history="1">
              <w:r w:rsidR="00A86186" w:rsidRPr="00CB1E1F">
                <w:rPr>
                  <w:rStyle w:val="Hyperlink"/>
                </w:rPr>
                <w:t>here</w:t>
              </w:r>
            </w:hyperlink>
            <w:r w:rsidR="00A86186" w:rsidRPr="00CB1E1F">
              <w:rPr>
                <w:rFonts w:asciiTheme="minorHAnsi" w:hAnsiTheme="minorHAnsi"/>
              </w:rPr>
              <w:t xml:space="preserve"> and </w:t>
            </w:r>
            <w:hyperlink r:id="rId15" w:anchor="page_scan_tab_contents" w:history="1">
              <w:r w:rsidR="00A86186" w:rsidRPr="00CB1E1F">
                <w:rPr>
                  <w:rStyle w:val="Hyperlink"/>
                </w:rPr>
                <w:t>here</w:t>
              </w:r>
            </w:hyperlink>
            <w:r w:rsidR="00A86186" w:rsidRPr="00CB1E1F">
              <w:rPr>
                <w:rFonts w:asciiTheme="minorHAnsi" w:hAnsiTheme="minorHAnsi"/>
              </w:rPr>
              <w:t>.</w:t>
            </w:r>
          </w:p>
        </w:tc>
      </w:tr>
      <w:tr w:rsidR="00DB1426" w:rsidRPr="00CD1570" w14:paraId="0581C4A1" w14:textId="77777777" w:rsidTr="00F0404E">
        <w:tc>
          <w:tcPr>
            <w:tcW w:w="2500" w:type="pct"/>
            <w:shd w:val="clear" w:color="auto" w:fill="auto"/>
          </w:tcPr>
          <w:p w14:paraId="5260D9F9" w14:textId="7636FDED" w:rsidR="00DB1426" w:rsidRPr="003140A3" w:rsidRDefault="00DB1426" w:rsidP="00E9044D">
            <w:pPr>
              <w:tabs>
                <w:tab w:val="left" w:pos="2328"/>
              </w:tabs>
              <w:spacing w:after="0"/>
              <w:rPr>
                <w:rFonts w:asciiTheme="minorHAnsi" w:hAnsiTheme="minorHAnsi" w:cstheme="minorHAnsi"/>
              </w:rPr>
            </w:pPr>
            <w:r>
              <w:rPr>
                <w:rFonts w:asciiTheme="minorHAnsi" w:hAnsiTheme="minorHAnsi" w:cstheme="minorHAnsi"/>
              </w:rPr>
              <w:t xml:space="preserve">The calculation of chronic absenteeism rates should take into consideration the </w:t>
            </w:r>
            <w:r w:rsidR="0013449D">
              <w:rPr>
                <w:rFonts w:asciiTheme="minorHAnsi" w:hAnsiTheme="minorHAnsi" w:cstheme="minorHAnsi"/>
              </w:rPr>
              <w:t xml:space="preserve">reason for or </w:t>
            </w:r>
            <w:r>
              <w:rPr>
                <w:rFonts w:asciiTheme="minorHAnsi" w:hAnsiTheme="minorHAnsi" w:cstheme="minorHAnsi"/>
              </w:rPr>
              <w:t>kind of absence (</w:t>
            </w:r>
            <w:r w:rsidR="00A57504">
              <w:rPr>
                <w:rFonts w:asciiTheme="minorHAnsi" w:hAnsiTheme="minorHAnsi" w:cstheme="minorHAnsi"/>
              </w:rPr>
              <w:t xml:space="preserve">e.g., absences due to medical </w:t>
            </w:r>
            <w:r w:rsidR="00265B96">
              <w:rPr>
                <w:rFonts w:asciiTheme="minorHAnsi" w:hAnsiTheme="minorHAnsi" w:cstheme="minorHAnsi"/>
              </w:rPr>
              <w:t>issues</w:t>
            </w:r>
            <w:r w:rsidR="00C63D24">
              <w:rPr>
                <w:rFonts w:asciiTheme="minorHAnsi" w:hAnsiTheme="minorHAnsi" w:cstheme="minorHAnsi"/>
              </w:rPr>
              <w:t>, extended travel outside of the country,</w:t>
            </w:r>
            <w:r w:rsidR="00A57504">
              <w:rPr>
                <w:rFonts w:asciiTheme="minorHAnsi" w:hAnsiTheme="minorHAnsi" w:cstheme="minorHAnsi"/>
              </w:rPr>
              <w:t xml:space="preserve"> and </w:t>
            </w:r>
            <w:r>
              <w:rPr>
                <w:rFonts w:asciiTheme="minorHAnsi" w:hAnsiTheme="minorHAnsi" w:cstheme="minorHAnsi"/>
              </w:rPr>
              <w:t>excused versus unexcused</w:t>
            </w:r>
            <w:r w:rsidR="00A57504">
              <w:rPr>
                <w:rFonts w:asciiTheme="minorHAnsi" w:hAnsiTheme="minorHAnsi" w:cstheme="minorHAnsi"/>
              </w:rPr>
              <w:t xml:space="preserve"> absences</w:t>
            </w:r>
            <w:r>
              <w:rPr>
                <w:rFonts w:asciiTheme="minorHAnsi" w:hAnsiTheme="minorHAnsi" w:cstheme="minorHAnsi"/>
              </w:rPr>
              <w:t xml:space="preserve">). </w:t>
            </w:r>
            <w:r w:rsidR="00CB4B24">
              <w:rPr>
                <w:rFonts w:asciiTheme="minorHAnsi" w:hAnsiTheme="minorHAnsi" w:cstheme="minorHAnsi"/>
              </w:rPr>
              <w:t>(Bernier,</w:t>
            </w:r>
            <w:r w:rsidR="005C56C2">
              <w:rPr>
                <w:rFonts w:asciiTheme="minorHAnsi" w:hAnsiTheme="minorHAnsi" w:cstheme="minorHAnsi"/>
              </w:rPr>
              <w:t xml:space="preserve"> </w:t>
            </w:r>
            <w:proofErr w:type="spellStart"/>
            <w:r w:rsidR="005C56C2">
              <w:rPr>
                <w:rFonts w:asciiTheme="minorHAnsi" w:hAnsiTheme="minorHAnsi" w:cstheme="minorHAnsi"/>
              </w:rPr>
              <w:t>Franty</w:t>
            </w:r>
            <w:proofErr w:type="spellEnd"/>
            <w:r w:rsidR="005C56C2">
              <w:rPr>
                <w:rFonts w:asciiTheme="minorHAnsi" w:hAnsiTheme="minorHAnsi" w:cstheme="minorHAnsi"/>
              </w:rPr>
              <w:t>,</w:t>
            </w:r>
            <w:r w:rsidR="00CB4B24">
              <w:rPr>
                <w:rFonts w:asciiTheme="minorHAnsi" w:hAnsiTheme="minorHAnsi" w:cstheme="minorHAnsi"/>
              </w:rPr>
              <w:t xml:space="preserve"> </w:t>
            </w:r>
            <w:r w:rsidR="00E9044D">
              <w:rPr>
                <w:rFonts w:asciiTheme="minorHAnsi" w:hAnsiTheme="minorHAnsi" w:cstheme="minorHAnsi"/>
              </w:rPr>
              <w:t xml:space="preserve">Kidwell, Lee, </w:t>
            </w:r>
            <w:proofErr w:type="spellStart"/>
            <w:r w:rsidR="00CB4B24" w:rsidRPr="00CB4B24">
              <w:rPr>
                <w:rFonts w:asciiTheme="minorHAnsi" w:hAnsiTheme="minorHAnsi" w:cstheme="minorHAnsi"/>
              </w:rPr>
              <w:t>McGilvray</w:t>
            </w:r>
            <w:proofErr w:type="spellEnd"/>
            <w:r w:rsidR="00CB4B24" w:rsidRPr="00CB4B24">
              <w:rPr>
                <w:rFonts w:asciiTheme="minorHAnsi" w:hAnsiTheme="minorHAnsi" w:cstheme="minorHAnsi"/>
              </w:rPr>
              <w:t>-Rivet</w:t>
            </w:r>
            <w:r w:rsidR="00CB4B24">
              <w:rPr>
                <w:rFonts w:asciiTheme="minorHAnsi" w:hAnsiTheme="minorHAnsi" w:cstheme="minorHAnsi"/>
              </w:rPr>
              <w:t xml:space="preserve">, Miller, </w:t>
            </w:r>
            <w:r w:rsidR="00E9044D">
              <w:rPr>
                <w:rFonts w:asciiTheme="minorHAnsi" w:hAnsiTheme="minorHAnsi" w:cstheme="minorHAnsi"/>
              </w:rPr>
              <w:t xml:space="preserve">Molina-Dean, </w:t>
            </w:r>
            <w:r w:rsidR="00CB4B24">
              <w:rPr>
                <w:rFonts w:asciiTheme="minorHAnsi" w:hAnsiTheme="minorHAnsi" w:cstheme="minorHAnsi"/>
              </w:rPr>
              <w:t xml:space="preserve">J. </w:t>
            </w:r>
            <w:proofErr w:type="spellStart"/>
            <w:r w:rsidR="00CB4B24" w:rsidRPr="00CB4B24">
              <w:rPr>
                <w:rFonts w:asciiTheme="minorHAnsi" w:hAnsiTheme="minorHAnsi" w:cstheme="minorHAnsi"/>
              </w:rPr>
              <w:t>Robidoux</w:t>
            </w:r>
            <w:proofErr w:type="spellEnd"/>
            <w:r w:rsidR="00CB4B24">
              <w:rPr>
                <w:rFonts w:asciiTheme="minorHAnsi" w:hAnsiTheme="minorHAnsi" w:cstheme="minorHAnsi"/>
              </w:rPr>
              <w:t>)</w:t>
            </w:r>
          </w:p>
        </w:tc>
        <w:tc>
          <w:tcPr>
            <w:tcW w:w="2500" w:type="pct"/>
            <w:shd w:val="clear" w:color="auto" w:fill="auto"/>
          </w:tcPr>
          <w:p w14:paraId="68970AAF" w14:textId="7FEE2FC1" w:rsidR="00DB1426" w:rsidRPr="003140A3" w:rsidRDefault="00B34954" w:rsidP="00E429E8">
            <w:pPr>
              <w:spacing w:after="0"/>
              <w:rPr>
                <w:rFonts w:asciiTheme="minorHAnsi" w:hAnsiTheme="minorHAnsi" w:cstheme="minorHAnsi"/>
              </w:rPr>
            </w:pPr>
            <w:r>
              <w:rPr>
                <w:rFonts w:asciiTheme="minorHAnsi" w:hAnsiTheme="minorHAnsi" w:cstheme="minorHAnsi"/>
              </w:rPr>
              <w:t xml:space="preserve">No changes. See above. </w:t>
            </w:r>
            <w:r w:rsidRPr="00CB1E1F">
              <w:rPr>
                <w:rFonts w:asciiTheme="minorHAnsi" w:hAnsiTheme="minorHAnsi"/>
              </w:rPr>
              <w:t>While some absences are understandable and perhaps might be excused, ultimately the student has lost instruction time regardless of the reason.</w:t>
            </w:r>
            <w:r>
              <w:rPr>
                <w:rFonts w:asciiTheme="minorHAnsi" w:hAnsiTheme="minorHAnsi"/>
              </w:rPr>
              <w:t xml:space="preserve"> </w:t>
            </w:r>
            <w:r w:rsidR="00EC042C">
              <w:rPr>
                <w:rFonts w:asciiTheme="minorHAnsi" w:hAnsiTheme="minorHAnsi"/>
              </w:rPr>
              <w:t xml:space="preserve">Additionally, the Department has clarified its expectations regarding </w:t>
            </w:r>
            <w:hyperlink r:id="rId16" w:history="1">
              <w:r w:rsidR="00EC042C" w:rsidRPr="00EC042C">
                <w:rPr>
                  <w:rStyle w:val="Hyperlink"/>
                  <w:rFonts w:asciiTheme="minorHAnsi" w:hAnsiTheme="minorHAnsi"/>
                </w:rPr>
                <w:t>student attendance reporting</w:t>
              </w:r>
            </w:hyperlink>
            <w:r w:rsidR="00EC042C">
              <w:rPr>
                <w:rFonts w:asciiTheme="minorHAnsi" w:hAnsiTheme="minorHAnsi"/>
              </w:rPr>
              <w:t xml:space="preserve"> </w:t>
            </w:r>
            <w:r w:rsidR="00E429E8">
              <w:rPr>
                <w:rFonts w:asciiTheme="minorHAnsi" w:hAnsiTheme="minorHAnsi"/>
              </w:rPr>
              <w:t xml:space="preserve">to better capture instruction that take place outside of the traditional classroom setting. </w:t>
            </w:r>
          </w:p>
        </w:tc>
      </w:tr>
    </w:tbl>
    <w:p w14:paraId="7ADCE788" w14:textId="77777777" w:rsidR="00BF12D4" w:rsidRDefault="00BF12D4">
      <w:r>
        <w:br w:type="page"/>
      </w:r>
    </w:p>
    <w:tbl>
      <w:tblPr>
        <w:tblStyle w:val="TableGrid"/>
        <w:tblW w:w="5000" w:type="pct"/>
        <w:tblLayout w:type="fixed"/>
        <w:tblLook w:val="04A0" w:firstRow="1" w:lastRow="0" w:firstColumn="1" w:lastColumn="0" w:noHBand="0" w:noVBand="1"/>
      </w:tblPr>
      <w:tblGrid>
        <w:gridCol w:w="6835"/>
        <w:gridCol w:w="6835"/>
      </w:tblGrid>
      <w:tr w:rsidR="00BF12D4" w:rsidRPr="00CD1570" w14:paraId="10F7DB54" w14:textId="77777777" w:rsidTr="00F0404E">
        <w:trPr>
          <w:tblHeader/>
        </w:trPr>
        <w:tc>
          <w:tcPr>
            <w:tcW w:w="5000" w:type="pct"/>
            <w:gridSpan w:val="2"/>
            <w:shd w:val="clear" w:color="auto" w:fill="9CC2E5" w:themeFill="accent1" w:themeFillTint="99"/>
          </w:tcPr>
          <w:p w14:paraId="7F84492A" w14:textId="77777777" w:rsidR="00BF12D4" w:rsidRPr="00CD1570" w:rsidRDefault="00BF12D4" w:rsidP="002B73AC">
            <w:pPr>
              <w:spacing w:after="0"/>
              <w:rPr>
                <w:rFonts w:asciiTheme="minorHAnsi" w:hAnsiTheme="minorHAnsi" w:cstheme="minorHAnsi"/>
                <w:b/>
              </w:rPr>
            </w:pPr>
            <w:bookmarkStart w:id="2" w:name="_GoBack" w:colFirst="0" w:colLast="0"/>
            <w:r w:rsidRPr="00CD1570">
              <w:rPr>
                <w:rFonts w:asciiTheme="minorHAnsi" w:hAnsiTheme="minorHAnsi" w:cstheme="minorHAnsi"/>
                <w:b/>
              </w:rPr>
              <w:lastRenderedPageBreak/>
              <w:t>Summa</w:t>
            </w:r>
            <w:r>
              <w:rPr>
                <w:rFonts w:asciiTheme="minorHAnsi" w:hAnsiTheme="minorHAnsi" w:cstheme="minorHAnsi"/>
                <w:b/>
              </w:rPr>
              <w:t>ry of Public C</w:t>
            </w:r>
            <w:r w:rsidRPr="00CD1570">
              <w:rPr>
                <w:rFonts w:asciiTheme="minorHAnsi" w:hAnsiTheme="minorHAnsi" w:cstheme="minorHAnsi"/>
                <w:b/>
              </w:rPr>
              <w:t xml:space="preserve">omment </w:t>
            </w:r>
          </w:p>
        </w:tc>
      </w:tr>
      <w:tr w:rsidR="00BF12D4" w:rsidRPr="00CD1570" w14:paraId="7D5BEB4D" w14:textId="77777777" w:rsidTr="00F0404E">
        <w:trPr>
          <w:tblHeader/>
        </w:trPr>
        <w:tc>
          <w:tcPr>
            <w:tcW w:w="2500" w:type="pct"/>
            <w:shd w:val="clear" w:color="auto" w:fill="DEEAF6" w:themeFill="accent1" w:themeFillTint="33"/>
          </w:tcPr>
          <w:p w14:paraId="0FA5DDCA" w14:textId="77777777" w:rsidR="00BF12D4" w:rsidRPr="00CD1570" w:rsidRDefault="00BF12D4" w:rsidP="002B73AC">
            <w:pPr>
              <w:spacing w:after="0"/>
              <w:rPr>
                <w:rFonts w:asciiTheme="minorHAnsi" w:hAnsiTheme="minorHAnsi" w:cstheme="minorHAnsi"/>
                <w:b/>
              </w:rPr>
            </w:pPr>
            <w:r w:rsidRPr="00CD1570">
              <w:rPr>
                <w:rFonts w:asciiTheme="minorHAnsi" w:hAnsiTheme="minorHAnsi" w:cstheme="minorHAnsi"/>
                <w:b/>
              </w:rPr>
              <w:t>Public Comment Received</w:t>
            </w:r>
          </w:p>
        </w:tc>
        <w:tc>
          <w:tcPr>
            <w:tcW w:w="2500" w:type="pct"/>
            <w:shd w:val="clear" w:color="auto" w:fill="DEEAF6" w:themeFill="accent1" w:themeFillTint="33"/>
          </w:tcPr>
          <w:p w14:paraId="693A51AB" w14:textId="77777777" w:rsidR="00BF12D4" w:rsidRPr="00CD1570" w:rsidRDefault="00BF12D4" w:rsidP="002B73AC">
            <w:pPr>
              <w:spacing w:after="0"/>
              <w:rPr>
                <w:rFonts w:asciiTheme="minorHAnsi" w:hAnsiTheme="minorHAnsi" w:cstheme="minorHAnsi"/>
                <w:b/>
              </w:rPr>
            </w:pPr>
            <w:r w:rsidRPr="00CD1570">
              <w:rPr>
                <w:rFonts w:asciiTheme="minorHAnsi" w:hAnsiTheme="minorHAnsi" w:cstheme="minorHAnsi"/>
                <w:b/>
              </w:rPr>
              <w:t>Department’s Response</w:t>
            </w:r>
          </w:p>
        </w:tc>
      </w:tr>
      <w:bookmarkEnd w:id="2"/>
      <w:tr w:rsidR="00DB1426" w:rsidRPr="00CD1570" w14:paraId="7AC87770" w14:textId="77777777" w:rsidTr="00F0404E">
        <w:tc>
          <w:tcPr>
            <w:tcW w:w="5000" w:type="pct"/>
            <w:gridSpan w:val="2"/>
            <w:shd w:val="clear" w:color="auto" w:fill="FBE4D5" w:themeFill="accent2" w:themeFillTint="33"/>
          </w:tcPr>
          <w:p w14:paraId="32442191" w14:textId="1A610560" w:rsidR="00DB1426" w:rsidRPr="00DB1426" w:rsidRDefault="00DB1426" w:rsidP="00FA00DE">
            <w:pPr>
              <w:spacing w:after="0"/>
              <w:rPr>
                <w:rFonts w:asciiTheme="minorHAnsi" w:hAnsiTheme="minorHAnsi" w:cstheme="minorHAnsi"/>
              </w:rPr>
            </w:pPr>
            <w:r w:rsidRPr="00DB1426">
              <w:rPr>
                <w:rStyle w:val="bold1"/>
                <w:rFonts w:asciiTheme="minorHAnsi" w:hAnsiTheme="minorHAnsi" w:cstheme="minorHAnsi"/>
              </w:rPr>
              <w:t>Using Two Years of Data</w:t>
            </w:r>
          </w:p>
        </w:tc>
      </w:tr>
      <w:tr w:rsidR="00AC357D" w:rsidRPr="00CD1570" w14:paraId="0E60411E" w14:textId="77777777" w:rsidTr="00F0404E">
        <w:tc>
          <w:tcPr>
            <w:tcW w:w="2500" w:type="pct"/>
            <w:shd w:val="clear" w:color="auto" w:fill="auto"/>
          </w:tcPr>
          <w:p w14:paraId="407042B1" w14:textId="6D4BE8A6" w:rsidR="00AC357D" w:rsidRPr="00265B96" w:rsidRDefault="00265B96" w:rsidP="00FA00DE">
            <w:pPr>
              <w:spacing w:after="0"/>
              <w:rPr>
                <w:rStyle w:val="bold1"/>
                <w:rFonts w:asciiTheme="minorHAnsi" w:hAnsiTheme="minorHAnsi" w:cstheme="minorHAnsi"/>
                <w:b w:val="0"/>
              </w:rPr>
            </w:pPr>
            <w:r w:rsidRPr="00265B96">
              <w:rPr>
                <w:rStyle w:val="bold1"/>
                <w:rFonts w:asciiTheme="minorHAnsi" w:hAnsiTheme="minorHAnsi" w:cstheme="minorHAnsi"/>
                <w:b w:val="0"/>
              </w:rPr>
              <w:t xml:space="preserve">The accountability system </w:t>
            </w:r>
            <w:r>
              <w:rPr>
                <w:rStyle w:val="bold1"/>
                <w:rFonts w:asciiTheme="minorHAnsi" w:hAnsiTheme="minorHAnsi" w:cstheme="minorHAnsi"/>
                <w:b w:val="0"/>
              </w:rPr>
              <w:t>should not include two years of data</w:t>
            </w:r>
            <w:r w:rsidR="00C63D24">
              <w:rPr>
                <w:rStyle w:val="bold1"/>
                <w:rFonts w:asciiTheme="minorHAnsi" w:hAnsiTheme="minorHAnsi" w:cstheme="minorHAnsi"/>
                <w:b w:val="0"/>
              </w:rPr>
              <w:t xml:space="preserve"> because the system is still very new</w:t>
            </w:r>
            <w:r>
              <w:rPr>
                <w:rStyle w:val="bold1"/>
                <w:rFonts w:asciiTheme="minorHAnsi" w:hAnsiTheme="minorHAnsi" w:cstheme="minorHAnsi"/>
                <w:b w:val="0"/>
              </w:rPr>
              <w:t xml:space="preserve">. </w:t>
            </w:r>
            <w:r w:rsidR="00105C54">
              <w:rPr>
                <w:rStyle w:val="bold1"/>
                <w:rFonts w:asciiTheme="minorHAnsi" w:hAnsiTheme="minorHAnsi" w:cstheme="minorHAnsi"/>
                <w:b w:val="0"/>
              </w:rPr>
              <w:t>(</w:t>
            </w:r>
            <w:r w:rsidR="00951D70">
              <w:rPr>
                <w:rStyle w:val="bold1"/>
                <w:rFonts w:asciiTheme="minorHAnsi" w:hAnsiTheme="minorHAnsi" w:cstheme="minorHAnsi"/>
                <w:b w:val="0"/>
              </w:rPr>
              <w:t xml:space="preserve">Callahan, </w:t>
            </w:r>
            <w:proofErr w:type="spellStart"/>
            <w:r w:rsidR="00105C54">
              <w:rPr>
                <w:rStyle w:val="bold1"/>
                <w:rFonts w:asciiTheme="minorHAnsi" w:hAnsiTheme="minorHAnsi" w:cstheme="minorHAnsi"/>
                <w:b w:val="0"/>
              </w:rPr>
              <w:t>Franty</w:t>
            </w:r>
            <w:proofErr w:type="spellEnd"/>
            <w:r w:rsidR="00105C54">
              <w:rPr>
                <w:rStyle w:val="bold1"/>
                <w:rFonts w:asciiTheme="minorHAnsi" w:hAnsiTheme="minorHAnsi" w:cstheme="minorHAnsi"/>
                <w:b w:val="0"/>
              </w:rPr>
              <w:t xml:space="preserve">, </w:t>
            </w:r>
            <w:proofErr w:type="spellStart"/>
            <w:r w:rsidR="00105C54">
              <w:rPr>
                <w:rStyle w:val="bold1"/>
                <w:rFonts w:asciiTheme="minorHAnsi" w:hAnsiTheme="minorHAnsi" w:cstheme="minorHAnsi"/>
                <w:b w:val="0"/>
              </w:rPr>
              <w:t>Kopala</w:t>
            </w:r>
            <w:proofErr w:type="spellEnd"/>
            <w:r w:rsidR="00951D70">
              <w:rPr>
                <w:rStyle w:val="bold1"/>
                <w:rFonts w:asciiTheme="minorHAnsi" w:hAnsiTheme="minorHAnsi" w:cstheme="minorHAnsi"/>
                <w:b w:val="0"/>
              </w:rPr>
              <w:t xml:space="preserve">, </w:t>
            </w:r>
            <w:proofErr w:type="spellStart"/>
            <w:r w:rsidR="00A4555E">
              <w:rPr>
                <w:rStyle w:val="bold1"/>
                <w:rFonts w:asciiTheme="minorHAnsi" w:hAnsiTheme="minorHAnsi" w:cstheme="minorHAnsi"/>
                <w:b w:val="0"/>
              </w:rPr>
              <w:t>Luczynski</w:t>
            </w:r>
            <w:proofErr w:type="spellEnd"/>
            <w:r w:rsidR="00A4555E">
              <w:rPr>
                <w:rStyle w:val="bold1"/>
                <w:rFonts w:asciiTheme="minorHAnsi" w:hAnsiTheme="minorHAnsi" w:cstheme="minorHAnsi"/>
                <w:b w:val="0"/>
              </w:rPr>
              <w:t xml:space="preserve">, </w:t>
            </w:r>
            <w:r w:rsidR="00951D70">
              <w:rPr>
                <w:rStyle w:val="bold1"/>
                <w:rFonts w:asciiTheme="minorHAnsi" w:hAnsiTheme="minorHAnsi" w:cstheme="minorHAnsi"/>
                <w:b w:val="0"/>
              </w:rPr>
              <w:t>Quinto</w:t>
            </w:r>
            <w:r w:rsidR="00105C54">
              <w:rPr>
                <w:rStyle w:val="bold1"/>
                <w:rFonts w:asciiTheme="minorHAnsi" w:hAnsiTheme="minorHAnsi" w:cstheme="minorHAnsi"/>
                <w:b w:val="0"/>
              </w:rPr>
              <w:t>)</w:t>
            </w:r>
          </w:p>
        </w:tc>
        <w:tc>
          <w:tcPr>
            <w:tcW w:w="2500" w:type="pct"/>
            <w:shd w:val="clear" w:color="auto" w:fill="auto"/>
          </w:tcPr>
          <w:p w14:paraId="29BE8E27" w14:textId="485BEB18" w:rsidR="00AC357D" w:rsidRPr="00265B96" w:rsidRDefault="00265B96" w:rsidP="00265B96">
            <w:pPr>
              <w:spacing w:after="0"/>
              <w:rPr>
                <w:rStyle w:val="bold1"/>
                <w:rFonts w:asciiTheme="minorHAnsi" w:hAnsiTheme="minorHAnsi" w:cstheme="minorHAnsi"/>
                <w:b w:val="0"/>
              </w:rPr>
            </w:pPr>
            <w:r>
              <w:rPr>
                <w:rStyle w:val="bold1"/>
                <w:rFonts w:asciiTheme="minorHAnsi" w:hAnsiTheme="minorHAnsi" w:cstheme="minorHAnsi"/>
                <w:b w:val="0"/>
              </w:rPr>
              <w:t>No changes. The Department believe</w:t>
            </w:r>
            <w:r w:rsidR="00CA61F8">
              <w:rPr>
                <w:rStyle w:val="bold1"/>
                <w:rFonts w:asciiTheme="minorHAnsi" w:hAnsiTheme="minorHAnsi" w:cstheme="minorHAnsi"/>
                <w:b w:val="0"/>
              </w:rPr>
              <w:t>s</w:t>
            </w:r>
            <w:r>
              <w:rPr>
                <w:rStyle w:val="bold1"/>
                <w:rFonts w:asciiTheme="minorHAnsi" w:hAnsiTheme="minorHAnsi" w:cstheme="minorHAnsi"/>
                <w:b w:val="0"/>
              </w:rPr>
              <w:t xml:space="preserve"> that using multiple years of data in the accountability system stabilizes the results and better represents trends in performance.</w:t>
            </w:r>
          </w:p>
        </w:tc>
      </w:tr>
      <w:tr w:rsidR="00DB1426" w:rsidRPr="00CD1570" w14:paraId="6F567211" w14:textId="77777777" w:rsidTr="00F0404E">
        <w:tc>
          <w:tcPr>
            <w:tcW w:w="5000" w:type="pct"/>
            <w:gridSpan w:val="2"/>
            <w:shd w:val="clear" w:color="auto" w:fill="FBE4D5" w:themeFill="accent2" w:themeFillTint="33"/>
          </w:tcPr>
          <w:p w14:paraId="106E3791" w14:textId="3B1ECC5B" w:rsidR="00DB1426" w:rsidRPr="00DB1426" w:rsidRDefault="00DB1426" w:rsidP="00FA00DE">
            <w:pPr>
              <w:spacing w:after="0"/>
              <w:rPr>
                <w:rFonts w:asciiTheme="minorHAnsi" w:hAnsiTheme="minorHAnsi" w:cstheme="minorHAnsi"/>
              </w:rPr>
            </w:pPr>
            <w:r w:rsidRPr="00DB1426">
              <w:rPr>
                <w:rStyle w:val="bold1"/>
                <w:rFonts w:asciiTheme="minorHAnsi" w:hAnsiTheme="minorHAnsi" w:cstheme="minorHAnsi"/>
              </w:rPr>
              <w:t>Participation Rate Calculation</w:t>
            </w:r>
          </w:p>
        </w:tc>
      </w:tr>
      <w:tr w:rsidR="00AC357D" w:rsidRPr="00CD1570" w14:paraId="64A73C21" w14:textId="77777777" w:rsidTr="00F0404E">
        <w:tc>
          <w:tcPr>
            <w:tcW w:w="2500" w:type="pct"/>
            <w:shd w:val="clear" w:color="auto" w:fill="auto"/>
          </w:tcPr>
          <w:p w14:paraId="652DB78B" w14:textId="018AB3D2" w:rsidR="00AC357D" w:rsidRPr="00314EF2" w:rsidRDefault="00314EF2" w:rsidP="00314EF2">
            <w:pPr>
              <w:spacing w:after="0"/>
              <w:rPr>
                <w:rStyle w:val="bold1"/>
                <w:rFonts w:asciiTheme="minorHAnsi" w:hAnsiTheme="minorHAnsi" w:cstheme="minorHAnsi"/>
                <w:b w:val="0"/>
              </w:rPr>
            </w:pPr>
            <w:r>
              <w:rPr>
                <w:rStyle w:val="bold1"/>
                <w:rFonts w:asciiTheme="minorHAnsi" w:hAnsiTheme="minorHAnsi" w:cstheme="minorHAnsi"/>
                <w:b w:val="0"/>
              </w:rPr>
              <w:t xml:space="preserve">The proposed change to the participation rate calculation does not take into consideration those students who are unable to participate in the assessment due to medical reasons. </w:t>
            </w:r>
            <w:r w:rsidR="006B7020">
              <w:rPr>
                <w:rStyle w:val="bold1"/>
                <w:rFonts w:asciiTheme="minorHAnsi" w:hAnsiTheme="minorHAnsi" w:cstheme="minorHAnsi"/>
                <w:b w:val="0"/>
              </w:rPr>
              <w:t>(</w:t>
            </w:r>
            <w:r w:rsidR="009F7B1D">
              <w:rPr>
                <w:rStyle w:val="bold1"/>
                <w:rFonts w:asciiTheme="minorHAnsi" w:hAnsiTheme="minorHAnsi" w:cstheme="minorHAnsi"/>
                <w:b w:val="0"/>
              </w:rPr>
              <w:t xml:space="preserve">Arnold, </w:t>
            </w:r>
            <w:proofErr w:type="spellStart"/>
            <w:r w:rsidR="009F7B1D" w:rsidRPr="009F7B1D">
              <w:rPr>
                <w:rStyle w:val="bold1"/>
                <w:rFonts w:asciiTheme="minorHAnsi" w:hAnsiTheme="minorHAnsi" w:cstheme="minorHAnsi"/>
                <w:b w:val="0"/>
              </w:rPr>
              <w:t>McGilvray</w:t>
            </w:r>
            <w:proofErr w:type="spellEnd"/>
            <w:r w:rsidR="009F7B1D" w:rsidRPr="009F7B1D">
              <w:rPr>
                <w:rStyle w:val="bold1"/>
                <w:rFonts w:asciiTheme="minorHAnsi" w:hAnsiTheme="minorHAnsi" w:cstheme="minorHAnsi"/>
                <w:b w:val="0"/>
              </w:rPr>
              <w:t>-Rivet</w:t>
            </w:r>
            <w:r w:rsidR="009F7B1D">
              <w:rPr>
                <w:rStyle w:val="bold1"/>
                <w:rFonts w:asciiTheme="minorHAnsi" w:hAnsiTheme="minorHAnsi" w:cstheme="minorHAnsi"/>
                <w:b w:val="0"/>
              </w:rPr>
              <w:t>)</w:t>
            </w:r>
          </w:p>
        </w:tc>
        <w:tc>
          <w:tcPr>
            <w:tcW w:w="2500" w:type="pct"/>
            <w:shd w:val="clear" w:color="auto" w:fill="auto"/>
          </w:tcPr>
          <w:p w14:paraId="60241E32" w14:textId="02C21D48" w:rsidR="00AC357D" w:rsidRPr="00314EF2" w:rsidRDefault="003E4BEA" w:rsidP="00EC77CB">
            <w:pPr>
              <w:spacing w:after="0"/>
              <w:rPr>
                <w:rStyle w:val="bold1"/>
                <w:rFonts w:asciiTheme="minorHAnsi" w:hAnsiTheme="minorHAnsi" w:cstheme="minorHAnsi"/>
                <w:b w:val="0"/>
              </w:rPr>
            </w:pPr>
            <w:r>
              <w:rPr>
                <w:rStyle w:val="bold1"/>
                <w:rFonts w:asciiTheme="minorHAnsi" w:hAnsiTheme="minorHAnsi" w:cstheme="minorHAnsi"/>
                <w:b w:val="0"/>
              </w:rPr>
              <w:t>No changes. Federal law requires each district and school to maintain a 95 percent participation rate, and state law requires all students to participate in the statewide assessments that correspond</w:t>
            </w:r>
            <w:r w:rsidR="00EC77CB">
              <w:rPr>
                <w:rStyle w:val="bold1"/>
                <w:rFonts w:asciiTheme="minorHAnsi" w:hAnsiTheme="minorHAnsi" w:cstheme="minorHAnsi"/>
                <w:b w:val="0"/>
              </w:rPr>
              <w:t xml:space="preserve"> to their grade. The Department’s </w:t>
            </w:r>
            <w:r w:rsidR="00124AC0">
              <w:rPr>
                <w:rStyle w:val="bold1"/>
                <w:rFonts w:asciiTheme="minorHAnsi" w:hAnsiTheme="minorHAnsi" w:cstheme="minorHAnsi"/>
                <w:b w:val="0"/>
              </w:rPr>
              <w:t xml:space="preserve">revised </w:t>
            </w:r>
            <w:r w:rsidR="00EC77CB">
              <w:rPr>
                <w:rStyle w:val="bold1"/>
                <w:rFonts w:asciiTheme="minorHAnsi" w:hAnsiTheme="minorHAnsi" w:cstheme="minorHAnsi"/>
                <w:b w:val="0"/>
              </w:rPr>
              <w:t xml:space="preserve">participation rate </w:t>
            </w:r>
            <w:r w:rsidR="00EC77CB">
              <w:t>calculation used for accountability determinations will mitigate the impact of small subgroups</w:t>
            </w:r>
            <w:r>
              <w:rPr>
                <w:rStyle w:val="bold1"/>
                <w:rFonts w:asciiTheme="minorHAnsi" w:hAnsiTheme="minorHAnsi" w:cstheme="minorHAnsi"/>
                <w:b w:val="0"/>
              </w:rPr>
              <w:t xml:space="preserve">. Furthermore, the Department has an established accountability appeals process through which schools and districts may request that their accountability determination be changed if low participation </w:t>
            </w:r>
            <w:r w:rsidR="00CA61F8">
              <w:rPr>
                <w:rStyle w:val="bold1"/>
                <w:rFonts w:asciiTheme="minorHAnsi" w:hAnsiTheme="minorHAnsi" w:cstheme="minorHAnsi"/>
                <w:b w:val="0"/>
              </w:rPr>
              <w:t>is</w:t>
            </w:r>
            <w:r>
              <w:rPr>
                <w:rStyle w:val="bold1"/>
                <w:rFonts w:asciiTheme="minorHAnsi" w:hAnsiTheme="minorHAnsi" w:cstheme="minorHAnsi"/>
                <w:b w:val="0"/>
              </w:rPr>
              <w:t xml:space="preserve"> </w:t>
            </w:r>
            <w:r w:rsidR="00CA61F8">
              <w:rPr>
                <w:rStyle w:val="bold1"/>
                <w:rFonts w:asciiTheme="minorHAnsi" w:hAnsiTheme="minorHAnsi" w:cstheme="minorHAnsi"/>
                <w:b w:val="0"/>
              </w:rPr>
              <w:t xml:space="preserve">the only factor that is </w:t>
            </w:r>
            <w:r>
              <w:rPr>
                <w:rStyle w:val="bold1"/>
                <w:rFonts w:asciiTheme="minorHAnsi" w:hAnsiTheme="minorHAnsi" w:cstheme="minorHAnsi"/>
                <w:b w:val="0"/>
              </w:rPr>
              <w:t xml:space="preserve">negatively </w:t>
            </w:r>
            <w:r w:rsidR="00CA61F8">
              <w:rPr>
                <w:rStyle w:val="bold1"/>
                <w:rFonts w:asciiTheme="minorHAnsi" w:hAnsiTheme="minorHAnsi" w:cstheme="minorHAnsi"/>
                <w:b w:val="0"/>
              </w:rPr>
              <w:t>affecting</w:t>
            </w:r>
            <w:r>
              <w:rPr>
                <w:rStyle w:val="bold1"/>
                <w:rFonts w:asciiTheme="minorHAnsi" w:hAnsiTheme="minorHAnsi" w:cstheme="minorHAnsi"/>
                <w:b w:val="0"/>
              </w:rPr>
              <w:t xml:space="preserve"> the school’s or district’s overall determination. </w:t>
            </w:r>
          </w:p>
        </w:tc>
      </w:tr>
      <w:tr w:rsidR="00314EF2" w:rsidRPr="00CD1570" w14:paraId="7190C5A0" w14:textId="77777777" w:rsidTr="00F0404E">
        <w:tc>
          <w:tcPr>
            <w:tcW w:w="2500" w:type="pct"/>
            <w:shd w:val="clear" w:color="auto" w:fill="auto"/>
          </w:tcPr>
          <w:p w14:paraId="04F057AE" w14:textId="1234CCEB" w:rsidR="00314EF2" w:rsidRDefault="003E4BEA" w:rsidP="003E4BEA">
            <w:pPr>
              <w:spacing w:after="0"/>
              <w:rPr>
                <w:rStyle w:val="bold1"/>
                <w:rFonts w:asciiTheme="minorHAnsi" w:hAnsiTheme="minorHAnsi" w:cstheme="minorHAnsi"/>
                <w:b w:val="0"/>
              </w:rPr>
            </w:pPr>
            <w:r>
              <w:rPr>
                <w:rStyle w:val="bold1"/>
                <w:rFonts w:asciiTheme="minorHAnsi" w:hAnsiTheme="minorHAnsi" w:cstheme="minorHAnsi"/>
                <w:b w:val="0"/>
              </w:rPr>
              <w:t>The proposed change to the participation rate calculation may not do enough to mitigate the impact of one or two non-participations in small subgroups.</w:t>
            </w:r>
            <w:r w:rsidR="009F7B1D">
              <w:rPr>
                <w:rStyle w:val="bold1"/>
                <w:rFonts w:asciiTheme="minorHAnsi" w:hAnsiTheme="minorHAnsi" w:cstheme="minorHAnsi"/>
                <w:b w:val="0"/>
              </w:rPr>
              <w:t xml:space="preserve"> (Chapman, Hopson)</w:t>
            </w:r>
          </w:p>
        </w:tc>
        <w:tc>
          <w:tcPr>
            <w:tcW w:w="2500" w:type="pct"/>
            <w:shd w:val="clear" w:color="auto" w:fill="auto"/>
          </w:tcPr>
          <w:p w14:paraId="1360545A" w14:textId="523311C0" w:rsidR="00314EF2" w:rsidRPr="00314EF2" w:rsidRDefault="003E4BEA" w:rsidP="00FA00DE">
            <w:pPr>
              <w:spacing w:after="0"/>
              <w:rPr>
                <w:rStyle w:val="bold1"/>
                <w:rFonts w:asciiTheme="minorHAnsi" w:hAnsiTheme="minorHAnsi" w:cstheme="minorHAnsi"/>
                <w:b w:val="0"/>
              </w:rPr>
            </w:pPr>
            <w:r>
              <w:rPr>
                <w:rStyle w:val="bold1"/>
                <w:rFonts w:asciiTheme="minorHAnsi" w:hAnsiTheme="minorHAnsi" w:cstheme="minorHAnsi"/>
                <w:b w:val="0"/>
              </w:rPr>
              <w:t>No change</w:t>
            </w:r>
            <w:r w:rsidR="00CA61F8">
              <w:rPr>
                <w:rStyle w:val="bold1"/>
                <w:rFonts w:asciiTheme="minorHAnsi" w:hAnsiTheme="minorHAnsi" w:cstheme="minorHAnsi"/>
                <w:b w:val="0"/>
              </w:rPr>
              <w:t>s</w:t>
            </w:r>
            <w:r>
              <w:rPr>
                <w:rStyle w:val="bold1"/>
                <w:rFonts w:asciiTheme="minorHAnsi" w:hAnsiTheme="minorHAnsi" w:cstheme="minorHAnsi"/>
                <w:b w:val="0"/>
              </w:rPr>
              <w:t xml:space="preserve">. See above. </w:t>
            </w:r>
          </w:p>
        </w:tc>
      </w:tr>
      <w:tr w:rsidR="00DB1426" w:rsidRPr="00CD1570" w14:paraId="75A73CC3" w14:textId="77777777" w:rsidTr="00F0404E">
        <w:tc>
          <w:tcPr>
            <w:tcW w:w="5000" w:type="pct"/>
            <w:gridSpan w:val="2"/>
            <w:shd w:val="clear" w:color="auto" w:fill="FBE4D5" w:themeFill="accent2" w:themeFillTint="33"/>
          </w:tcPr>
          <w:p w14:paraId="0333CF60" w14:textId="4F427CBE" w:rsidR="00DB1426" w:rsidRPr="00DB1426" w:rsidRDefault="00DB1426" w:rsidP="00FA00DE">
            <w:pPr>
              <w:spacing w:after="0"/>
              <w:rPr>
                <w:rFonts w:asciiTheme="minorHAnsi" w:hAnsiTheme="minorHAnsi" w:cstheme="minorHAnsi"/>
              </w:rPr>
            </w:pPr>
            <w:r w:rsidRPr="00DB1426">
              <w:rPr>
                <w:rStyle w:val="bold1"/>
                <w:rFonts w:asciiTheme="minorHAnsi" w:hAnsiTheme="minorHAnsi" w:cstheme="minorHAnsi"/>
              </w:rPr>
              <w:t>Categorization of Districts and Schools</w:t>
            </w:r>
          </w:p>
        </w:tc>
      </w:tr>
      <w:tr w:rsidR="00DB1426" w:rsidRPr="00CD1570" w14:paraId="53D4E0F5" w14:textId="77777777" w:rsidTr="00F0404E">
        <w:tc>
          <w:tcPr>
            <w:tcW w:w="2500" w:type="pct"/>
            <w:shd w:val="clear" w:color="auto" w:fill="auto"/>
          </w:tcPr>
          <w:p w14:paraId="74CDADD8" w14:textId="1FF48D2A" w:rsidR="00DB1426" w:rsidRPr="003140A3" w:rsidRDefault="006C47FB" w:rsidP="00FA00DE">
            <w:pPr>
              <w:spacing w:after="0"/>
              <w:rPr>
                <w:rFonts w:asciiTheme="minorHAnsi" w:hAnsiTheme="minorHAnsi" w:cstheme="minorHAnsi"/>
              </w:rPr>
            </w:pPr>
            <w:r>
              <w:rPr>
                <w:rFonts w:asciiTheme="minorHAnsi" w:hAnsiTheme="minorHAnsi" w:cstheme="minorHAnsi"/>
              </w:rPr>
              <w:t>There should be additional categories that reflect school and district progress towards targets</w:t>
            </w:r>
            <w:r w:rsidR="00C77A46">
              <w:rPr>
                <w:rFonts w:asciiTheme="minorHAnsi" w:hAnsiTheme="minorHAnsi" w:cstheme="minorHAnsi"/>
              </w:rPr>
              <w:t xml:space="preserve"> within the criterion-referenced part of the accountability system</w:t>
            </w:r>
            <w:r w:rsidR="00951D70">
              <w:rPr>
                <w:rFonts w:asciiTheme="minorHAnsi" w:hAnsiTheme="minorHAnsi" w:cstheme="minorHAnsi"/>
              </w:rPr>
              <w:t xml:space="preserve">. </w:t>
            </w:r>
            <w:r w:rsidR="00A4555E">
              <w:rPr>
                <w:rFonts w:asciiTheme="minorHAnsi" w:hAnsiTheme="minorHAnsi" w:cstheme="minorHAnsi"/>
              </w:rPr>
              <w:t>(</w:t>
            </w:r>
            <w:proofErr w:type="spellStart"/>
            <w:r w:rsidR="00A4555E">
              <w:rPr>
                <w:rFonts w:asciiTheme="minorHAnsi" w:hAnsiTheme="minorHAnsi" w:cstheme="minorHAnsi"/>
              </w:rPr>
              <w:t>Dillman</w:t>
            </w:r>
            <w:proofErr w:type="spellEnd"/>
            <w:r w:rsidR="00A4555E">
              <w:rPr>
                <w:rFonts w:asciiTheme="minorHAnsi" w:hAnsiTheme="minorHAnsi" w:cstheme="minorHAnsi"/>
              </w:rPr>
              <w:t>, Foster, Woodbury)</w:t>
            </w:r>
          </w:p>
        </w:tc>
        <w:tc>
          <w:tcPr>
            <w:tcW w:w="2500" w:type="pct"/>
            <w:shd w:val="clear" w:color="auto" w:fill="auto"/>
          </w:tcPr>
          <w:p w14:paraId="5B66ADBD" w14:textId="0F8BE034" w:rsidR="00DB1426" w:rsidRDefault="006C47FB" w:rsidP="00FA00DE">
            <w:pPr>
              <w:spacing w:after="0"/>
              <w:rPr>
                <w:rFonts w:asciiTheme="minorHAnsi" w:hAnsiTheme="minorHAnsi" w:cstheme="minorHAnsi"/>
              </w:rPr>
            </w:pPr>
            <w:r>
              <w:rPr>
                <w:rFonts w:asciiTheme="minorHAnsi" w:hAnsiTheme="minorHAnsi" w:cstheme="minorHAnsi"/>
              </w:rPr>
              <w:t xml:space="preserve">The Department has added a fourth category related to progress towards targets, and renamed the categories as follows: </w:t>
            </w:r>
          </w:p>
          <w:p w14:paraId="3DA1B4F6" w14:textId="203001A1" w:rsidR="006C47FB" w:rsidRPr="006C47FB" w:rsidRDefault="006C47FB" w:rsidP="00781A59">
            <w:pPr>
              <w:pStyle w:val="ListParagraph"/>
              <w:numPr>
                <w:ilvl w:val="0"/>
                <w:numId w:val="16"/>
              </w:numPr>
              <w:tabs>
                <w:tab w:val="left" w:pos="3576"/>
              </w:tabs>
              <w:ind w:left="432"/>
              <w:rPr>
                <w:i/>
              </w:rPr>
            </w:pPr>
            <w:r w:rsidRPr="006C47FB">
              <w:rPr>
                <w:i/>
              </w:rPr>
              <w:t>Meeting or exceeding targets</w:t>
            </w:r>
            <w:r>
              <w:rPr>
                <w:i/>
              </w:rPr>
              <w:t xml:space="preserve"> </w:t>
            </w:r>
            <w:r>
              <w:t>(criterion-referenced target percentage 75-100)</w:t>
            </w:r>
          </w:p>
          <w:p w14:paraId="7FA80EC4" w14:textId="659BFA2D" w:rsidR="006C47FB" w:rsidRPr="006C47FB" w:rsidRDefault="006C47FB" w:rsidP="00781A59">
            <w:pPr>
              <w:pStyle w:val="ListParagraph"/>
              <w:numPr>
                <w:ilvl w:val="0"/>
                <w:numId w:val="16"/>
              </w:numPr>
              <w:tabs>
                <w:tab w:val="left" w:pos="3576"/>
              </w:tabs>
              <w:ind w:left="432"/>
              <w:rPr>
                <w:i/>
              </w:rPr>
            </w:pPr>
            <w:r w:rsidRPr="006C47FB">
              <w:rPr>
                <w:i/>
              </w:rPr>
              <w:t xml:space="preserve">Substantial </w:t>
            </w:r>
            <w:r w:rsidR="00A84447">
              <w:rPr>
                <w:i/>
              </w:rPr>
              <w:t>progress</w:t>
            </w:r>
            <w:r w:rsidRPr="006C47FB">
              <w:rPr>
                <w:i/>
              </w:rPr>
              <w:t xml:space="preserve"> towards targets</w:t>
            </w:r>
            <w:r>
              <w:rPr>
                <w:i/>
              </w:rPr>
              <w:t xml:space="preserve"> </w:t>
            </w:r>
            <w:r>
              <w:t>(criterion-referenced target percentage 50-74)</w:t>
            </w:r>
          </w:p>
          <w:p w14:paraId="6D4B6764" w14:textId="1DF2078D" w:rsidR="006C47FB" w:rsidRPr="006C47FB" w:rsidRDefault="006C47FB" w:rsidP="00781A59">
            <w:pPr>
              <w:pStyle w:val="ListParagraph"/>
              <w:numPr>
                <w:ilvl w:val="0"/>
                <w:numId w:val="16"/>
              </w:numPr>
              <w:tabs>
                <w:tab w:val="left" w:pos="3576"/>
              </w:tabs>
              <w:ind w:left="432"/>
              <w:rPr>
                <w:i/>
              </w:rPr>
            </w:pPr>
            <w:r w:rsidRPr="006C47FB">
              <w:rPr>
                <w:i/>
              </w:rPr>
              <w:t xml:space="preserve">Moderate </w:t>
            </w:r>
            <w:r w:rsidR="00A84447">
              <w:rPr>
                <w:i/>
              </w:rPr>
              <w:t>progress</w:t>
            </w:r>
            <w:r w:rsidRPr="006C47FB">
              <w:rPr>
                <w:i/>
              </w:rPr>
              <w:t xml:space="preserve"> towards targets</w:t>
            </w:r>
            <w:r>
              <w:rPr>
                <w:i/>
              </w:rPr>
              <w:t xml:space="preserve"> </w:t>
            </w:r>
            <w:r>
              <w:t>(criterion-referenced target percentage 25-49)</w:t>
            </w:r>
          </w:p>
          <w:p w14:paraId="11931D39" w14:textId="103CF690" w:rsidR="006C47FB" w:rsidRPr="003140A3" w:rsidRDefault="006C47FB" w:rsidP="00781A59">
            <w:pPr>
              <w:pStyle w:val="ListParagraph"/>
              <w:numPr>
                <w:ilvl w:val="0"/>
                <w:numId w:val="15"/>
              </w:numPr>
              <w:tabs>
                <w:tab w:val="left" w:pos="3576"/>
              </w:tabs>
              <w:spacing w:after="0"/>
              <w:ind w:left="432"/>
              <w:rPr>
                <w:rFonts w:asciiTheme="minorHAnsi" w:hAnsiTheme="minorHAnsi" w:cstheme="minorHAnsi"/>
              </w:rPr>
            </w:pPr>
            <w:r w:rsidRPr="006C47FB">
              <w:rPr>
                <w:i/>
              </w:rPr>
              <w:t xml:space="preserve">Limited or no </w:t>
            </w:r>
            <w:r w:rsidR="00A84447">
              <w:rPr>
                <w:i/>
              </w:rPr>
              <w:t>progress</w:t>
            </w:r>
            <w:r w:rsidRPr="006C47FB">
              <w:rPr>
                <w:i/>
              </w:rPr>
              <w:t xml:space="preserve"> towards targets </w:t>
            </w:r>
            <w:r>
              <w:t>(criterion-referenced target percentage 0-24)</w:t>
            </w:r>
          </w:p>
        </w:tc>
      </w:tr>
    </w:tbl>
    <w:p w14:paraId="37E05C82" w14:textId="36411F0D" w:rsidR="00865D61" w:rsidRDefault="00865D61" w:rsidP="005361E4">
      <w:pPr>
        <w:spacing w:after="0"/>
        <w:rPr>
          <w:rFonts w:asciiTheme="minorHAnsi" w:hAnsiTheme="minorHAnsi" w:cstheme="minorHAnsi"/>
        </w:rPr>
      </w:pPr>
    </w:p>
    <w:p w14:paraId="598C48A5" w14:textId="41328BE4" w:rsidR="00FA00DE" w:rsidRPr="00845345" w:rsidRDefault="00FA00DE" w:rsidP="00845345">
      <w:pPr>
        <w:spacing w:after="160" w:line="259" w:lineRule="auto"/>
        <w:rPr>
          <w:rFonts w:asciiTheme="minorHAnsi" w:hAnsiTheme="minorHAnsi" w:cstheme="minorHAnsi"/>
          <w:b/>
        </w:rPr>
        <w:sectPr w:rsidR="00FA00DE" w:rsidRPr="00845345" w:rsidSect="00FA00DE">
          <w:type w:val="continuous"/>
          <w:pgSz w:w="15840" w:h="12240" w:orient="landscape"/>
          <w:pgMar w:top="1080" w:right="1080" w:bottom="1080" w:left="1080" w:header="720" w:footer="720" w:gutter="0"/>
          <w:cols w:space="720"/>
          <w:docGrid w:linePitch="360"/>
        </w:sectPr>
      </w:pPr>
    </w:p>
    <w:p w14:paraId="6CAF9A27" w14:textId="77777777" w:rsidR="00557510" w:rsidRPr="00DC7FAC" w:rsidRDefault="00072E3C" w:rsidP="00DC7FAC">
      <w:pPr>
        <w:pStyle w:val="Heading1"/>
      </w:pPr>
      <w:bookmarkStart w:id="3" w:name="_List_of_individuals"/>
      <w:bookmarkEnd w:id="3"/>
      <w:r w:rsidRPr="00DC7FAC">
        <w:br w:type="page"/>
      </w:r>
      <w:r w:rsidR="00557510" w:rsidRPr="00DC7FAC">
        <w:lastRenderedPageBreak/>
        <w:t>List of individuals submitting public comment:</w:t>
      </w:r>
    </w:p>
    <w:p w14:paraId="27B9BF6F" w14:textId="77777777" w:rsidR="00557510" w:rsidRDefault="00557510" w:rsidP="00557510">
      <w:pPr>
        <w:rPr>
          <w:rFonts w:asciiTheme="minorHAnsi" w:hAnsiTheme="minorHAnsi" w:cstheme="minorHAnsi"/>
        </w:rPr>
        <w:sectPr w:rsidR="00557510" w:rsidSect="00FA00DE">
          <w:headerReference w:type="default" r:id="rId17"/>
          <w:footerReference w:type="default" r:id="rId18"/>
          <w:type w:val="continuous"/>
          <w:pgSz w:w="15840" w:h="12240" w:orient="landscape"/>
          <w:pgMar w:top="1080" w:right="1080" w:bottom="1080" w:left="1080" w:header="720" w:footer="720" w:gutter="0"/>
          <w:cols w:space="720"/>
          <w:docGrid w:linePitch="360"/>
        </w:sectPr>
      </w:pPr>
    </w:p>
    <w:p w14:paraId="1BF1C325" w14:textId="77777777" w:rsidR="00557510" w:rsidRPr="00FA00DE" w:rsidRDefault="00557510" w:rsidP="00557510">
      <w:pPr>
        <w:pStyle w:val="ListParagraph"/>
        <w:numPr>
          <w:ilvl w:val="0"/>
          <w:numId w:val="14"/>
        </w:numPr>
        <w:spacing w:after="0"/>
        <w:rPr>
          <w:rFonts w:asciiTheme="minorHAnsi" w:hAnsiTheme="minorHAnsi" w:cstheme="minorHAnsi"/>
        </w:rPr>
      </w:pPr>
      <w:r w:rsidRPr="00FA00DE">
        <w:rPr>
          <w:rFonts w:asciiTheme="minorHAnsi" w:hAnsiTheme="minorHAnsi" w:cstheme="minorHAnsi"/>
        </w:rPr>
        <w:t>Scott Andrade</w:t>
      </w:r>
    </w:p>
    <w:p w14:paraId="24D8104D" w14:textId="77777777" w:rsidR="00557510" w:rsidRPr="00FA00DE" w:rsidRDefault="00557510" w:rsidP="00557510">
      <w:pPr>
        <w:pStyle w:val="ListParagraph"/>
        <w:numPr>
          <w:ilvl w:val="0"/>
          <w:numId w:val="14"/>
        </w:numPr>
        <w:spacing w:after="0"/>
        <w:rPr>
          <w:rFonts w:asciiTheme="minorHAnsi" w:hAnsiTheme="minorHAnsi" w:cstheme="minorHAnsi"/>
        </w:rPr>
      </w:pPr>
      <w:r w:rsidRPr="00FA00DE">
        <w:rPr>
          <w:rFonts w:asciiTheme="minorHAnsi" w:hAnsiTheme="minorHAnsi" w:cstheme="minorHAnsi"/>
        </w:rPr>
        <w:t>Jennifer Arnold</w:t>
      </w:r>
    </w:p>
    <w:p w14:paraId="0FF613BF" w14:textId="77777777" w:rsidR="00557510" w:rsidRPr="00FA00DE" w:rsidRDefault="00557510" w:rsidP="00557510">
      <w:pPr>
        <w:pStyle w:val="ListParagraph"/>
        <w:numPr>
          <w:ilvl w:val="0"/>
          <w:numId w:val="14"/>
        </w:numPr>
        <w:spacing w:after="0"/>
        <w:rPr>
          <w:rFonts w:asciiTheme="minorHAnsi" w:hAnsiTheme="minorHAnsi" w:cstheme="minorHAnsi"/>
        </w:rPr>
      </w:pPr>
      <w:r w:rsidRPr="00FA00DE">
        <w:rPr>
          <w:rFonts w:asciiTheme="minorHAnsi" w:hAnsiTheme="minorHAnsi" w:cstheme="minorHAnsi"/>
        </w:rPr>
        <w:t xml:space="preserve">Barbara Beaudoin </w:t>
      </w:r>
      <w:proofErr w:type="spellStart"/>
      <w:r w:rsidRPr="00FA00DE">
        <w:rPr>
          <w:rFonts w:asciiTheme="minorHAnsi" w:hAnsiTheme="minorHAnsi" w:cstheme="minorHAnsi"/>
        </w:rPr>
        <w:t>Turkel</w:t>
      </w:r>
      <w:proofErr w:type="spellEnd"/>
    </w:p>
    <w:p w14:paraId="6E603B95" w14:textId="77777777" w:rsidR="00557510" w:rsidRPr="00FA00DE" w:rsidRDefault="00557510" w:rsidP="00557510">
      <w:pPr>
        <w:pStyle w:val="ListParagraph"/>
        <w:numPr>
          <w:ilvl w:val="0"/>
          <w:numId w:val="14"/>
        </w:numPr>
        <w:spacing w:after="0"/>
        <w:rPr>
          <w:rFonts w:asciiTheme="minorHAnsi" w:hAnsiTheme="minorHAnsi" w:cstheme="minorHAnsi"/>
        </w:rPr>
      </w:pPr>
      <w:r w:rsidRPr="00FA00DE">
        <w:rPr>
          <w:rFonts w:asciiTheme="minorHAnsi" w:hAnsiTheme="minorHAnsi" w:cstheme="minorHAnsi"/>
        </w:rPr>
        <w:t>Nicholas Bernier</w:t>
      </w:r>
    </w:p>
    <w:p w14:paraId="7CDAC1FB" w14:textId="77777777" w:rsidR="00557510" w:rsidRPr="00FA00DE" w:rsidRDefault="00557510" w:rsidP="00557510">
      <w:pPr>
        <w:pStyle w:val="ListParagraph"/>
        <w:numPr>
          <w:ilvl w:val="0"/>
          <w:numId w:val="14"/>
        </w:numPr>
        <w:spacing w:after="0"/>
        <w:rPr>
          <w:rFonts w:asciiTheme="minorHAnsi" w:hAnsiTheme="minorHAnsi" w:cstheme="minorHAnsi"/>
        </w:rPr>
      </w:pPr>
      <w:r w:rsidRPr="00FA00DE">
        <w:rPr>
          <w:rFonts w:asciiTheme="minorHAnsi" w:hAnsiTheme="minorHAnsi" w:cstheme="minorHAnsi"/>
        </w:rPr>
        <w:t>Gena Bevilacqua</w:t>
      </w:r>
    </w:p>
    <w:p w14:paraId="6F50A7F3" w14:textId="77777777" w:rsidR="00557510" w:rsidRPr="00FA00DE" w:rsidRDefault="00557510" w:rsidP="00557510">
      <w:pPr>
        <w:pStyle w:val="ListParagraph"/>
        <w:numPr>
          <w:ilvl w:val="0"/>
          <w:numId w:val="14"/>
        </w:numPr>
        <w:spacing w:after="0"/>
        <w:rPr>
          <w:rFonts w:asciiTheme="minorHAnsi" w:hAnsiTheme="minorHAnsi" w:cstheme="minorHAnsi"/>
        </w:rPr>
      </w:pPr>
      <w:r w:rsidRPr="00FA00DE">
        <w:rPr>
          <w:rFonts w:asciiTheme="minorHAnsi" w:hAnsiTheme="minorHAnsi" w:cstheme="minorHAnsi"/>
        </w:rPr>
        <w:t>Timothy Callahan</w:t>
      </w:r>
    </w:p>
    <w:p w14:paraId="04481988" w14:textId="77777777" w:rsidR="00557510" w:rsidRPr="00FA00DE" w:rsidRDefault="00557510" w:rsidP="00557510">
      <w:pPr>
        <w:pStyle w:val="ListParagraph"/>
        <w:numPr>
          <w:ilvl w:val="0"/>
          <w:numId w:val="14"/>
        </w:numPr>
        <w:spacing w:after="0"/>
        <w:rPr>
          <w:rFonts w:asciiTheme="minorHAnsi" w:hAnsiTheme="minorHAnsi" w:cstheme="minorHAnsi"/>
        </w:rPr>
      </w:pPr>
      <w:r w:rsidRPr="00FA00DE">
        <w:rPr>
          <w:rFonts w:asciiTheme="minorHAnsi" w:hAnsiTheme="minorHAnsi" w:cstheme="minorHAnsi"/>
        </w:rPr>
        <w:t>Kelly Cooney</w:t>
      </w:r>
    </w:p>
    <w:p w14:paraId="5D081A72" w14:textId="77777777" w:rsidR="00557510" w:rsidRPr="00FA00DE" w:rsidRDefault="00557510" w:rsidP="00557510">
      <w:pPr>
        <w:pStyle w:val="ListParagraph"/>
        <w:numPr>
          <w:ilvl w:val="0"/>
          <w:numId w:val="14"/>
        </w:numPr>
        <w:spacing w:after="0"/>
        <w:rPr>
          <w:rFonts w:asciiTheme="minorHAnsi" w:hAnsiTheme="minorHAnsi" w:cstheme="minorHAnsi"/>
        </w:rPr>
      </w:pPr>
      <w:r w:rsidRPr="00FA00DE">
        <w:rPr>
          <w:rFonts w:asciiTheme="minorHAnsi" w:hAnsiTheme="minorHAnsi" w:cstheme="minorHAnsi"/>
        </w:rPr>
        <w:t>Brian Curley</w:t>
      </w:r>
    </w:p>
    <w:p w14:paraId="1AEB6F6B" w14:textId="77777777" w:rsidR="00557510" w:rsidRPr="00FA00DE" w:rsidRDefault="00557510" w:rsidP="00557510">
      <w:pPr>
        <w:pStyle w:val="ListParagraph"/>
        <w:numPr>
          <w:ilvl w:val="0"/>
          <w:numId w:val="14"/>
        </w:numPr>
        <w:spacing w:after="0"/>
        <w:rPr>
          <w:rFonts w:asciiTheme="minorHAnsi" w:hAnsiTheme="minorHAnsi" w:cstheme="minorHAnsi"/>
        </w:rPr>
      </w:pPr>
      <w:r w:rsidRPr="00FA00DE">
        <w:rPr>
          <w:rFonts w:asciiTheme="minorHAnsi" w:hAnsiTheme="minorHAnsi" w:cstheme="minorHAnsi"/>
        </w:rPr>
        <w:t>Joyce Edwards</w:t>
      </w:r>
    </w:p>
    <w:p w14:paraId="551E13D7" w14:textId="77777777" w:rsidR="00557510" w:rsidRPr="00FA00DE" w:rsidRDefault="00557510" w:rsidP="00557510">
      <w:pPr>
        <w:pStyle w:val="ListParagraph"/>
        <w:numPr>
          <w:ilvl w:val="0"/>
          <w:numId w:val="14"/>
        </w:numPr>
        <w:spacing w:after="0"/>
        <w:rPr>
          <w:rFonts w:asciiTheme="minorHAnsi" w:hAnsiTheme="minorHAnsi" w:cstheme="minorHAnsi"/>
        </w:rPr>
      </w:pPr>
      <w:r w:rsidRPr="00FA00DE">
        <w:rPr>
          <w:rFonts w:asciiTheme="minorHAnsi" w:hAnsiTheme="minorHAnsi" w:cstheme="minorHAnsi"/>
        </w:rPr>
        <w:t xml:space="preserve">Lee </w:t>
      </w:r>
      <w:proofErr w:type="spellStart"/>
      <w:r w:rsidRPr="00FA00DE">
        <w:rPr>
          <w:rFonts w:asciiTheme="minorHAnsi" w:hAnsiTheme="minorHAnsi" w:cstheme="minorHAnsi"/>
        </w:rPr>
        <w:t>Franty</w:t>
      </w:r>
      <w:proofErr w:type="spellEnd"/>
    </w:p>
    <w:p w14:paraId="7DEC133E" w14:textId="77777777" w:rsidR="00557510" w:rsidRPr="00FA00DE" w:rsidRDefault="00557510" w:rsidP="00557510">
      <w:pPr>
        <w:pStyle w:val="ListParagraph"/>
        <w:numPr>
          <w:ilvl w:val="0"/>
          <w:numId w:val="14"/>
        </w:numPr>
        <w:spacing w:after="0"/>
        <w:rPr>
          <w:rFonts w:asciiTheme="minorHAnsi" w:hAnsiTheme="minorHAnsi" w:cstheme="minorHAnsi"/>
        </w:rPr>
      </w:pPr>
      <w:r>
        <w:rPr>
          <w:rFonts w:asciiTheme="minorHAnsi" w:hAnsiTheme="minorHAnsi" w:cstheme="minorHAnsi"/>
        </w:rPr>
        <w:br w:type="column"/>
      </w:r>
      <w:r w:rsidRPr="00FA00DE">
        <w:rPr>
          <w:rFonts w:asciiTheme="minorHAnsi" w:hAnsiTheme="minorHAnsi" w:cstheme="minorHAnsi"/>
        </w:rPr>
        <w:t>Lori A. Gallivan</w:t>
      </w:r>
    </w:p>
    <w:p w14:paraId="64AB2031" w14:textId="77777777" w:rsidR="00557510" w:rsidRPr="00FA00DE" w:rsidRDefault="00557510" w:rsidP="00557510">
      <w:pPr>
        <w:pStyle w:val="ListParagraph"/>
        <w:numPr>
          <w:ilvl w:val="0"/>
          <w:numId w:val="14"/>
        </w:numPr>
        <w:spacing w:after="0"/>
        <w:rPr>
          <w:rFonts w:asciiTheme="minorHAnsi" w:hAnsiTheme="minorHAnsi" w:cstheme="minorHAnsi"/>
        </w:rPr>
      </w:pPr>
      <w:r w:rsidRPr="00FA00DE">
        <w:rPr>
          <w:rFonts w:asciiTheme="minorHAnsi" w:hAnsiTheme="minorHAnsi" w:cstheme="minorHAnsi"/>
        </w:rPr>
        <w:t>William Green</w:t>
      </w:r>
    </w:p>
    <w:p w14:paraId="13FEDC95" w14:textId="77777777" w:rsidR="00557510" w:rsidRPr="00FA00DE" w:rsidRDefault="00557510" w:rsidP="00557510">
      <w:pPr>
        <w:pStyle w:val="ListParagraph"/>
        <w:numPr>
          <w:ilvl w:val="0"/>
          <w:numId w:val="14"/>
        </w:numPr>
        <w:spacing w:after="0"/>
        <w:rPr>
          <w:rFonts w:asciiTheme="minorHAnsi" w:hAnsiTheme="minorHAnsi" w:cstheme="minorHAnsi"/>
        </w:rPr>
      </w:pPr>
      <w:r w:rsidRPr="00FA00DE">
        <w:rPr>
          <w:rFonts w:asciiTheme="minorHAnsi" w:hAnsiTheme="minorHAnsi" w:cstheme="minorHAnsi"/>
        </w:rPr>
        <w:t xml:space="preserve">David </w:t>
      </w:r>
      <w:proofErr w:type="spellStart"/>
      <w:r w:rsidRPr="00FA00DE">
        <w:rPr>
          <w:rFonts w:asciiTheme="minorHAnsi" w:hAnsiTheme="minorHAnsi" w:cstheme="minorHAnsi"/>
        </w:rPr>
        <w:t>Hochheiser</w:t>
      </w:r>
      <w:proofErr w:type="spellEnd"/>
    </w:p>
    <w:p w14:paraId="3360FF5F" w14:textId="77777777" w:rsidR="00557510" w:rsidRPr="00FA00DE" w:rsidRDefault="00557510" w:rsidP="00557510">
      <w:pPr>
        <w:pStyle w:val="ListParagraph"/>
        <w:numPr>
          <w:ilvl w:val="0"/>
          <w:numId w:val="14"/>
        </w:numPr>
        <w:spacing w:after="0"/>
        <w:rPr>
          <w:rFonts w:asciiTheme="minorHAnsi" w:hAnsiTheme="minorHAnsi" w:cstheme="minorHAnsi"/>
        </w:rPr>
      </w:pPr>
      <w:r w:rsidRPr="00FA00DE">
        <w:rPr>
          <w:rFonts w:asciiTheme="minorHAnsi" w:hAnsiTheme="minorHAnsi" w:cstheme="minorHAnsi"/>
        </w:rPr>
        <w:t>Sarah Hopson</w:t>
      </w:r>
    </w:p>
    <w:p w14:paraId="2B319EAE" w14:textId="77777777" w:rsidR="00557510" w:rsidRPr="00FA00DE" w:rsidRDefault="00557510" w:rsidP="00557510">
      <w:pPr>
        <w:pStyle w:val="ListParagraph"/>
        <w:numPr>
          <w:ilvl w:val="0"/>
          <w:numId w:val="14"/>
        </w:numPr>
        <w:spacing w:after="0"/>
        <w:rPr>
          <w:rFonts w:asciiTheme="minorHAnsi" w:hAnsiTheme="minorHAnsi" w:cstheme="minorHAnsi"/>
        </w:rPr>
      </w:pPr>
      <w:r w:rsidRPr="00FA00DE">
        <w:rPr>
          <w:rFonts w:asciiTheme="minorHAnsi" w:hAnsiTheme="minorHAnsi" w:cstheme="minorHAnsi"/>
        </w:rPr>
        <w:t>Rachel Joseph</w:t>
      </w:r>
    </w:p>
    <w:p w14:paraId="29A13169" w14:textId="77777777" w:rsidR="00557510" w:rsidRPr="00FA00DE" w:rsidRDefault="00557510" w:rsidP="00557510">
      <w:pPr>
        <w:pStyle w:val="ListParagraph"/>
        <w:numPr>
          <w:ilvl w:val="0"/>
          <w:numId w:val="14"/>
        </w:numPr>
        <w:spacing w:after="0"/>
        <w:rPr>
          <w:rFonts w:asciiTheme="minorHAnsi" w:hAnsiTheme="minorHAnsi" w:cstheme="minorHAnsi"/>
        </w:rPr>
      </w:pPr>
      <w:r w:rsidRPr="00FA00DE">
        <w:rPr>
          <w:rFonts w:asciiTheme="minorHAnsi" w:hAnsiTheme="minorHAnsi" w:cstheme="minorHAnsi"/>
        </w:rPr>
        <w:t xml:space="preserve">Stephanie </w:t>
      </w:r>
      <w:proofErr w:type="spellStart"/>
      <w:r w:rsidRPr="00FA00DE">
        <w:rPr>
          <w:rFonts w:asciiTheme="minorHAnsi" w:hAnsiTheme="minorHAnsi" w:cstheme="minorHAnsi"/>
        </w:rPr>
        <w:t>Kopala</w:t>
      </w:r>
      <w:proofErr w:type="spellEnd"/>
    </w:p>
    <w:p w14:paraId="27F14577" w14:textId="77777777" w:rsidR="00557510" w:rsidRPr="00FA00DE" w:rsidRDefault="00557510" w:rsidP="00557510">
      <w:pPr>
        <w:pStyle w:val="ListParagraph"/>
        <w:numPr>
          <w:ilvl w:val="0"/>
          <w:numId w:val="14"/>
        </w:numPr>
        <w:spacing w:after="0"/>
        <w:rPr>
          <w:rFonts w:asciiTheme="minorHAnsi" w:hAnsiTheme="minorHAnsi" w:cstheme="minorHAnsi"/>
        </w:rPr>
      </w:pPr>
      <w:r w:rsidRPr="00FA00DE">
        <w:rPr>
          <w:rFonts w:asciiTheme="minorHAnsi" w:hAnsiTheme="minorHAnsi" w:cstheme="minorHAnsi"/>
        </w:rPr>
        <w:t xml:space="preserve">Jennifer </w:t>
      </w:r>
      <w:proofErr w:type="spellStart"/>
      <w:r w:rsidRPr="00FA00DE">
        <w:rPr>
          <w:rFonts w:asciiTheme="minorHAnsi" w:hAnsiTheme="minorHAnsi" w:cstheme="minorHAnsi"/>
        </w:rPr>
        <w:t>LaCava</w:t>
      </w:r>
      <w:proofErr w:type="spellEnd"/>
    </w:p>
    <w:p w14:paraId="6E02A22C" w14:textId="77777777" w:rsidR="00557510" w:rsidRPr="00FA00DE" w:rsidRDefault="00557510" w:rsidP="00557510">
      <w:pPr>
        <w:pStyle w:val="ListParagraph"/>
        <w:numPr>
          <w:ilvl w:val="0"/>
          <w:numId w:val="14"/>
        </w:numPr>
        <w:spacing w:after="0"/>
        <w:rPr>
          <w:rFonts w:asciiTheme="minorHAnsi" w:hAnsiTheme="minorHAnsi" w:cstheme="minorHAnsi"/>
        </w:rPr>
      </w:pPr>
      <w:r w:rsidRPr="00FA00DE">
        <w:rPr>
          <w:rFonts w:asciiTheme="minorHAnsi" w:hAnsiTheme="minorHAnsi" w:cstheme="minorHAnsi"/>
        </w:rPr>
        <w:t>James Lee</w:t>
      </w:r>
    </w:p>
    <w:p w14:paraId="761457CF" w14:textId="77777777" w:rsidR="00557510" w:rsidRPr="00FA00DE" w:rsidRDefault="00557510" w:rsidP="00557510">
      <w:pPr>
        <w:pStyle w:val="ListParagraph"/>
        <w:numPr>
          <w:ilvl w:val="0"/>
          <w:numId w:val="14"/>
        </w:numPr>
        <w:spacing w:after="0"/>
        <w:rPr>
          <w:rFonts w:asciiTheme="minorHAnsi" w:hAnsiTheme="minorHAnsi" w:cstheme="minorHAnsi"/>
        </w:rPr>
      </w:pPr>
      <w:r w:rsidRPr="00FA00DE">
        <w:rPr>
          <w:rFonts w:asciiTheme="minorHAnsi" w:hAnsiTheme="minorHAnsi" w:cstheme="minorHAnsi"/>
        </w:rPr>
        <w:t xml:space="preserve">Sara J. </w:t>
      </w:r>
      <w:proofErr w:type="spellStart"/>
      <w:r w:rsidRPr="00FA00DE">
        <w:rPr>
          <w:rFonts w:asciiTheme="minorHAnsi" w:hAnsiTheme="minorHAnsi" w:cstheme="minorHAnsi"/>
        </w:rPr>
        <w:t>Luczynski</w:t>
      </w:r>
      <w:proofErr w:type="spellEnd"/>
    </w:p>
    <w:p w14:paraId="05799AB6" w14:textId="77777777" w:rsidR="00557510" w:rsidRPr="00FA00DE" w:rsidRDefault="00557510" w:rsidP="00557510">
      <w:pPr>
        <w:pStyle w:val="ListParagraph"/>
        <w:numPr>
          <w:ilvl w:val="0"/>
          <w:numId w:val="14"/>
        </w:numPr>
        <w:spacing w:after="0"/>
        <w:rPr>
          <w:rFonts w:asciiTheme="minorHAnsi" w:hAnsiTheme="minorHAnsi" w:cstheme="minorHAnsi"/>
        </w:rPr>
      </w:pPr>
      <w:r w:rsidRPr="00FA00DE">
        <w:rPr>
          <w:rFonts w:asciiTheme="minorHAnsi" w:hAnsiTheme="minorHAnsi" w:cstheme="minorHAnsi"/>
        </w:rPr>
        <w:t xml:space="preserve">Susan </w:t>
      </w:r>
      <w:proofErr w:type="spellStart"/>
      <w:r w:rsidRPr="00FA00DE">
        <w:rPr>
          <w:rFonts w:asciiTheme="minorHAnsi" w:hAnsiTheme="minorHAnsi" w:cstheme="minorHAnsi"/>
        </w:rPr>
        <w:t>McGilvray</w:t>
      </w:r>
      <w:proofErr w:type="spellEnd"/>
      <w:r w:rsidRPr="00FA00DE">
        <w:rPr>
          <w:rFonts w:asciiTheme="minorHAnsi" w:hAnsiTheme="minorHAnsi" w:cstheme="minorHAnsi"/>
        </w:rPr>
        <w:t>-Rivet</w:t>
      </w:r>
    </w:p>
    <w:p w14:paraId="2530EAFF" w14:textId="77777777" w:rsidR="00557510" w:rsidRPr="00FA00DE" w:rsidRDefault="00557510" w:rsidP="00557510">
      <w:pPr>
        <w:pStyle w:val="ListParagraph"/>
        <w:numPr>
          <w:ilvl w:val="0"/>
          <w:numId w:val="14"/>
        </w:numPr>
        <w:spacing w:after="0"/>
        <w:rPr>
          <w:rFonts w:asciiTheme="minorHAnsi" w:hAnsiTheme="minorHAnsi" w:cstheme="minorHAnsi"/>
        </w:rPr>
      </w:pPr>
      <w:r>
        <w:rPr>
          <w:rFonts w:asciiTheme="minorHAnsi" w:hAnsiTheme="minorHAnsi" w:cstheme="minorHAnsi"/>
        </w:rPr>
        <w:br w:type="column"/>
      </w:r>
      <w:r w:rsidRPr="00FA00DE">
        <w:rPr>
          <w:rFonts w:asciiTheme="minorHAnsi" w:hAnsiTheme="minorHAnsi" w:cstheme="minorHAnsi"/>
        </w:rPr>
        <w:t>Courtney Miller</w:t>
      </w:r>
    </w:p>
    <w:p w14:paraId="60B3F8EC" w14:textId="77777777" w:rsidR="00557510" w:rsidRPr="00FA00DE" w:rsidRDefault="00557510" w:rsidP="00557510">
      <w:pPr>
        <w:pStyle w:val="ListParagraph"/>
        <w:numPr>
          <w:ilvl w:val="0"/>
          <w:numId w:val="14"/>
        </w:numPr>
        <w:spacing w:after="0"/>
        <w:rPr>
          <w:rFonts w:asciiTheme="minorHAnsi" w:hAnsiTheme="minorHAnsi" w:cstheme="minorHAnsi"/>
        </w:rPr>
      </w:pPr>
      <w:r>
        <w:rPr>
          <w:rFonts w:asciiTheme="minorHAnsi" w:hAnsiTheme="minorHAnsi" w:cstheme="minorHAnsi"/>
        </w:rPr>
        <w:t>Carla Molina-</w:t>
      </w:r>
      <w:r w:rsidRPr="00FA00DE">
        <w:rPr>
          <w:rFonts w:asciiTheme="minorHAnsi" w:hAnsiTheme="minorHAnsi" w:cstheme="minorHAnsi"/>
        </w:rPr>
        <w:t>Dean</w:t>
      </w:r>
    </w:p>
    <w:p w14:paraId="73617017" w14:textId="77777777" w:rsidR="00557510" w:rsidRPr="00FA00DE" w:rsidRDefault="00557510" w:rsidP="00557510">
      <w:pPr>
        <w:pStyle w:val="ListParagraph"/>
        <w:numPr>
          <w:ilvl w:val="0"/>
          <w:numId w:val="14"/>
        </w:numPr>
        <w:spacing w:after="0"/>
        <w:rPr>
          <w:rFonts w:asciiTheme="minorHAnsi" w:hAnsiTheme="minorHAnsi" w:cstheme="minorHAnsi"/>
        </w:rPr>
      </w:pPr>
      <w:r w:rsidRPr="00FA00DE">
        <w:rPr>
          <w:rFonts w:asciiTheme="minorHAnsi" w:hAnsiTheme="minorHAnsi" w:cstheme="minorHAnsi"/>
        </w:rPr>
        <w:t>Susan Moore</w:t>
      </w:r>
    </w:p>
    <w:p w14:paraId="7C1613F2" w14:textId="77777777" w:rsidR="00557510" w:rsidRPr="00FA00DE" w:rsidRDefault="00557510" w:rsidP="00557510">
      <w:pPr>
        <w:pStyle w:val="ListParagraph"/>
        <w:numPr>
          <w:ilvl w:val="0"/>
          <w:numId w:val="14"/>
        </w:numPr>
        <w:spacing w:after="0"/>
        <w:rPr>
          <w:rFonts w:asciiTheme="minorHAnsi" w:hAnsiTheme="minorHAnsi" w:cstheme="minorHAnsi"/>
        </w:rPr>
      </w:pPr>
      <w:r w:rsidRPr="00FA00DE">
        <w:rPr>
          <w:rFonts w:asciiTheme="minorHAnsi" w:hAnsiTheme="minorHAnsi" w:cstheme="minorHAnsi"/>
        </w:rPr>
        <w:t>Wendy Phillips</w:t>
      </w:r>
    </w:p>
    <w:p w14:paraId="760812D6" w14:textId="77777777" w:rsidR="00557510" w:rsidRPr="00FA00DE" w:rsidRDefault="00557510" w:rsidP="00557510">
      <w:pPr>
        <w:pStyle w:val="ListParagraph"/>
        <w:numPr>
          <w:ilvl w:val="0"/>
          <w:numId w:val="14"/>
        </w:numPr>
        <w:spacing w:after="0"/>
        <w:rPr>
          <w:rFonts w:asciiTheme="minorHAnsi" w:hAnsiTheme="minorHAnsi" w:cstheme="minorHAnsi"/>
        </w:rPr>
      </w:pPr>
      <w:r w:rsidRPr="00FA00DE">
        <w:rPr>
          <w:rFonts w:asciiTheme="minorHAnsi" w:hAnsiTheme="minorHAnsi" w:cstheme="minorHAnsi"/>
        </w:rPr>
        <w:t>Angela Quinto</w:t>
      </w:r>
    </w:p>
    <w:p w14:paraId="2EC7998C" w14:textId="77777777" w:rsidR="00557510" w:rsidRPr="00FA00DE" w:rsidRDefault="00557510" w:rsidP="00557510">
      <w:pPr>
        <w:pStyle w:val="ListParagraph"/>
        <w:numPr>
          <w:ilvl w:val="0"/>
          <w:numId w:val="14"/>
        </w:numPr>
        <w:spacing w:after="0"/>
        <w:rPr>
          <w:rFonts w:asciiTheme="minorHAnsi" w:hAnsiTheme="minorHAnsi" w:cstheme="minorHAnsi"/>
        </w:rPr>
      </w:pPr>
      <w:r w:rsidRPr="00FA00DE">
        <w:rPr>
          <w:rFonts w:asciiTheme="minorHAnsi" w:hAnsiTheme="minorHAnsi" w:cstheme="minorHAnsi"/>
        </w:rPr>
        <w:t xml:space="preserve">Carl </w:t>
      </w:r>
      <w:proofErr w:type="spellStart"/>
      <w:r w:rsidRPr="00FA00DE">
        <w:rPr>
          <w:rFonts w:asciiTheme="minorHAnsi" w:hAnsiTheme="minorHAnsi" w:cstheme="minorHAnsi"/>
        </w:rPr>
        <w:t>Robidoux</w:t>
      </w:r>
      <w:proofErr w:type="spellEnd"/>
    </w:p>
    <w:p w14:paraId="3A5A68CD" w14:textId="77777777" w:rsidR="00557510" w:rsidRPr="00FA00DE" w:rsidRDefault="00557510" w:rsidP="00557510">
      <w:pPr>
        <w:pStyle w:val="ListParagraph"/>
        <w:numPr>
          <w:ilvl w:val="0"/>
          <w:numId w:val="14"/>
        </w:numPr>
        <w:spacing w:after="0"/>
        <w:rPr>
          <w:rFonts w:asciiTheme="minorHAnsi" w:hAnsiTheme="minorHAnsi" w:cstheme="minorHAnsi"/>
        </w:rPr>
      </w:pPr>
      <w:r w:rsidRPr="00FA00DE">
        <w:rPr>
          <w:rFonts w:asciiTheme="minorHAnsi" w:hAnsiTheme="minorHAnsi" w:cstheme="minorHAnsi"/>
        </w:rPr>
        <w:t xml:space="preserve">Elaine </w:t>
      </w:r>
      <w:proofErr w:type="spellStart"/>
      <w:r w:rsidRPr="00FA00DE">
        <w:rPr>
          <w:rFonts w:asciiTheme="minorHAnsi" w:hAnsiTheme="minorHAnsi" w:cstheme="minorHAnsi"/>
        </w:rPr>
        <w:t>Santaniello</w:t>
      </w:r>
      <w:proofErr w:type="spellEnd"/>
    </w:p>
    <w:p w14:paraId="39734B40" w14:textId="77777777" w:rsidR="00557510" w:rsidRPr="00FA00DE" w:rsidRDefault="00557510" w:rsidP="00557510">
      <w:pPr>
        <w:pStyle w:val="ListParagraph"/>
        <w:numPr>
          <w:ilvl w:val="0"/>
          <w:numId w:val="14"/>
        </w:numPr>
        <w:spacing w:after="0"/>
        <w:rPr>
          <w:rFonts w:asciiTheme="minorHAnsi" w:hAnsiTheme="minorHAnsi" w:cstheme="minorHAnsi"/>
        </w:rPr>
      </w:pPr>
      <w:r w:rsidRPr="00FA00DE">
        <w:rPr>
          <w:rFonts w:asciiTheme="minorHAnsi" w:hAnsiTheme="minorHAnsi" w:cstheme="minorHAnsi"/>
        </w:rPr>
        <w:t xml:space="preserve">Rebecca </w:t>
      </w:r>
      <w:proofErr w:type="spellStart"/>
      <w:r w:rsidRPr="00FA00DE">
        <w:rPr>
          <w:rFonts w:asciiTheme="minorHAnsi" w:hAnsiTheme="minorHAnsi" w:cstheme="minorHAnsi"/>
        </w:rPr>
        <w:t>Slawson</w:t>
      </w:r>
      <w:proofErr w:type="spellEnd"/>
    </w:p>
    <w:p w14:paraId="171ABABB" w14:textId="77777777" w:rsidR="00557510" w:rsidRPr="00FA00DE" w:rsidRDefault="00557510" w:rsidP="00557510">
      <w:pPr>
        <w:pStyle w:val="ListParagraph"/>
        <w:numPr>
          <w:ilvl w:val="0"/>
          <w:numId w:val="14"/>
        </w:numPr>
        <w:spacing w:after="0"/>
        <w:rPr>
          <w:rFonts w:asciiTheme="minorHAnsi" w:hAnsiTheme="minorHAnsi" w:cstheme="minorHAnsi"/>
        </w:rPr>
      </w:pPr>
      <w:r w:rsidRPr="00FA00DE">
        <w:rPr>
          <w:rFonts w:asciiTheme="minorHAnsi" w:hAnsiTheme="minorHAnsi" w:cstheme="minorHAnsi"/>
        </w:rPr>
        <w:t>Colleen Werner</w:t>
      </w:r>
    </w:p>
    <w:p w14:paraId="777A61A9" w14:textId="77777777" w:rsidR="00557510" w:rsidRPr="00FA00DE" w:rsidRDefault="00557510" w:rsidP="00557510">
      <w:pPr>
        <w:pStyle w:val="ListParagraph"/>
        <w:numPr>
          <w:ilvl w:val="0"/>
          <w:numId w:val="14"/>
        </w:numPr>
        <w:spacing w:after="0"/>
        <w:rPr>
          <w:rFonts w:asciiTheme="minorHAnsi" w:hAnsiTheme="minorHAnsi" w:cstheme="minorHAnsi"/>
        </w:rPr>
      </w:pPr>
      <w:r w:rsidRPr="00FA00DE">
        <w:rPr>
          <w:rFonts w:asciiTheme="minorHAnsi" w:hAnsiTheme="minorHAnsi" w:cstheme="minorHAnsi"/>
        </w:rPr>
        <w:t>Carol Woodbury</w:t>
      </w:r>
    </w:p>
    <w:p w14:paraId="2D018668" w14:textId="77777777" w:rsidR="00557510" w:rsidRPr="009F7B1D" w:rsidRDefault="00557510" w:rsidP="00557510">
      <w:pPr>
        <w:pStyle w:val="ListParagraph"/>
        <w:numPr>
          <w:ilvl w:val="0"/>
          <w:numId w:val="14"/>
        </w:numPr>
        <w:rPr>
          <w:rFonts w:asciiTheme="minorHAnsi" w:hAnsiTheme="minorHAnsi" w:cstheme="minorHAnsi"/>
        </w:rPr>
      </w:pPr>
      <w:r w:rsidRPr="009F7B1D">
        <w:rPr>
          <w:rFonts w:asciiTheme="minorHAnsi" w:hAnsiTheme="minorHAnsi" w:cstheme="minorHAnsi"/>
        </w:rPr>
        <w:t>Michelle (no last name provided)</w:t>
      </w:r>
    </w:p>
    <w:p w14:paraId="2E8E20EB" w14:textId="77777777" w:rsidR="00557510" w:rsidRDefault="00557510" w:rsidP="00557510">
      <w:pPr>
        <w:rPr>
          <w:rFonts w:asciiTheme="minorHAnsi" w:hAnsiTheme="minorHAnsi" w:cstheme="minorHAnsi"/>
        </w:rPr>
        <w:sectPr w:rsidR="00557510" w:rsidSect="00FA00DE">
          <w:type w:val="continuous"/>
          <w:pgSz w:w="15840" w:h="12240" w:orient="landscape"/>
          <w:pgMar w:top="1080" w:right="1080" w:bottom="1080" w:left="1080" w:header="720" w:footer="720" w:gutter="0"/>
          <w:cols w:num="3" w:space="720"/>
          <w:docGrid w:linePitch="360"/>
        </w:sectPr>
      </w:pPr>
    </w:p>
    <w:p w14:paraId="1D91A8BF" w14:textId="77777777" w:rsidR="00557510" w:rsidRPr="00CD1570" w:rsidRDefault="00557510" w:rsidP="00DC7FAC">
      <w:pPr>
        <w:pStyle w:val="Heading1"/>
      </w:pPr>
      <w:r w:rsidRPr="00CD1570">
        <w:t>List of individuals submitting public comment</w:t>
      </w:r>
      <w:r>
        <w:t xml:space="preserve"> on behalf of their school or district</w:t>
      </w:r>
      <w:r w:rsidRPr="00CD1570">
        <w:t>:</w:t>
      </w:r>
    </w:p>
    <w:p w14:paraId="780364E6" w14:textId="77777777" w:rsidR="00557510" w:rsidRDefault="00557510" w:rsidP="00557510">
      <w:pPr>
        <w:pStyle w:val="ListParagraph"/>
        <w:numPr>
          <w:ilvl w:val="0"/>
          <w:numId w:val="14"/>
        </w:numPr>
        <w:spacing w:after="0"/>
        <w:rPr>
          <w:rFonts w:asciiTheme="minorHAnsi" w:hAnsiTheme="minorHAnsi" w:cstheme="minorHAnsi"/>
        </w:rPr>
        <w:sectPr w:rsidR="00557510" w:rsidSect="00FA00DE">
          <w:headerReference w:type="default" r:id="rId19"/>
          <w:footerReference w:type="default" r:id="rId20"/>
          <w:type w:val="continuous"/>
          <w:pgSz w:w="15840" w:h="12240" w:orient="landscape"/>
          <w:pgMar w:top="1080" w:right="1080" w:bottom="1080" w:left="1080" w:header="720" w:footer="720" w:gutter="0"/>
          <w:cols w:space="720"/>
          <w:docGrid w:linePitch="360"/>
        </w:sectPr>
      </w:pPr>
    </w:p>
    <w:p w14:paraId="3542D0A1" w14:textId="77777777" w:rsidR="00557510" w:rsidRPr="00072E3C" w:rsidRDefault="00557510" w:rsidP="00557510">
      <w:pPr>
        <w:pStyle w:val="ListParagraph"/>
        <w:numPr>
          <w:ilvl w:val="0"/>
          <w:numId w:val="14"/>
        </w:numPr>
        <w:spacing w:after="0"/>
        <w:rPr>
          <w:rFonts w:asciiTheme="minorHAnsi" w:hAnsiTheme="minorHAnsi" w:cstheme="minorHAnsi"/>
        </w:rPr>
      </w:pPr>
      <w:r w:rsidRPr="00072E3C">
        <w:rPr>
          <w:rFonts w:asciiTheme="minorHAnsi" w:hAnsiTheme="minorHAnsi" w:cstheme="minorHAnsi"/>
        </w:rPr>
        <w:t>Jessica B. Callanan</w:t>
      </w:r>
      <w:r>
        <w:rPr>
          <w:rFonts w:asciiTheme="minorHAnsi" w:hAnsiTheme="minorHAnsi" w:cstheme="minorHAnsi"/>
        </w:rPr>
        <w:t xml:space="preserve"> (Woburn Memorial High School)</w:t>
      </w:r>
    </w:p>
    <w:p w14:paraId="5F4A7ABE" w14:textId="77777777" w:rsidR="00557510" w:rsidRPr="00072E3C" w:rsidRDefault="00557510" w:rsidP="00557510">
      <w:pPr>
        <w:pStyle w:val="ListParagraph"/>
        <w:numPr>
          <w:ilvl w:val="0"/>
          <w:numId w:val="14"/>
        </w:numPr>
        <w:spacing w:after="0"/>
        <w:rPr>
          <w:rFonts w:asciiTheme="minorHAnsi" w:hAnsiTheme="minorHAnsi" w:cstheme="minorHAnsi"/>
        </w:rPr>
      </w:pPr>
      <w:r w:rsidRPr="00072E3C">
        <w:rPr>
          <w:rFonts w:asciiTheme="minorHAnsi" w:hAnsiTheme="minorHAnsi" w:cstheme="minorHAnsi"/>
        </w:rPr>
        <w:t>Maureen Chapman</w:t>
      </w:r>
      <w:r>
        <w:rPr>
          <w:rFonts w:asciiTheme="minorHAnsi" w:hAnsiTheme="minorHAnsi" w:cstheme="minorHAnsi"/>
        </w:rPr>
        <w:t xml:space="preserve"> (</w:t>
      </w:r>
      <w:r w:rsidRPr="00072E3C">
        <w:rPr>
          <w:rFonts w:asciiTheme="minorHAnsi" w:hAnsiTheme="minorHAnsi" w:cstheme="minorHAnsi"/>
        </w:rPr>
        <w:t>Rising Tide Charter Public School</w:t>
      </w:r>
      <w:r>
        <w:rPr>
          <w:rFonts w:asciiTheme="minorHAnsi" w:hAnsiTheme="minorHAnsi" w:cstheme="minorHAnsi"/>
        </w:rPr>
        <w:t>)</w:t>
      </w:r>
    </w:p>
    <w:p w14:paraId="381CC18E" w14:textId="77777777" w:rsidR="00DC7FAC" w:rsidRDefault="00557510" w:rsidP="00626393">
      <w:pPr>
        <w:pStyle w:val="ListParagraph"/>
        <w:numPr>
          <w:ilvl w:val="0"/>
          <w:numId w:val="14"/>
        </w:numPr>
        <w:spacing w:after="0"/>
        <w:rPr>
          <w:rFonts w:asciiTheme="minorHAnsi" w:hAnsiTheme="minorHAnsi" w:cstheme="minorHAnsi"/>
        </w:rPr>
      </w:pPr>
      <w:r w:rsidRPr="00DC7FAC">
        <w:rPr>
          <w:rFonts w:asciiTheme="minorHAnsi" w:hAnsiTheme="minorHAnsi" w:cstheme="minorHAnsi"/>
        </w:rPr>
        <w:t xml:space="preserve">Mary </w:t>
      </w:r>
      <w:proofErr w:type="spellStart"/>
      <w:r w:rsidRPr="00DC7FAC">
        <w:rPr>
          <w:rFonts w:asciiTheme="minorHAnsi" w:hAnsiTheme="minorHAnsi" w:cstheme="minorHAnsi"/>
        </w:rPr>
        <w:t>Dillman</w:t>
      </w:r>
      <w:proofErr w:type="spellEnd"/>
      <w:r w:rsidRPr="00DC7FAC">
        <w:rPr>
          <w:rFonts w:asciiTheme="minorHAnsi" w:hAnsiTheme="minorHAnsi" w:cstheme="minorHAnsi"/>
        </w:rPr>
        <w:t xml:space="preserve"> (Boston Public Schools)</w:t>
      </w:r>
    </w:p>
    <w:p w14:paraId="6EF12391" w14:textId="5F0E0683" w:rsidR="00557510" w:rsidRPr="00DC7FAC" w:rsidRDefault="00557510" w:rsidP="00626393">
      <w:pPr>
        <w:pStyle w:val="ListParagraph"/>
        <w:numPr>
          <w:ilvl w:val="0"/>
          <w:numId w:val="14"/>
        </w:numPr>
        <w:spacing w:after="0"/>
        <w:rPr>
          <w:rFonts w:asciiTheme="minorHAnsi" w:hAnsiTheme="minorHAnsi" w:cstheme="minorHAnsi"/>
        </w:rPr>
      </w:pPr>
      <w:r w:rsidRPr="00DC7FAC">
        <w:rPr>
          <w:rFonts w:asciiTheme="minorHAnsi" w:hAnsiTheme="minorHAnsi" w:cstheme="minorHAnsi"/>
        </w:rPr>
        <w:t>Paul Foster (Springfield Public Schools)</w:t>
      </w:r>
    </w:p>
    <w:p w14:paraId="33EE6511" w14:textId="77777777" w:rsidR="00557510" w:rsidRPr="00072E3C" w:rsidRDefault="00557510" w:rsidP="00557510">
      <w:pPr>
        <w:pStyle w:val="ListParagraph"/>
        <w:numPr>
          <w:ilvl w:val="0"/>
          <w:numId w:val="14"/>
        </w:numPr>
        <w:spacing w:after="0"/>
        <w:rPr>
          <w:rFonts w:asciiTheme="minorHAnsi" w:hAnsiTheme="minorHAnsi" w:cstheme="minorHAnsi"/>
        </w:rPr>
      </w:pPr>
      <w:r w:rsidRPr="00072E3C">
        <w:rPr>
          <w:rFonts w:asciiTheme="minorHAnsi" w:hAnsiTheme="minorHAnsi" w:cstheme="minorHAnsi"/>
        </w:rPr>
        <w:t>Hope Hanscom</w:t>
      </w:r>
      <w:r>
        <w:rPr>
          <w:rFonts w:asciiTheme="minorHAnsi" w:hAnsiTheme="minorHAnsi" w:cstheme="minorHAnsi"/>
        </w:rPr>
        <w:t xml:space="preserve"> (Mashpee Public Schools)</w:t>
      </w:r>
    </w:p>
    <w:p w14:paraId="7E4D749A" w14:textId="77777777" w:rsidR="00DC7FAC" w:rsidRDefault="00557510" w:rsidP="00232F5D">
      <w:pPr>
        <w:pStyle w:val="ListParagraph"/>
        <w:numPr>
          <w:ilvl w:val="0"/>
          <w:numId w:val="14"/>
        </w:numPr>
        <w:spacing w:after="0"/>
        <w:rPr>
          <w:rFonts w:asciiTheme="minorHAnsi" w:hAnsiTheme="minorHAnsi" w:cstheme="minorHAnsi"/>
        </w:rPr>
      </w:pPr>
      <w:r w:rsidRPr="00DC7FAC">
        <w:rPr>
          <w:rFonts w:asciiTheme="minorHAnsi" w:hAnsiTheme="minorHAnsi" w:cstheme="minorHAnsi"/>
        </w:rPr>
        <w:t>Rebecca Kidwell (Braintree Public Schools)</w:t>
      </w:r>
    </w:p>
    <w:p w14:paraId="58F5583B" w14:textId="1287C998" w:rsidR="00557510" w:rsidRPr="00DC7FAC" w:rsidRDefault="00557510" w:rsidP="00232F5D">
      <w:pPr>
        <w:pStyle w:val="ListParagraph"/>
        <w:numPr>
          <w:ilvl w:val="0"/>
          <w:numId w:val="14"/>
        </w:numPr>
        <w:spacing w:after="0"/>
        <w:rPr>
          <w:rFonts w:asciiTheme="minorHAnsi" w:hAnsiTheme="minorHAnsi" w:cstheme="minorHAnsi"/>
        </w:rPr>
      </w:pPr>
      <w:r w:rsidRPr="00DC7FAC">
        <w:rPr>
          <w:rFonts w:asciiTheme="minorHAnsi" w:hAnsiTheme="minorHAnsi" w:cstheme="minorHAnsi"/>
        </w:rPr>
        <w:t xml:space="preserve">John </w:t>
      </w:r>
      <w:proofErr w:type="spellStart"/>
      <w:r w:rsidRPr="00DC7FAC">
        <w:rPr>
          <w:rFonts w:asciiTheme="minorHAnsi" w:hAnsiTheme="minorHAnsi" w:cstheme="minorHAnsi"/>
        </w:rPr>
        <w:t>Robidoux</w:t>
      </w:r>
      <w:proofErr w:type="spellEnd"/>
      <w:r w:rsidRPr="00DC7FAC">
        <w:rPr>
          <w:rFonts w:asciiTheme="minorHAnsi" w:hAnsiTheme="minorHAnsi" w:cstheme="minorHAnsi"/>
        </w:rPr>
        <w:t xml:space="preserve"> (Swansea Public Schools)</w:t>
      </w:r>
    </w:p>
    <w:p w14:paraId="5746AA52" w14:textId="77777777" w:rsidR="00557510" w:rsidRPr="00072E3C" w:rsidRDefault="00557510" w:rsidP="00557510">
      <w:pPr>
        <w:pStyle w:val="ListParagraph"/>
        <w:numPr>
          <w:ilvl w:val="0"/>
          <w:numId w:val="14"/>
        </w:numPr>
        <w:spacing w:after="0"/>
        <w:rPr>
          <w:rFonts w:asciiTheme="minorHAnsi" w:hAnsiTheme="minorHAnsi" w:cstheme="minorHAnsi"/>
        </w:rPr>
      </w:pPr>
      <w:r w:rsidRPr="00072E3C">
        <w:rPr>
          <w:rFonts w:asciiTheme="minorHAnsi" w:hAnsiTheme="minorHAnsi" w:cstheme="minorHAnsi"/>
        </w:rPr>
        <w:t>Geoff Rose</w:t>
      </w:r>
      <w:r>
        <w:rPr>
          <w:rFonts w:asciiTheme="minorHAnsi" w:hAnsiTheme="minorHAnsi" w:cstheme="minorHAnsi"/>
        </w:rPr>
        <w:t xml:space="preserve"> (Oliver Hazard Perry K-8 School, Boston)</w:t>
      </w:r>
    </w:p>
    <w:p w14:paraId="4D00F24A" w14:textId="77777777" w:rsidR="00557510" w:rsidRPr="00072E3C" w:rsidRDefault="00557510" w:rsidP="00557510">
      <w:pPr>
        <w:pStyle w:val="ListParagraph"/>
        <w:numPr>
          <w:ilvl w:val="0"/>
          <w:numId w:val="14"/>
        </w:numPr>
        <w:spacing w:after="0"/>
        <w:rPr>
          <w:rFonts w:asciiTheme="minorHAnsi" w:hAnsiTheme="minorHAnsi" w:cstheme="minorHAnsi"/>
        </w:rPr>
      </w:pPr>
      <w:r w:rsidRPr="00072E3C">
        <w:rPr>
          <w:rFonts w:asciiTheme="minorHAnsi" w:hAnsiTheme="minorHAnsi" w:cstheme="minorHAnsi"/>
        </w:rPr>
        <w:t>Michael Rubin</w:t>
      </w:r>
      <w:r>
        <w:rPr>
          <w:rFonts w:asciiTheme="minorHAnsi" w:hAnsiTheme="minorHAnsi" w:cstheme="minorHAnsi"/>
        </w:rPr>
        <w:t xml:space="preserve"> (Uxbridge High School)</w:t>
      </w:r>
      <w:r>
        <w:rPr>
          <w:rFonts w:asciiTheme="minorHAnsi" w:hAnsiTheme="minorHAnsi" w:cstheme="minorHAnsi"/>
        </w:rPr>
        <w:tab/>
      </w:r>
    </w:p>
    <w:p w14:paraId="20CB3538" w14:textId="77777777" w:rsidR="00DC7FAC" w:rsidRDefault="00DC7FAC">
      <w:pPr>
        <w:spacing w:after="160" w:line="259" w:lineRule="auto"/>
        <w:rPr>
          <w:rFonts w:asciiTheme="minorHAnsi" w:hAnsiTheme="minorHAnsi" w:cstheme="minorHAnsi"/>
        </w:rPr>
        <w:sectPr w:rsidR="00DC7FAC" w:rsidSect="00DC7FAC">
          <w:type w:val="continuous"/>
          <w:pgSz w:w="15840" w:h="12240" w:orient="landscape"/>
          <w:pgMar w:top="1080" w:right="1080" w:bottom="1080" w:left="1080" w:header="720" w:footer="720" w:gutter="0"/>
          <w:cols w:num="3" w:space="720"/>
          <w:docGrid w:linePitch="360"/>
        </w:sectPr>
      </w:pPr>
    </w:p>
    <w:p w14:paraId="7B5117CD" w14:textId="3C338D94" w:rsidR="00072E3C" w:rsidRDefault="00072E3C">
      <w:pPr>
        <w:spacing w:after="160" w:line="259" w:lineRule="auto"/>
        <w:rPr>
          <w:rFonts w:asciiTheme="minorHAnsi" w:hAnsiTheme="minorHAnsi" w:cstheme="minorHAnsi"/>
        </w:rPr>
      </w:pPr>
    </w:p>
    <w:sectPr w:rsidR="00072E3C" w:rsidSect="00DC7FAC">
      <w:type w:val="continuous"/>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BFABA" w14:textId="77777777" w:rsidR="00145AD0" w:rsidRDefault="00145AD0" w:rsidP="000509CD">
      <w:pPr>
        <w:spacing w:after="0" w:line="240" w:lineRule="auto"/>
      </w:pPr>
      <w:r>
        <w:separator/>
      </w:r>
    </w:p>
  </w:endnote>
  <w:endnote w:type="continuationSeparator" w:id="0">
    <w:p w14:paraId="4C768C30" w14:textId="77777777" w:rsidR="00145AD0" w:rsidRDefault="00145AD0" w:rsidP="00050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3D0B1" w14:textId="7D5F70C5" w:rsidR="00CB4B24" w:rsidRDefault="00CB4B24" w:rsidP="000509CD">
    <w:pPr>
      <w:pStyle w:val="Footer"/>
      <w:jc w:val="right"/>
    </w:pPr>
    <w:r>
      <w:t xml:space="preserve">Massachusetts Department of Elementary and Secondary Education – Page </w:t>
    </w:r>
    <w:sdt>
      <w:sdtPr>
        <w:id w:val="44496377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81A59">
          <w:rPr>
            <w:noProof/>
          </w:rPr>
          <w:t>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B7204" w14:textId="598C050A" w:rsidR="00557510" w:rsidRDefault="00557510" w:rsidP="000509CD">
    <w:pPr>
      <w:pStyle w:val="Footer"/>
      <w:jc w:val="right"/>
    </w:pPr>
    <w:r>
      <w:t xml:space="preserve">Massachusetts Department of Elementary and Secondary Education – Page </w:t>
    </w:r>
    <w:sdt>
      <w:sdtPr>
        <w:id w:val="4704875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81A59">
          <w:rPr>
            <w:noProof/>
          </w:rPr>
          <w:t>3</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8DA9F" w14:textId="14F89872" w:rsidR="00557510" w:rsidRDefault="00557510" w:rsidP="000509CD">
    <w:pPr>
      <w:pStyle w:val="Footer"/>
      <w:jc w:val="right"/>
    </w:pPr>
    <w:r>
      <w:t xml:space="preserve">Massachusetts Department of Elementary and Secondary Education – Page </w:t>
    </w:r>
    <w:sdt>
      <w:sdtPr>
        <w:id w:val="-161350822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C7FAC">
          <w:rPr>
            <w:noProof/>
          </w:rPr>
          <w:t>4</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0AA7A" w14:textId="77777777" w:rsidR="00145AD0" w:rsidRDefault="00145AD0" w:rsidP="000509CD">
      <w:pPr>
        <w:spacing w:after="0" w:line="240" w:lineRule="auto"/>
      </w:pPr>
      <w:r>
        <w:separator/>
      </w:r>
    </w:p>
  </w:footnote>
  <w:footnote w:type="continuationSeparator" w:id="0">
    <w:p w14:paraId="05F5C652" w14:textId="77777777" w:rsidR="00145AD0" w:rsidRDefault="00145AD0" w:rsidP="00050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BED4E" w14:textId="77777777" w:rsidR="00557510" w:rsidRDefault="005575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2F23F" w14:textId="77777777" w:rsidR="00557510" w:rsidRDefault="005575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210F6"/>
    <w:multiLevelType w:val="hybridMultilevel"/>
    <w:tmpl w:val="C7E66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A26DC"/>
    <w:multiLevelType w:val="hybridMultilevel"/>
    <w:tmpl w:val="0468672A"/>
    <w:lvl w:ilvl="0" w:tplc="04090001">
      <w:start w:val="1"/>
      <w:numFmt w:val="bullet"/>
      <w:lvlText w:val=""/>
      <w:lvlJc w:val="left"/>
      <w:pPr>
        <w:ind w:left="78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D6D42"/>
    <w:multiLevelType w:val="hybridMultilevel"/>
    <w:tmpl w:val="B7AA6A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5476C5"/>
    <w:multiLevelType w:val="hybridMultilevel"/>
    <w:tmpl w:val="50B0D92E"/>
    <w:lvl w:ilvl="0" w:tplc="3D565D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C65976"/>
    <w:multiLevelType w:val="hybridMultilevel"/>
    <w:tmpl w:val="03900CFE"/>
    <w:lvl w:ilvl="0" w:tplc="26F618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815CAA"/>
    <w:multiLevelType w:val="hybridMultilevel"/>
    <w:tmpl w:val="6F904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32B45F9"/>
    <w:multiLevelType w:val="hybridMultilevel"/>
    <w:tmpl w:val="486A9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EB39FB"/>
    <w:multiLevelType w:val="hybridMultilevel"/>
    <w:tmpl w:val="A9B051A2"/>
    <w:lvl w:ilvl="0" w:tplc="02A6FA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0C5119"/>
    <w:multiLevelType w:val="hybridMultilevel"/>
    <w:tmpl w:val="ECE002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D433CD9"/>
    <w:multiLevelType w:val="hybridMultilevel"/>
    <w:tmpl w:val="D3CE1076"/>
    <w:lvl w:ilvl="0" w:tplc="3762F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61569B"/>
    <w:multiLevelType w:val="hybridMultilevel"/>
    <w:tmpl w:val="FA121C14"/>
    <w:lvl w:ilvl="0" w:tplc="7BAE6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A00884"/>
    <w:multiLevelType w:val="hybridMultilevel"/>
    <w:tmpl w:val="B08C7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7A2047"/>
    <w:multiLevelType w:val="hybridMultilevel"/>
    <w:tmpl w:val="CD722298"/>
    <w:lvl w:ilvl="0" w:tplc="163412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CA3F50"/>
    <w:multiLevelType w:val="hybridMultilevel"/>
    <w:tmpl w:val="CA06C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5F0E0B"/>
    <w:multiLevelType w:val="hybridMultilevel"/>
    <w:tmpl w:val="93FE19D4"/>
    <w:lvl w:ilvl="0" w:tplc="940E69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0D6ADA"/>
    <w:multiLevelType w:val="hybridMultilevel"/>
    <w:tmpl w:val="106C58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5"/>
  </w:num>
  <w:num w:numId="3">
    <w:abstractNumId w:val="1"/>
  </w:num>
  <w:num w:numId="4">
    <w:abstractNumId w:val="9"/>
  </w:num>
  <w:num w:numId="5">
    <w:abstractNumId w:val="10"/>
  </w:num>
  <w:num w:numId="6">
    <w:abstractNumId w:val="3"/>
  </w:num>
  <w:num w:numId="7">
    <w:abstractNumId w:val="12"/>
  </w:num>
  <w:num w:numId="8">
    <w:abstractNumId w:val="11"/>
  </w:num>
  <w:num w:numId="9">
    <w:abstractNumId w:val="5"/>
  </w:num>
  <w:num w:numId="10">
    <w:abstractNumId w:val="2"/>
  </w:num>
  <w:num w:numId="11">
    <w:abstractNumId w:val="4"/>
  </w:num>
  <w:num w:numId="12">
    <w:abstractNumId w:val="7"/>
  </w:num>
  <w:num w:numId="13">
    <w:abstractNumId w:val="14"/>
  </w:num>
  <w:num w:numId="14">
    <w:abstractNumId w:val="8"/>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ABD"/>
    <w:rsid w:val="000002CE"/>
    <w:rsid w:val="0000589B"/>
    <w:rsid w:val="000076E0"/>
    <w:rsid w:val="00010700"/>
    <w:rsid w:val="000509CD"/>
    <w:rsid w:val="00072E3C"/>
    <w:rsid w:val="00081017"/>
    <w:rsid w:val="000918F0"/>
    <w:rsid w:val="000A6772"/>
    <w:rsid w:val="000B40D1"/>
    <w:rsid w:val="000C19D4"/>
    <w:rsid w:val="000C5016"/>
    <w:rsid w:val="000E7AF7"/>
    <w:rsid w:val="00105C54"/>
    <w:rsid w:val="00124AC0"/>
    <w:rsid w:val="0013449D"/>
    <w:rsid w:val="00145AD0"/>
    <w:rsid w:val="00150140"/>
    <w:rsid w:val="0015393B"/>
    <w:rsid w:val="0015526E"/>
    <w:rsid w:val="001676B0"/>
    <w:rsid w:val="00173C28"/>
    <w:rsid w:val="00176481"/>
    <w:rsid w:val="001A0DBD"/>
    <w:rsid w:val="001A6928"/>
    <w:rsid w:val="001A7FD2"/>
    <w:rsid w:val="001C5A6D"/>
    <w:rsid w:val="001F4836"/>
    <w:rsid w:val="00211F12"/>
    <w:rsid w:val="00214715"/>
    <w:rsid w:val="00232FA3"/>
    <w:rsid w:val="00236CD4"/>
    <w:rsid w:val="00263C52"/>
    <w:rsid w:val="00265A7B"/>
    <w:rsid w:val="00265B96"/>
    <w:rsid w:val="00295CE1"/>
    <w:rsid w:val="00296355"/>
    <w:rsid w:val="002A01D1"/>
    <w:rsid w:val="002B4D54"/>
    <w:rsid w:val="002D50E0"/>
    <w:rsid w:val="002E757D"/>
    <w:rsid w:val="00312E58"/>
    <w:rsid w:val="003140A3"/>
    <w:rsid w:val="00314EF2"/>
    <w:rsid w:val="0033725C"/>
    <w:rsid w:val="003608CE"/>
    <w:rsid w:val="00390261"/>
    <w:rsid w:val="003903A8"/>
    <w:rsid w:val="003D0E6E"/>
    <w:rsid w:val="003D6EAB"/>
    <w:rsid w:val="003E2161"/>
    <w:rsid w:val="003E4BEA"/>
    <w:rsid w:val="003F0660"/>
    <w:rsid w:val="003F2D61"/>
    <w:rsid w:val="0040334B"/>
    <w:rsid w:val="004106C2"/>
    <w:rsid w:val="00411D82"/>
    <w:rsid w:val="00430222"/>
    <w:rsid w:val="00437625"/>
    <w:rsid w:val="004409DE"/>
    <w:rsid w:val="00470EDB"/>
    <w:rsid w:val="004A3EEE"/>
    <w:rsid w:val="004A4A13"/>
    <w:rsid w:val="004C41CB"/>
    <w:rsid w:val="00506FA3"/>
    <w:rsid w:val="00526274"/>
    <w:rsid w:val="005361E4"/>
    <w:rsid w:val="0054265F"/>
    <w:rsid w:val="00557510"/>
    <w:rsid w:val="00572896"/>
    <w:rsid w:val="0058383D"/>
    <w:rsid w:val="0058549C"/>
    <w:rsid w:val="005C0759"/>
    <w:rsid w:val="005C56C2"/>
    <w:rsid w:val="005D68F8"/>
    <w:rsid w:val="005E11D8"/>
    <w:rsid w:val="005F3EF1"/>
    <w:rsid w:val="00603947"/>
    <w:rsid w:val="00622793"/>
    <w:rsid w:val="00627B9E"/>
    <w:rsid w:val="00635991"/>
    <w:rsid w:val="0064218A"/>
    <w:rsid w:val="006510A8"/>
    <w:rsid w:val="00676D04"/>
    <w:rsid w:val="006A1766"/>
    <w:rsid w:val="006B49FF"/>
    <w:rsid w:val="006B7020"/>
    <w:rsid w:val="006C0130"/>
    <w:rsid w:val="006C47FB"/>
    <w:rsid w:val="006D6495"/>
    <w:rsid w:val="006E3BBB"/>
    <w:rsid w:val="007002F6"/>
    <w:rsid w:val="00704CCB"/>
    <w:rsid w:val="007157A2"/>
    <w:rsid w:val="00720A99"/>
    <w:rsid w:val="007310B4"/>
    <w:rsid w:val="007367C9"/>
    <w:rsid w:val="0074039E"/>
    <w:rsid w:val="007434F4"/>
    <w:rsid w:val="007575BE"/>
    <w:rsid w:val="00763D7B"/>
    <w:rsid w:val="00770B68"/>
    <w:rsid w:val="00777324"/>
    <w:rsid w:val="00781A59"/>
    <w:rsid w:val="007978FD"/>
    <w:rsid w:val="007D0E5A"/>
    <w:rsid w:val="00802580"/>
    <w:rsid w:val="00821621"/>
    <w:rsid w:val="00832B86"/>
    <w:rsid w:val="00845345"/>
    <w:rsid w:val="00845487"/>
    <w:rsid w:val="00852990"/>
    <w:rsid w:val="0086055E"/>
    <w:rsid w:val="00862930"/>
    <w:rsid w:val="00865D61"/>
    <w:rsid w:val="00867C6C"/>
    <w:rsid w:val="00873B06"/>
    <w:rsid w:val="00893EFF"/>
    <w:rsid w:val="008945AF"/>
    <w:rsid w:val="00895998"/>
    <w:rsid w:val="008C5738"/>
    <w:rsid w:val="00926DF2"/>
    <w:rsid w:val="00932656"/>
    <w:rsid w:val="00951D70"/>
    <w:rsid w:val="009617BA"/>
    <w:rsid w:val="00992AFE"/>
    <w:rsid w:val="009B530C"/>
    <w:rsid w:val="009C429F"/>
    <w:rsid w:val="009C5A78"/>
    <w:rsid w:val="009F7B1D"/>
    <w:rsid w:val="00A127DC"/>
    <w:rsid w:val="00A22006"/>
    <w:rsid w:val="00A45267"/>
    <w:rsid w:val="00A4555E"/>
    <w:rsid w:val="00A46AA3"/>
    <w:rsid w:val="00A57504"/>
    <w:rsid w:val="00A621A1"/>
    <w:rsid w:val="00A66CD9"/>
    <w:rsid w:val="00A67B24"/>
    <w:rsid w:val="00A84447"/>
    <w:rsid w:val="00A86186"/>
    <w:rsid w:val="00A86FF4"/>
    <w:rsid w:val="00A94871"/>
    <w:rsid w:val="00AC357D"/>
    <w:rsid w:val="00AF0815"/>
    <w:rsid w:val="00AF5FC6"/>
    <w:rsid w:val="00B34954"/>
    <w:rsid w:val="00B36D24"/>
    <w:rsid w:val="00B40E73"/>
    <w:rsid w:val="00B503C7"/>
    <w:rsid w:val="00B50AEC"/>
    <w:rsid w:val="00B52739"/>
    <w:rsid w:val="00B936EE"/>
    <w:rsid w:val="00B9406D"/>
    <w:rsid w:val="00BA0AE5"/>
    <w:rsid w:val="00BC0622"/>
    <w:rsid w:val="00BD358A"/>
    <w:rsid w:val="00BD38EE"/>
    <w:rsid w:val="00BD5148"/>
    <w:rsid w:val="00BE714E"/>
    <w:rsid w:val="00BF12D4"/>
    <w:rsid w:val="00C472F1"/>
    <w:rsid w:val="00C54933"/>
    <w:rsid w:val="00C628C0"/>
    <w:rsid w:val="00C63D24"/>
    <w:rsid w:val="00C72D67"/>
    <w:rsid w:val="00C77A46"/>
    <w:rsid w:val="00C95ABD"/>
    <w:rsid w:val="00CA61F8"/>
    <w:rsid w:val="00CB4B24"/>
    <w:rsid w:val="00CB7AD5"/>
    <w:rsid w:val="00CD1570"/>
    <w:rsid w:val="00CE2F0B"/>
    <w:rsid w:val="00CE57CE"/>
    <w:rsid w:val="00CE5A7C"/>
    <w:rsid w:val="00CF74EB"/>
    <w:rsid w:val="00D0291A"/>
    <w:rsid w:val="00D17315"/>
    <w:rsid w:val="00D22122"/>
    <w:rsid w:val="00D4406C"/>
    <w:rsid w:val="00D70A18"/>
    <w:rsid w:val="00D70EFE"/>
    <w:rsid w:val="00D81CCB"/>
    <w:rsid w:val="00D94F82"/>
    <w:rsid w:val="00DA6324"/>
    <w:rsid w:val="00DB1426"/>
    <w:rsid w:val="00DC7FAC"/>
    <w:rsid w:val="00DD75AC"/>
    <w:rsid w:val="00DF6718"/>
    <w:rsid w:val="00E03CA2"/>
    <w:rsid w:val="00E152C5"/>
    <w:rsid w:val="00E232E6"/>
    <w:rsid w:val="00E240B6"/>
    <w:rsid w:val="00E25ECB"/>
    <w:rsid w:val="00E359BD"/>
    <w:rsid w:val="00E429E8"/>
    <w:rsid w:val="00E46154"/>
    <w:rsid w:val="00E627CC"/>
    <w:rsid w:val="00E869B5"/>
    <w:rsid w:val="00E9044D"/>
    <w:rsid w:val="00EA14F6"/>
    <w:rsid w:val="00EA7D21"/>
    <w:rsid w:val="00EC042C"/>
    <w:rsid w:val="00EC596B"/>
    <w:rsid w:val="00EC5B84"/>
    <w:rsid w:val="00EC77CB"/>
    <w:rsid w:val="00ED0DD1"/>
    <w:rsid w:val="00ED188D"/>
    <w:rsid w:val="00EF28AB"/>
    <w:rsid w:val="00F0404E"/>
    <w:rsid w:val="00F064B9"/>
    <w:rsid w:val="00F0682F"/>
    <w:rsid w:val="00F4242A"/>
    <w:rsid w:val="00FA00DE"/>
    <w:rsid w:val="00FB28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661D4"/>
  <w15:chartTrackingRefBased/>
  <w15:docId w15:val="{EE8C10AF-3B9D-400C-AFEA-B20E7E039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5ABD"/>
    <w:pPr>
      <w:spacing w:after="200" w:line="276" w:lineRule="auto"/>
    </w:pPr>
  </w:style>
  <w:style w:type="paragraph" w:styleId="Heading1">
    <w:name w:val="heading 1"/>
    <w:basedOn w:val="Normal"/>
    <w:next w:val="Normal"/>
    <w:link w:val="Heading1Char"/>
    <w:uiPriority w:val="9"/>
    <w:qFormat/>
    <w:rsid w:val="00DC7FAC"/>
    <w:pPr>
      <w:outlineLvl w:val="0"/>
    </w:pPr>
    <w:rPr>
      <w:rFonts w:asciiTheme="minorHAnsi" w:hAnsiTheme="minorHAnsi" w:cs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link w:val="ColorfulList-Accent1Char"/>
    <w:uiPriority w:val="34"/>
    <w:qFormat/>
    <w:rsid w:val="00C95ABD"/>
    <w:pPr>
      <w:ind w:left="720"/>
      <w:contextualSpacing/>
    </w:pPr>
  </w:style>
  <w:style w:type="character" w:customStyle="1" w:styleId="ColorfulList-Accent1Char">
    <w:name w:val="Colorful List - Accent 1 Char"/>
    <w:link w:val="ColorfulList-Accent11"/>
    <w:uiPriority w:val="34"/>
    <w:rsid w:val="00C95ABD"/>
    <w:rPr>
      <w:rFonts w:ascii="Cambria" w:eastAsia="Cambria" w:hAnsi="Cambria" w:cs="Times New Roman"/>
    </w:rPr>
  </w:style>
  <w:style w:type="table" w:styleId="TableGrid">
    <w:name w:val="Table Grid"/>
    <w:basedOn w:val="TableNormal"/>
    <w:uiPriority w:val="39"/>
    <w:rsid w:val="00C95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C7FAC"/>
    <w:pPr>
      <w:pBdr>
        <w:bottom w:val="single" w:sz="4" w:space="1" w:color="auto"/>
      </w:pBdr>
      <w:spacing w:after="240"/>
      <w:contextualSpacing/>
    </w:pPr>
    <w:rPr>
      <w:rFonts w:asciiTheme="minorHAnsi" w:eastAsiaTheme="majorEastAsia" w:hAnsiTheme="minorHAnsi" w:cstheme="minorHAnsi"/>
      <w:spacing w:val="-10"/>
      <w:kern w:val="28"/>
      <w:sz w:val="32"/>
      <w:szCs w:val="56"/>
    </w:rPr>
  </w:style>
  <w:style w:type="character" w:customStyle="1" w:styleId="TitleChar">
    <w:name w:val="Title Char"/>
    <w:basedOn w:val="DefaultParagraphFont"/>
    <w:link w:val="Title"/>
    <w:uiPriority w:val="10"/>
    <w:rsid w:val="00DC7FAC"/>
    <w:rPr>
      <w:rFonts w:asciiTheme="minorHAnsi" w:eastAsiaTheme="majorEastAsia" w:hAnsiTheme="minorHAnsi" w:cstheme="minorHAnsi"/>
      <w:spacing w:val="-10"/>
      <w:kern w:val="28"/>
      <w:sz w:val="32"/>
      <w:szCs w:val="56"/>
    </w:rPr>
  </w:style>
  <w:style w:type="paragraph" w:styleId="BalloonText">
    <w:name w:val="Balloon Text"/>
    <w:basedOn w:val="Normal"/>
    <w:link w:val="BalloonTextChar"/>
    <w:uiPriority w:val="99"/>
    <w:semiHidden/>
    <w:unhideWhenUsed/>
    <w:rsid w:val="00926D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DF2"/>
    <w:rPr>
      <w:rFonts w:ascii="Segoe UI" w:hAnsi="Segoe UI" w:cs="Segoe UI"/>
      <w:sz w:val="18"/>
      <w:szCs w:val="18"/>
    </w:rPr>
  </w:style>
  <w:style w:type="paragraph" w:styleId="ListParagraph">
    <w:name w:val="List Paragraph"/>
    <w:basedOn w:val="Normal"/>
    <w:uiPriority w:val="34"/>
    <w:qFormat/>
    <w:rsid w:val="00926DF2"/>
    <w:pPr>
      <w:ind w:left="720"/>
      <w:contextualSpacing/>
    </w:pPr>
  </w:style>
  <w:style w:type="character" w:customStyle="1" w:styleId="bold1">
    <w:name w:val="bold1"/>
    <w:basedOn w:val="DefaultParagraphFont"/>
    <w:rsid w:val="002A01D1"/>
    <w:rPr>
      <w:b/>
      <w:bCs/>
    </w:rPr>
  </w:style>
  <w:style w:type="character" w:styleId="Hyperlink">
    <w:name w:val="Hyperlink"/>
    <w:basedOn w:val="DefaultParagraphFont"/>
    <w:uiPriority w:val="99"/>
    <w:unhideWhenUsed/>
    <w:rsid w:val="00DF6718"/>
    <w:rPr>
      <w:color w:val="0563C1" w:themeColor="hyperlink"/>
      <w:u w:val="single"/>
    </w:rPr>
  </w:style>
  <w:style w:type="paragraph" w:styleId="Header">
    <w:name w:val="header"/>
    <w:basedOn w:val="Normal"/>
    <w:link w:val="HeaderChar"/>
    <w:uiPriority w:val="99"/>
    <w:unhideWhenUsed/>
    <w:rsid w:val="00050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9CD"/>
  </w:style>
  <w:style w:type="paragraph" w:styleId="Footer">
    <w:name w:val="footer"/>
    <w:basedOn w:val="Normal"/>
    <w:link w:val="FooterChar"/>
    <w:uiPriority w:val="99"/>
    <w:unhideWhenUsed/>
    <w:rsid w:val="00050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9CD"/>
  </w:style>
  <w:style w:type="paragraph" w:styleId="NoSpacing">
    <w:name w:val="No Spacing"/>
    <w:uiPriority w:val="1"/>
    <w:qFormat/>
    <w:rsid w:val="00E25ECB"/>
    <w:pPr>
      <w:spacing w:after="0" w:line="240" w:lineRule="auto"/>
    </w:pPr>
    <w:rPr>
      <w:rFonts w:asciiTheme="minorHAnsi" w:hAnsiTheme="minorHAnsi"/>
    </w:rPr>
  </w:style>
  <w:style w:type="character" w:styleId="CommentReference">
    <w:name w:val="annotation reference"/>
    <w:basedOn w:val="DefaultParagraphFont"/>
    <w:uiPriority w:val="99"/>
    <w:semiHidden/>
    <w:unhideWhenUsed/>
    <w:rsid w:val="00802580"/>
    <w:rPr>
      <w:sz w:val="16"/>
      <w:szCs w:val="16"/>
    </w:rPr>
  </w:style>
  <w:style w:type="paragraph" w:styleId="CommentText">
    <w:name w:val="annotation text"/>
    <w:basedOn w:val="Normal"/>
    <w:link w:val="CommentTextChar"/>
    <w:uiPriority w:val="99"/>
    <w:unhideWhenUsed/>
    <w:rsid w:val="00802580"/>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802580"/>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EF28AB"/>
    <w:rPr>
      <w:rFonts w:ascii="Calibri" w:hAnsi="Calibri"/>
      <w:b/>
      <w:bCs/>
    </w:rPr>
  </w:style>
  <w:style w:type="character" w:customStyle="1" w:styleId="CommentSubjectChar">
    <w:name w:val="Comment Subject Char"/>
    <w:basedOn w:val="CommentTextChar"/>
    <w:link w:val="CommentSubject"/>
    <w:uiPriority w:val="99"/>
    <w:semiHidden/>
    <w:rsid w:val="00EF28AB"/>
    <w:rPr>
      <w:rFonts w:asciiTheme="minorHAnsi" w:hAnsiTheme="minorHAnsi"/>
      <w:b/>
      <w:bCs/>
      <w:sz w:val="20"/>
      <w:szCs w:val="20"/>
    </w:rPr>
  </w:style>
  <w:style w:type="character" w:styleId="FollowedHyperlink">
    <w:name w:val="FollowedHyperlink"/>
    <w:basedOn w:val="DefaultParagraphFont"/>
    <w:uiPriority w:val="99"/>
    <w:semiHidden/>
    <w:unhideWhenUsed/>
    <w:rsid w:val="00B34954"/>
    <w:rPr>
      <w:color w:val="954F72" w:themeColor="followedHyperlink"/>
      <w:u w:val="single"/>
    </w:rPr>
  </w:style>
  <w:style w:type="character" w:customStyle="1" w:styleId="Heading1Char">
    <w:name w:val="Heading 1 Char"/>
    <w:basedOn w:val="DefaultParagraphFont"/>
    <w:link w:val="Heading1"/>
    <w:uiPriority w:val="9"/>
    <w:rsid w:val="00DC7FAC"/>
    <w:rPr>
      <w:rFonts w:asciiTheme="minorHAnsi" w:hAnsiTheme="minorHAns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accountability/advanced-courses.doc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oe.mass.edu/infoservices/data/sims/reporting-guidance.docx"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jstor.org/stable/2112677?seq=1"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ep.lse.ac.uk/pubs/download/dp1302.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DESE-231-52253</_dlc_DocId>
    <_dlc_DocIdUrl xmlns="733efe1c-5bbe-4968-87dc-d400e65c879f">
      <Url>https://sharepoint.doemass.org/ese/webteam/cps/_layouts/DocIdRedir.aspx?ID=DESE-231-52253</Url>
      <Description>DESE-231-52253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2D622-D352-4133-A95F-B8F62A759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C1606-4C6E-4BEF-8B4E-C00C36C6C0CE}">
  <ds:schemaRefs>
    <ds:schemaRef ds:uri="http://schemas.microsoft.com/sharepoint/events"/>
  </ds:schemaRefs>
</ds:datastoreItem>
</file>

<file path=customXml/itemProps3.xml><?xml version="1.0" encoding="utf-8"?>
<ds:datastoreItem xmlns:ds="http://schemas.openxmlformats.org/officeDocument/2006/customXml" ds:itemID="{ABAA0D69-0793-42CE-8DE4-A231A84A97FB}">
  <ds:schemaRefs>
    <ds:schemaRef ds:uri="http://schemas.microsoft.com/sharepoint/v3/contenttype/forms"/>
  </ds:schemaRefs>
</ds:datastoreItem>
</file>

<file path=customXml/itemProps4.xml><?xml version="1.0" encoding="utf-8"?>
<ds:datastoreItem xmlns:ds="http://schemas.openxmlformats.org/officeDocument/2006/customXml" ds:itemID="{C3C9E5FC-8123-4BAC-914C-B47AB733473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FE199EC3-8FF5-4067-B18E-6291F91F1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Summary of public comment on proposed changes to accountability system - June 2019</vt:lpstr>
    </vt:vector>
  </TitlesOfParts>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public comment on proposed changes to accountability system - June 2019</dc:title>
  <dc:subject/>
  <dc:creator>DESE</dc:creator>
  <cp:keywords/>
  <dc:description/>
  <cp:lastModifiedBy>Zou, Dong (EOE)</cp:lastModifiedBy>
  <cp:revision>19</cp:revision>
  <dcterms:created xsi:type="dcterms:W3CDTF">2019-06-12T17:53:00Z</dcterms:created>
  <dcterms:modified xsi:type="dcterms:W3CDTF">2019-06-18T16:04:00Z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18 2019</vt:lpwstr>
  </property>
</Properties>
</file>