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9AD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0207B9A" wp14:editId="5932BEB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B1D231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7D7D0B2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ACBC21C" wp14:editId="471D6F8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4551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1D6DFE1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FB90EB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9759CC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035EC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500D520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073A00F" w14:textId="77777777">
        <w:tc>
          <w:tcPr>
            <w:tcW w:w="2988" w:type="dxa"/>
          </w:tcPr>
          <w:p w14:paraId="2A1052B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4252E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E74587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D02176" w14:textId="77777777" w:rsidR="00A20194" w:rsidRDefault="00A20194">
      <w:pPr>
        <w:rPr>
          <w:rFonts w:ascii="Arial" w:hAnsi="Arial"/>
          <w:i/>
          <w:sz w:val="18"/>
        </w:rPr>
      </w:pPr>
    </w:p>
    <w:p w14:paraId="51A086A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CF47F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CF47FC">
        <w:rPr>
          <w:szCs w:val="24"/>
        </w:rPr>
        <w:t>MEMORANDUM</w:t>
      </w:r>
    </w:p>
    <w:p w14:paraId="54328991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31D452C6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3"/>
        <w:gridCol w:w="8177"/>
      </w:tblGrid>
      <w:tr w:rsidR="007C3CD1" w:rsidRPr="00C035EC" w14:paraId="0439E8EF" w14:textId="77777777" w:rsidTr="00C61153">
        <w:tc>
          <w:tcPr>
            <w:tcW w:w="1188" w:type="dxa"/>
          </w:tcPr>
          <w:p w14:paraId="39783A44" w14:textId="77777777" w:rsidR="007C3CD1" w:rsidRPr="00C035EC" w:rsidRDefault="007C3CD1" w:rsidP="00C61153">
            <w:pPr>
              <w:rPr>
                <w:b/>
                <w:sz w:val="23"/>
                <w:szCs w:val="23"/>
              </w:rPr>
            </w:pPr>
            <w:r w:rsidRPr="00C035EC">
              <w:rPr>
                <w:b/>
                <w:sz w:val="23"/>
                <w:szCs w:val="23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C035EC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 w:val="23"/>
                <w:szCs w:val="23"/>
              </w:rPr>
            </w:pPr>
            <w:r w:rsidRPr="00C035EC">
              <w:rPr>
                <w:bCs/>
                <w:snapToGrid w:val="0"/>
                <w:sz w:val="23"/>
                <w:szCs w:val="23"/>
              </w:rPr>
              <w:t>Members of the Board of Elementary and Secondary Education</w:t>
            </w:r>
          </w:p>
        </w:tc>
      </w:tr>
      <w:tr w:rsidR="007C3CD1" w:rsidRPr="00C035EC" w14:paraId="7E93783B" w14:textId="77777777" w:rsidTr="00C61153">
        <w:tc>
          <w:tcPr>
            <w:tcW w:w="1188" w:type="dxa"/>
          </w:tcPr>
          <w:p w14:paraId="3CA9C841" w14:textId="77777777" w:rsidR="007C3CD1" w:rsidRPr="00C035EC" w:rsidRDefault="007C3CD1" w:rsidP="00C61153">
            <w:pPr>
              <w:rPr>
                <w:b/>
                <w:sz w:val="23"/>
                <w:szCs w:val="23"/>
              </w:rPr>
            </w:pPr>
            <w:r w:rsidRPr="00C035EC">
              <w:rPr>
                <w:b/>
                <w:sz w:val="23"/>
                <w:szCs w:val="23"/>
              </w:rPr>
              <w:t>From:</w:t>
            </w:r>
            <w:r w:rsidRPr="00C035EC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58743EA0" w14:textId="58112EE1" w:rsidR="006B532E" w:rsidRPr="00C035EC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 w:val="23"/>
                <w:szCs w:val="23"/>
              </w:rPr>
            </w:pPr>
            <w:r w:rsidRPr="00C035EC">
              <w:rPr>
                <w:bCs/>
                <w:snapToGrid w:val="0"/>
                <w:sz w:val="23"/>
                <w:szCs w:val="23"/>
              </w:rPr>
              <w:t>Jeffrey C. Riley, Commissioner</w:t>
            </w:r>
          </w:p>
        </w:tc>
      </w:tr>
      <w:tr w:rsidR="007C3CD1" w:rsidRPr="00C035EC" w14:paraId="5C604728" w14:textId="77777777" w:rsidTr="00C61153">
        <w:tc>
          <w:tcPr>
            <w:tcW w:w="1188" w:type="dxa"/>
          </w:tcPr>
          <w:p w14:paraId="7A787627" w14:textId="77777777" w:rsidR="007C3CD1" w:rsidRPr="00C035EC" w:rsidRDefault="007C3CD1" w:rsidP="00C61153">
            <w:pPr>
              <w:rPr>
                <w:b/>
                <w:sz w:val="23"/>
                <w:szCs w:val="23"/>
              </w:rPr>
            </w:pPr>
            <w:r w:rsidRPr="00C035EC">
              <w:rPr>
                <w:b/>
                <w:sz w:val="23"/>
                <w:szCs w:val="23"/>
              </w:rPr>
              <w:t>Date:</w:t>
            </w:r>
            <w:r w:rsidRPr="00C035EC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7A59A6C8" w14:textId="77777777" w:rsidR="007C3CD1" w:rsidRPr="00C035EC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 w:val="23"/>
                <w:szCs w:val="23"/>
              </w:rPr>
            </w:pPr>
            <w:r w:rsidRPr="00C035EC">
              <w:rPr>
                <w:bCs/>
                <w:snapToGrid w:val="0"/>
                <w:sz w:val="23"/>
                <w:szCs w:val="23"/>
              </w:rPr>
              <w:t>December 6, 2019</w:t>
            </w:r>
          </w:p>
        </w:tc>
      </w:tr>
      <w:tr w:rsidR="007C3CD1" w:rsidRPr="00C035EC" w14:paraId="0E3628C1" w14:textId="77777777" w:rsidTr="00C61153">
        <w:tc>
          <w:tcPr>
            <w:tcW w:w="1188" w:type="dxa"/>
          </w:tcPr>
          <w:p w14:paraId="7496B726" w14:textId="77777777" w:rsidR="007C3CD1" w:rsidRPr="00C035EC" w:rsidRDefault="007C3CD1" w:rsidP="00C61153">
            <w:pPr>
              <w:rPr>
                <w:b/>
                <w:sz w:val="23"/>
                <w:szCs w:val="23"/>
              </w:rPr>
            </w:pPr>
            <w:r w:rsidRPr="00C035EC">
              <w:rPr>
                <w:b/>
                <w:sz w:val="23"/>
                <w:szCs w:val="23"/>
              </w:rPr>
              <w:t>Subject:</w:t>
            </w:r>
          </w:p>
        </w:tc>
        <w:tc>
          <w:tcPr>
            <w:tcW w:w="8388" w:type="dxa"/>
          </w:tcPr>
          <w:p w14:paraId="54FD230A" w14:textId="77777777" w:rsidR="007C3CD1" w:rsidRPr="00C035EC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 w:val="23"/>
                <w:szCs w:val="23"/>
              </w:rPr>
            </w:pPr>
            <w:r w:rsidRPr="00C035EC">
              <w:rPr>
                <w:sz w:val="23"/>
                <w:szCs w:val="23"/>
              </w:rPr>
              <w:t>The Student Opportunity Act</w:t>
            </w:r>
          </w:p>
        </w:tc>
      </w:tr>
    </w:tbl>
    <w:p w14:paraId="4EC619BA" w14:textId="77777777" w:rsidR="007C3CD1" w:rsidRPr="00C035EC" w:rsidRDefault="007C3CD1" w:rsidP="007C3CD1">
      <w:pPr>
        <w:pBdr>
          <w:bottom w:val="single" w:sz="4" w:space="1" w:color="auto"/>
        </w:pBdr>
        <w:rPr>
          <w:sz w:val="23"/>
          <w:szCs w:val="23"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20D5D574" w14:textId="77777777" w:rsidR="007C3CD1" w:rsidRPr="00C035EC" w:rsidRDefault="007C3CD1" w:rsidP="007C3CD1">
      <w:pPr>
        <w:rPr>
          <w:sz w:val="23"/>
          <w:szCs w:val="23"/>
        </w:rPr>
        <w:sectPr w:rsidR="007C3CD1" w:rsidRPr="00C035E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C035EC" w:rsidRDefault="007C3CD1" w:rsidP="007C3CD1">
      <w:pPr>
        <w:rPr>
          <w:sz w:val="23"/>
          <w:szCs w:val="23"/>
        </w:rPr>
      </w:pPr>
    </w:p>
    <w:p w14:paraId="0249040B" w14:textId="77777777" w:rsidR="00180489" w:rsidRPr="00C035EC" w:rsidRDefault="00180489" w:rsidP="00180489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On November 26, 2019, Governor Baker signed into law the Student Opportunity Act (St. 2019, c.132</w:t>
      </w:r>
      <w:r w:rsidR="00C74CD3" w:rsidRPr="00C035EC">
        <w:rPr>
          <w:sz w:val="23"/>
          <w:szCs w:val="23"/>
        </w:rPr>
        <w:t>; copy enclosed</w:t>
      </w:r>
      <w:r w:rsidRPr="00C035EC">
        <w:rPr>
          <w:sz w:val="23"/>
          <w:szCs w:val="23"/>
        </w:rPr>
        <w:t xml:space="preserve">). </w:t>
      </w:r>
      <w:r w:rsidR="0015761B" w:rsidRPr="00C035EC">
        <w:rPr>
          <w:sz w:val="23"/>
          <w:szCs w:val="23"/>
        </w:rPr>
        <w:t>This landmark legislation is based on the recommendations of the 2015 Foundation Budget Review Commission</w:t>
      </w:r>
      <w:r w:rsidR="0048493C" w:rsidRPr="00C035EC">
        <w:rPr>
          <w:sz w:val="23"/>
          <w:szCs w:val="23"/>
        </w:rPr>
        <w:t xml:space="preserve"> (FBRC)</w:t>
      </w:r>
      <w:r w:rsidR="0015761B" w:rsidRPr="00C035EC">
        <w:rPr>
          <w:sz w:val="23"/>
          <w:szCs w:val="23"/>
        </w:rPr>
        <w:t xml:space="preserve">. When fully implemented over the next seven years, it will provide a significant infusion of new funds to our public schools. </w:t>
      </w:r>
      <w:r w:rsidR="0048493C" w:rsidRPr="00C035EC">
        <w:rPr>
          <w:sz w:val="23"/>
          <w:szCs w:val="23"/>
        </w:rPr>
        <w:t>It gives us the opportunity to make real progress in closing persistent achievement gaps and ensuring that all of our students have an opportunity to succeed.</w:t>
      </w:r>
    </w:p>
    <w:p w14:paraId="462CBEB6" w14:textId="77777777" w:rsidR="0048493C" w:rsidRPr="00C035EC" w:rsidRDefault="0048493C" w:rsidP="00180489">
      <w:pPr>
        <w:tabs>
          <w:tab w:val="left" w:pos="1080"/>
        </w:tabs>
        <w:rPr>
          <w:sz w:val="23"/>
          <w:szCs w:val="23"/>
        </w:rPr>
      </w:pPr>
    </w:p>
    <w:p w14:paraId="3D9D261C" w14:textId="341899B9" w:rsidR="00401C77" w:rsidRPr="00C035EC" w:rsidRDefault="0048493C" w:rsidP="00180489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The foundation budget is the key component in the state’s Chapter 70 school funding formula. First instituted in the 1993 education reform law, it rep</w:t>
      </w:r>
      <w:r w:rsidR="00401C77" w:rsidRPr="00C035EC">
        <w:rPr>
          <w:sz w:val="23"/>
          <w:szCs w:val="23"/>
        </w:rPr>
        <w:t xml:space="preserve">resents the minimum amount of funding a district needs to provide an adequate education, </w:t>
      </w:r>
      <w:proofErr w:type="gramStart"/>
      <w:r w:rsidR="00401C77" w:rsidRPr="00C035EC">
        <w:rPr>
          <w:sz w:val="23"/>
          <w:szCs w:val="23"/>
        </w:rPr>
        <w:t>taking into account</w:t>
      </w:r>
      <w:proofErr w:type="gramEnd"/>
      <w:r w:rsidR="00401C77" w:rsidRPr="00C035EC">
        <w:rPr>
          <w:sz w:val="23"/>
          <w:szCs w:val="23"/>
        </w:rPr>
        <w:t xml:space="preserve"> the district’s size and the demographics of its students. The </w:t>
      </w:r>
      <w:r w:rsidR="00C035EC" w:rsidRPr="00C035EC">
        <w:rPr>
          <w:sz w:val="23"/>
          <w:szCs w:val="23"/>
        </w:rPr>
        <w:t>Foundation Budget Review Commission</w:t>
      </w:r>
      <w:r w:rsidR="00401C77" w:rsidRPr="00C035EC">
        <w:rPr>
          <w:sz w:val="23"/>
          <w:szCs w:val="23"/>
        </w:rPr>
        <w:t xml:space="preserve"> recommended significant increases in the foundation budget to reflect both rising costs and the need to provide additional support for our most disadvantaged students. </w:t>
      </w:r>
    </w:p>
    <w:p w14:paraId="50CBD06B" w14:textId="77777777" w:rsidR="00180489" w:rsidRPr="00C035EC" w:rsidRDefault="00180489" w:rsidP="00180489">
      <w:pPr>
        <w:tabs>
          <w:tab w:val="left" w:pos="1080"/>
        </w:tabs>
        <w:rPr>
          <w:sz w:val="23"/>
          <w:szCs w:val="23"/>
        </w:rPr>
      </w:pPr>
    </w:p>
    <w:p w14:paraId="36078751" w14:textId="5E222ABC" w:rsidR="001B7559" w:rsidRPr="00C035EC" w:rsidRDefault="001B7559" w:rsidP="00180489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 xml:space="preserve">By design, much of the additional Chapter 70 funding will flow to Gateway Cities that </w:t>
      </w:r>
      <w:r w:rsidR="00CA71C0" w:rsidRPr="00C035EC">
        <w:rPr>
          <w:sz w:val="23"/>
          <w:szCs w:val="23"/>
        </w:rPr>
        <w:t xml:space="preserve">educate a disproportionately large number of </w:t>
      </w:r>
      <w:proofErr w:type="gramStart"/>
      <w:r w:rsidR="00CA71C0" w:rsidRPr="00C035EC">
        <w:rPr>
          <w:sz w:val="23"/>
          <w:szCs w:val="23"/>
        </w:rPr>
        <w:t>low income</w:t>
      </w:r>
      <w:proofErr w:type="gramEnd"/>
      <w:r w:rsidR="00CA71C0" w:rsidRPr="00C035EC">
        <w:rPr>
          <w:sz w:val="23"/>
          <w:szCs w:val="23"/>
        </w:rPr>
        <w:t xml:space="preserve"> students and English learners. The act also authorizes additional funding for three other programs, ensuring that all districts will receive some financial benefit:</w:t>
      </w:r>
    </w:p>
    <w:p w14:paraId="59DEFE39" w14:textId="77777777" w:rsidR="00401C77" w:rsidRPr="00C035EC" w:rsidRDefault="00401C77" w:rsidP="00180489">
      <w:pPr>
        <w:tabs>
          <w:tab w:val="left" w:pos="1080"/>
        </w:tabs>
        <w:rPr>
          <w:sz w:val="23"/>
          <w:szCs w:val="23"/>
        </w:rPr>
      </w:pPr>
    </w:p>
    <w:p w14:paraId="5ACBBBB4" w14:textId="77777777" w:rsidR="00CA71C0" w:rsidRPr="00C035EC" w:rsidRDefault="00CA71C0" w:rsidP="00CA71C0">
      <w:pPr>
        <w:pStyle w:val="ListParagraph"/>
        <w:numPr>
          <w:ilvl w:val="0"/>
          <w:numId w:val="3"/>
        </w:num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The special education “circuit breaker” program is expanded to cover transportation as well as instructional costs.</w:t>
      </w:r>
    </w:p>
    <w:p w14:paraId="54ECD0EA" w14:textId="69482ED3" w:rsidR="00CA71C0" w:rsidRPr="00C035EC" w:rsidRDefault="00CA71C0" w:rsidP="00CA71C0">
      <w:pPr>
        <w:pStyle w:val="ListParagraph"/>
        <w:numPr>
          <w:ilvl w:val="0"/>
          <w:numId w:val="3"/>
        </w:num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 xml:space="preserve">The historically-underfunded charter tuition reimbursement program will be </w:t>
      </w:r>
      <w:r w:rsidR="000A41E3" w:rsidRPr="00C035EC">
        <w:rPr>
          <w:sz w:val="23"/>
          <w:szCs w:val="23"/>
        </w:rPr>
        <w:t>fully funded by FY</w:t>
      </w:r>
      <w:r w:rsidR="00D23368">
        <w:rPr>
          <w:sz w:val="23"/>
          <w:szCs w:val="23"/>
        </w:rPr>
        <w:t>20</w:t>
      </w:r>
      <w:r w:rsidR="000A41E3" w:rsidRPr="00C035EC">
        <w:rPr>
          <w:sz w:val="23"/>
          <w:szCs w:val="23"/>
        </w:rPr>
        <w:t>23.</w:t>
      </w:r>
    </w:p>
    <w:p w14:paraId="1C1789C3" w14:textId="77777777" w:rsidR="000A41E3" w:rsidRPr="00C035EC" w:rsidRDefault="00B57BFE" w:rsidP="00CA71C0">
      <w:pPr>
        <w:pStyle w:val="ListParagraph"/>
        <w:numPr>
          <w:ilvl w:val="0"/>
          <w:numId w:val="3"/>
        </w:num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Additional funding is provided for school building assistance grants.</w:t>
      </w:r>
    </w:p>
    <w:p w14:paraId="4E0CAEC4" w14:textId="77777777" w:rsidR="00180489" w:rsidRPr="00C035EC" w:rsidRDefault="00180489" w:rsidP="00180489">
      <w:pPr>
        <w:tabs>
          <w:tab w:val="left" w:pos="1080"/>
        </w:tabs>
        <w:rPr>
          <w:sz w:val="23"/>
          <w:szCs w:val="23"/>
        </w:rPr>
      </w:pPr>
    </w:p>
    <w:p w14:paraId="5799867E" w14:textId="3E0AB562" w:rsidR="00180489" w:rsidRPr="00C035EC" w:rsidRDefault="0079642C" w:rsidP="00180489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 xml:space="preserve">To ensure that the new infusion of funds </w:t>
      </w:r>
      <w:r w:rsidR="007C3CD1" w:rsidRPr="00C035EC">
        <w:rPr>
          <w:sz w:val="23"/>
          <w:szCs w:val="23"/>
        </w:rPr>
        <w:t xml:space="preserve">will be </w:t>
      </w:r>
      <w:r w:rsidRPr="00C035EC">
        <w:rPr>
          <w:sz w:val="23"/>
          <w:szCs w:val="23"/>
        </w:rPr>
        <w:t xml:space="preserve">used in support of the act’s goals, </w:t>
      </w:r>
      <w:r w:rsidR="007C3CD1" w:rsidRPr="00C035EC">
        <w:rPr>
          <w:sz w:val="23"/>
          <w:szCs w:val="23"/>
        </w:rPr>
        <w:t xml:space="preserve">each </w:t>
      </w:r>
      <w:r w:rsidRPr="00C035EC">
        <w:rPr>
          <w:sz w:val="23"/>
          <w:szCs w:val="23"/>
        </w:rPr>
        <w:t xml:space="preserve">district </w:t>
      </w:r>
      <w:r w:rsidR="007C3CD1" w:rsidRPr="00C035EC">
        <w:rPr>
          <w:sz w:val="23"/>
          <w:szCs w:val="23"/>
        </w:rPr>
        <w:t xml:space="preserve">is </w:t>
      </w:r>
      <w:r w:rsidRPr="00C035EC">
        <w:rPr>
          <w:sz w:val="23"/>
          <w:szCs w:val="23"/>
        </w:rPr>
        <w:t xml:space="preserve">required to develop and submit for </w:t>
      </w:r>
      <w:r w:rsidR="00117C07" w:rsidRPr="00C035EC">
        <w:rPr>
          <w:sz w:val="23"/>
          <w:szCs w:val="23"/>
        </w:rPr>
        <w:t xml:space="preserve">the Commissioner’s </w:t>
      </w:r>
      <w:r w:rsidRPr="00C035EC">
        <w:rPr>
          <w:sz w:val="23"/>
          <w:szCs w:val="23"/>
        </w:rPr>
        <w:t xml:space="preserve">review </w:t>
      </w:r>
      <w:r w:rsidR="007C3CD1" w:rsidRPr="00C035EC">
        <w:rPr>
          <w:sz w:val="23"/>
          <w:szCs w:val="23"/>
        </w:rPr>
        <w:t xml:space="preserve">a </w:t>
      </w:r>
      <w:r w:rsidR="00C74CD3" w:rsidRPr="00C035EC">
        <w:rPr>
          <w:sz w:val="23"/>
          <w:szCs w:val="23"/>
        </w:rPr>
        <w:t>three</w:t>
      </w:r>
      <w:r w:rsidRPr="00C035EC">
        <w:rPr>
          <w:sz w:val="23"/>
          <w:szCs w:val="23"/>
        </w:rPr>
        <w:t xml:space="preserve">-year </w:t>
      </w:r>
      <w:r w:rsidR="001172BB" w:rsidRPr="00C035EC">
        <w:rPr>
          <w:sz w:val="23"/>
          <w:szCs w:val="23"/>
        </w:rPr>
        <w:t xml:space="preserve">plan, </w:t>
      </w:r>
      <w:r w:rsidR="007C3CD1" w:rsidRPr="00C035EC">
        <w:rPr>
          <w:sz w:val="23"/>
          <w:szCs w:val="23"/>
        </w:rPr>
        <w:t xml:space="preserve">setting forth goals and measurable standards for student improvement and </w:t>
      </w:r>
      <w:r w:rsidR="001172BB" w:rsidRPr="00C035EC">
        <w:rPr>
          <w:sz w:val="23"/>
          <w:szCs w:val="23"/>
        </w:rPr>
        <w:t xml:space="preserve">outlining the evidence-based practices </w:t>
      </w:r>
      <w:r w:rsidR="007C3CD1" w:rsidRPr="00C035EC">
        <w:rPr>
          <w:sz w:val="23"/>
          <w:szCs w:val="23"/>
        </w:rPr>
        <w:t xml:space="preserve">the district will implement or expand </w:t>
      </w:r>
      <w:r w:rsidR="001172BB" w:rsidRPr="00C035EC">
        <w:rPr>
          <w:sz w:val="23"/>
          <w:szCs w:val="23"/>
        </w:rPr>
        <w:t>to</w:t>
      </w:r>
      <w:r w:rsidR="007C3CD1" w:rsidRPr="00C035EC">
        <w:rPr>
          <w:sz w:val="23"/>
          <w:szCs w:val="23"/>
        </w:rPr>
        <w:t xml:space="preserve"> address persistent disparities in </w:t>
      </w:r>
      <w:r w:rsidR="00117C07" w:rsidRPr="00C035EC">
        <w:rPr>
          <w:sz w:val="23"/>
          <w:szCs w:val="23"/>
        </w:rPr>
        <w:t>student achievement</w:t>
      </w:r>
      <w:r w:rsidR="001172BB" w:rsidRPr="00C035EC">
        <w:rPr>
          <w:sz w:val="23"/>
          <w:szCs w:val="23"/>
        </w:rPr>
        <w:t xml:space="preserve">. </w:t>
      </w:r>
      <w:r w:rsidR="00117C07" w:rsidRPr="00C035EC">
        <w:rPr>
          <w:sz w:val="23"/>
          <w:szCs w:val="23"/>
        </w:rPr>
        <w:t xml:space="preserve">Each district must submit its initial plan by April 1, 2020. </w:t>
      </w:r>
      <w:r w:rsidR="001172BB" w:rsidRPr="00C035EC">
        <w:rPr>
          <w:sz w:val="23"/>
          <w:szCs w:val="23"/>
        </w:rPr>
        <w:t>We are in the process of developing templates and guidance for these plans, and I</w:t>
      </w:r>
      <w:r w:rsidR="00117C07" w:rsidRPr="00C035EC">
        <w:rPr>
          <w:sz w:val="23"/>
          <w:szCs w:val="23"/>
        </w:rPr>
        <w:t xml:space="preserve"> will</w:t>
      </w:r>
      <w:r w:rsidR="001172BB" w:rsidRPr="00C035EC">
        <w:rPr>
          <w:sz w:val="23"/>
          <w:szCs w:val="23"/>
        </w:rPr>
        <w:t xml:space="preserve"> provide </w:t>
      </w:r>
      <w:r w:rsidR="00153677">
        <w:rPr>
          <w:sz w:val="23"/>
          <w:szCs w:val="23"/>
        </w:rPr>
        <w:t>more information at</w:t>
      </w:r>
      <w:r w:rsidR="00C74CD3" w:rsidRPr="00C035EC">
        <w:rPr>
          <w:sz w:val="23"/>
          <w:szCs w:val="23"/>
        </w:rPr>
        <w:t xml:space="preserve"> our December 17 meeting.</w:t>
      </w:r>
    </w:p>
    <w:p w14:paraId="7D4C0E47" w14:textId="77777777" w:rsidR="00B57A5B" w:rsidRPr="00C035EC" w:rsidRDefault="00B57A5B" w:rsidP="00180489">
      <w:pPr>
        <w:tabs>
          <w:tab w:val="left" w:pos="1080"/>
        </w:tabs>
        <w:rPr>
          <w:sz w:val="23"/>
          <w:szCs w:val="23"/>
        </w:rPr>
      </w:pPr>
    </w:p>
    <w:p w14:paraId="69CCB62C" w14:textId="11394439" w:rsidR="007E59C7" w:rsidRPr="00C035EC" w:rsidRDefault="00C74CD3" w:rsidP="00180489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lastRenderedPageBreak/>
        <w:t>In other provisions, t</w:t>
      </w:r>
      <w:r w:rsidR="0079642C" w:rsidRPr="00C035EC">
        <w:rPr>
          <w:sz w:val="23"/>
          <w:szCs w:val="23"/>
        </w:rPr>
        <w:t xml:space="preserve">he act establishes the </w:t>
      </w:r>
      <w:r w:rsidR="007E59C7" w:rsidRPr="00C035EC">
        <w:rPr>
          <w:sz w:val="23"/>
          <w:szCs w:val="23"/>
        </w:rPr>
        <w:t xml:space="preserve">Twenty-First Century Education </w:t>
      </w:r>
      <w:r w:rsidR="0079642C" w:rsidRPr="00C035EC">
        <w:rPr>
          <w:sz w:val="23"/>
          <w:szCs w:val="23"/>
        </w:rPr>
        <w:t xml:space="preserve">Program, </w:t>
      </w:r>
      <w:r w:rsidRPr="00C035EC">
        <w:rPr>
          <w:sz w:val="23"/>
          <w:szCs w:val="23"/>
        </w:rPr>
        <w:t>authorizing</w:t>
      </w:r>
      <w:r w:rsidR="0079642C" w:rsidRPr="00C035EC">
        <w:rPr>
          <w:sz w:val="23"/>
          <w:szCs w:val="23"/>
        </w:rPr>
        <w:t xml:space="preserve"> the Department </w:t>
      </w:r>
      <w:r w:rsidR="00117C07" w:rsidRPr="00C035EC">
        <w:rPr>
          <w:bCs/>
          <w:sz w:val="23"/>
          <w:szCs w:val="23"/>
        </w:rPr>
        <w:t>of Elementary and Secondary Education</w:t>
      </w:r>
      <w:r w:rsidR="00D23368">
        <w:rPr>
          <w:bCs/>
          <w:sz w:val="23"/>
          <w:szCs w:val="23"/>
        </w:rPr>
        <w:t xml:space="preserve"> </w:t>
      </w:r>
      <w:r w:rsidR="00C035EC" w:rsidRPr="00C035EC">
        <w:rPr>
          <w:bCs/>
          <w:sz w:val="23"/>
          <w:szCs w:val="23"/>
        </w:rPr>
        <w:t>(Department)</w:t>
      </w:r>
      <w:r w:rsidR="00117C07" w:rsidRPr="00C035EC">
        <w:rPr>
          <w:sz w:val="23"/>
          <w:szCs w:val="23"/>
        </w:rPr>
        <w:t xml:space="preserve"> </w:t>
      </w:r>
      <w:r w:rsidR="0079642C" w:rsidRPr="00C035EC">
        <w:rPr>
          <w:sz w:val="23"/>
          <w:szCs w:val="23"/>
        </w:rPr>
        <w:t xml:space="preserve">to support </w:t>
      </w:r>
      <w:r w:rsidR="00117C07" w:rsidRPr="00C035EC">
        <w:rPr>
          <w:sz w:val="23"/>
          <w:szCs w:val="23"/>
        </w:rPr>
        <w:t xml:space="preserve">and share best practices for </w:t>
      </w:r>
      <w:r w:rsidR="0079642C" w:rsidRPr="00C035EC">
        <w:rPr>
          <w:sz w:val="23"/>
          <w:szCs w:val="23"/>
        </w:rPr>
        <w:t>improv</w:t>
      </w:r>
      <w:r w:rsidR="00117C07" w:rsidRPr="00C035EC">
        <w:rPr>
          <w:sz w:val="23"/>
          <w:szCs w:val="23"/>
        </w:rPr>
        <w:t>ing</w:t>
      </w:r>
      <w:r w:rsidR="0079642C" w:rsidRPr="00C035EC">
        <w:rPr>
          <w:sz w:val="23"/>
          <w:szCs w:val="23"/>
        </w:rPr>
        <w:t xml:space="preserve"> classroom learning. A </w:t>
      </w:r>
      <w:r w:rsidRPr="00C035EC">
        <w:rPr>
          <w:sz w:val="23"/>
          <w:szCs w:val="23"/>
        </w:rPr>
        <w:t xml:space="preserve">companion </w:t>
      </w:r>
      <w:r w:rsidR="0079642C" w:rsidRPr="00C035EC">
        <w:rPr>
          <w:sz w:val="23"/>
          <w:szCs w:val="23"/>
        </w:rPr>
        <w:t>trust fund will allow for multi-year grant awards. Funding for this program will need to come from future legislative appropriations and grants from funding partners.</w:t>
      </w:r>
    </w:p>
    <w:p w14:paraId="6D75A3E7" w14:textId="77777777" w:rsidR="007E59C7" w:rsidRPr="00C035EC" w:rsidRDefault="007E59C7" w:rsidP="00180489">
      <w:pPr>
        <w:tabs>
          <w:tab w:val="left" w:pos="1080"/>
        </w:tabs>
        <w:rPr>
          <w:sz w:val="23"/>
          <w:szCs w:val="23"/>
        </w:rPr>
      </w:pPr>
    </w:p>
    <w:p w14:paraId="551DC0AA" w14:textId="77777777" w:rsidR="007E59C7" w:rsidRPr="00C035EC" w:rsidRDefault="0015761B" w:rsidP="00180489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The act creates a new d</w:t>
      </w:r>
      <w:r w:rsidR="007E59C7" w:rsidRPr="00C035EC">
        <w:rPr>
          <w:sz w:val="23"/>
          <w:szCs w:val="23"/>
        </w:rPr>
        <w:t>ata advisory commission</w:t>
      </w:r>
      <w:r w:rsidRPr="00C035EC">
        <w:rPr>
          <w:sz w:val="23"/>
          <w:szCs w:val="23"/>
        </w:rPr>
        <w:t>, which I will chair, to advise on how we can further improve our use of data in educational policy-making at both the state and local levels. The commission will also advise on cross-agency data integration opportunities among the four agencies in our secretariat.</w:t>
      </w:r>
    </w:p>
    <w:p w14:paraId="71751B63" w14:textId="77777777" w:rsidR="009A2B7A" w:rsidRPr="00C035EC" w:rsidRDefault="009A2B7A" w:rsidP="00180489">
      <w:pPr>
        <w:tabs>
          <w:tab w:val="left" w:pos="1080"/>
        </w:tabs>
        <w:rPr>
          <w:sz w:val="23"/>
          <w:szCs w:val="23"/>
        </w:rPr>
      </w:pPr>
    </w:p>
    <w:p w14:paraId="34A898CE" w14:textId="77777777" w:rsidR="009A2B7A" w:rsidRPr="00C035EC" w:rsidRDefault="009E48C3" w:rsidP="009A2B7A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Finally, the act calls for financial studies relating to:</w:t>
      </w:r>
    </w:p>
    <w:p w14:paraId="42FAE9C8" w14:textId="77777777" w:rsidR="009E48C3" w:rsidRPr="00C035EC" w:rsidRDefault="009E48C3" w:rsidP="009E48C3">
      <w:pPr>
        <w:pStyle w:val="ListParagraph"/>
        <w:numPr>
          <w:ilvl w:val="0"/>
          <w:numId w:val="2"/>
        </w:num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municipal fiscal capacity, which determines how much of each district’s foundation budget is funded by local vs. state dollars;</w:t>
      </w:r>
    </w:p>
    <w:p w14:paraId="2EE77A6B" w14:textId="77777777" w:rsidR="009E48C3" w:rsidRPr="00C035EC" w:rsidRDefault="009E48C3" w:rsidP="009E48C3">
      <w:pPr>
        <w:pStyle w:val="ListParagraph"/>
        <w:numPr>
          <w:ilvl w:val="0"/>
          <w:numId w:val="2"/>
        </w:num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rural school districts with declining enrollments;</w:t>
      </w:r>
    </w:p>
    <w:p w14:paraId="01502FC5" w14:textId="77777777" w:rsidR="009E48C3" w:rsidRPr="00C035EC" w:rsidRDefault="009E48C3" w:rsidP="009E48C3">
      <w:pPr>
        <w:pStyle w:val="ListParagraph"/>
        <w:numPr>
          <w:ilvl w:val="0"/>
          <w:numId w:val="2"/>
        </w:num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recovery high schools; and</w:t>
      </w:r>
    </w:p>
    <w:p w14:paraId="7C454452" w14:textId="77777777" w:rsidR="009E48C3" w:rsidRPr="00C035EC" w:rsidRDefault="009E48C3" w:rsidP="009E48C3">
      <w:pPr>
        <w:pStyle w:val="ListParagraph"/>
        <w:numPr>
          <w:ilvl w:val="0"/>
          <w:numId w:val="2"/>
        </w:num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school building assistance reimbursement rates.</w:t>
      </w:r>
    </w:p>
    <w:p w14:paraId="085B00FE" w14:textId="77777777" w:rsidR="009E48C3" w:rsidRPr="00C035EC" w:rsidRDefault="009E48C3" w:rsidP="009E48C3">
      <w:pPr>
        <w:tabs>
          <w:tab w:val="left" w:pos="1080"/>
        </w:tabs>
        <w:rPr>
          <w:sz w:val="23"/>
          <w:szCs w:val="23"/>
        </w:rPr>
      </w:pPr>
    </w:p>
    <w:p w14:paraId="2641D163" w14:textId="3580EA76" w:rsidR="009E48C3" w:rsidRPr="00C035EC" w:rsidRDefault="00117C07" w:rsidP="009E48C3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I</w:t>
      </w:r>
      <w:r w:rsidR="009E48C3" w:rsidRPr="00C035EC">
        <w:rPr>
          <w:sz w:val="23"/>
          <w:szCs w:val="23"/>
        </w:rPr>
        <w:t>mplement</w:t>
      </w:r>
      <w:r w:rsidRPr="00C035EC">
        <w:rPr>
          <w:sz w:val="23"/>
          <w:szCs w:val="23"/>
        </w:rPr>
        <w:t>ing</w:t>
      </w:r>
      <w:r w:rsidR="009E48C3" w:rsidRPr="00C035EC">
        <w:rPr>
          <w:sz w:val="23"/>
          <w:szCs w:val="23"/>
        </w:rPr>
        <w:t xml:space="preserve"> this comprehensive legislation will require considerable effort </w:t>
      </w:r>
      <w:r w:rsidRPr="00C035EC">
        <w:rPr>
          <w:sz w:val="23"/>
          <w:szCs w:val="23"/>
        </w:rPr>
        <w:t xml:space="preserve">by </w:t>
      </w:r>
      <w:r w:rsidR="009E48C3" w:rsidRPr="00C035EC">
        <w:rPr>
          <w:sz w:val="23"/>
          <w:szCs w:val="23"/>
        </w:rPr>
        <w:t xml:space="preserve">Department staff and educators in the field. I will provide </w:t>
      </w:r>
      <w:r w:rsidRPr="00C035EC">
        <w:rPr>
          <w:sz w:val="23"/>
          <w:szCs w:val="23"/>
        </w:rPr>
        <w:t xml:space="preserve">the Board </w:t>
      </w:r>
      <w:r w:rsidR="009E48C3" w:rsidRPr="00C035EC">
        <w:rPr>
          <w:sz w:val="23"/>
          <w:szCs w:val="23"/>
        </w:rPr>
        <w:t>with periodic progress reports in the months ahead.</w:t>
      </w:r>
    </w:p>
    <w:p w14:paraId="460A96E2" w14:textId="77777777" w:rsidR="009E48C3" w:rsidRPr="00C035EC" w:rsidRDefault="009E48C3" w:rsidP="009E48C3">
      <w:pPr>
        <w:tabs>
          <w:tab w:val="left" w:pos="1080"/>
        </w:tabs>
        <w:rPr>
          <w:sz w:val="23"/>
          <w:szCs w:val="23"/>
        </w:rPr>
      </w:pPr>
    </w:p>
    <w:p w14:paraId="1F4B46BA" w14:textId="77777777" w:rsidR="009E48C3" w:rsidRPr="00C035EC" w:rsidRDefault="009E48C3" w:rsidP="009E48C3">
      <w:pPr>
        <w:tabs>
          <w:tab w:val="left" w:pos="1080"/>
        </w:tabs>
        <w:rPr>
          <w:sz w:val="23"/>
          <w:szCs w:val="23"/>
        </w:rPr>
      </w:pPr>
    </w:p>
    <w:p w14:paraId="25E51341" w14:textId="01CB652C" w:rsidR="009E48C3" w:rsidRPr="00C035EC" w:rsidRDefault="009E48C3" w:rsidP="009E48C3">
      <w:pPr>
        <w:tabs>
          <w:tab w:val="left" w:pos="1080"/>
        </w:tabs>
        <w:rPr>
          <w:sz w:val="23"/>
          <w:szCs w:val="23"/>
        </w:rPr>
      </w:pPr>
      <w:r w:rsidRPr="00C035EC">
        <w:rPr>
          <w:sz w:val="23"/>
          <w:szCs w:val="23"/>
        </w:rPr>
        <w:t>Attachment:</w:t>
      </w:r>
      <w:r w:rsidR="00C035EC" w:rsidRPr="00C035EC">
        <w:rPr>
          <w:sz w:val="23"/>
          <w:szCs w:val="23"/>
        </w:rPr>
        <w:tab/>
      </w:r>
      <w:r w:rsidRPr="00C035EC">
        <w:rPr>
          <w:sz w:val="23"/>
          <w:szCs w:val="23"/>
        </w:rPr>
        <w:t>Student Opportunity Act</w:t>
      </w:r>
    </w:p>
    <w:sectPr w:rsidR="009E48C3" w:rsidRPr="00C035EC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DC664" w14:textId="77777777" w:rsidR="00326C72" w:rsidRDefault="00326C72" w:rsidP="00C035EC">
      <w:r>
        <w:separator/>
      </w:r>
    </w:p>
  </w:endnote>
  <w:endnote w:type="continuationSeparator" w:id="0">
    <w:p w14:paraId="588AE667" w14:textId="77777777" w:rsidR="00326C72" w:rsidRDefault="00326C72" w:rsidP="00C0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561681DE" w:rsidR="00C035EC" w:rsidRDefault="00C03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C035EC" w:rsidRDefault="00C0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B4B5" w14:textId="77777777" w:rsidR="00326C72" w:rsidRDefault="00326C72" w:rsidP="00C035EC">
      <w:r>
        <w:separator/>
      </w:r>
    </w:p>
  </w:footnote>
  <w:footnote w:type="continuationSeparator" w:id="0">
    <w:p w14:paraId="0034E796" w14:textId="77777777" w:rsidR="00326C72" w:rsidRDefault="00326C72" w:rsidP="00C0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1581A"/>
    <w:rsid w:val="00025507"/>
    <w:rsid w:val="00041CA1"/>
    <w:rsid w:val="000A41E3"/>
    <w:rsid w:val="000E0994"/>
    <w:rsid w:val="001172BB"/>
    <w:rsid w:val="00117C07"/>
    <w:rsid w:val="00153677"/>
    <w:rsid w:val="0015761B"/>
    <w:rsid w:val="00180489"/>
    <w:rsid w:val="001B7559"/>
    <w:rsid w:val="00201172"/>
    <w:rsid w:val="00221176"/>
    <w:rsid w:val="002A3E22"/>
    <w:rsid w:val="002B4B10"/>
    <w:rsid w:val="002C0CF9"/>
    <w:rsid w:val="002F5424"/>
    <w:rsid w:val="00326C72"/>
    <w:rsid w:val="003953C8"/>
    <w:rsid w:val="00401C77"/>
    <w:rsid w:val="00403319"/>
    <w:rsid w:val="0041210C"/>
    <w:rsid w:val="0048493C"/>
    <w:rsid w:val="004E5697"/>
    <w:rsid w:val="005430E2"/>
    <w:rsid w:val="00571666"/>
    <w:rsid w:val="00586201"/>
    <w:rsid w:val="005B32EF"/>
    <w:rsid w:val="005C1013"/>
    <w:rsid w:val="005E3535"/>
    <w:rsid w:val="006211F9"/>
    <w:rsid w:val="00622BFB"/>
    <w:rsid w:val="00635070"/>
    <w:rsid w:val="00694D8D"/>
    <w:rsid w:val="006B532E"/>
    <w:rsid w:val="00761FD8"/>
    <w:rsid w:val="007732FB"/>
    <w:rsid w:val="0079642C"/>
    <w:rsid w:val="007C3CD1"/>
    <w:rsid w:val="007C62B6"/>
    <w:rsid w:val="007E59C7"/>
    <w:rsid w:val="008C238A"/>
    <w:rsid w:val="009A2B7A"/>
    <w:rsid w:val="009E48C3"/>
    <w:rsid w:val="00A20194"/>
    <w:rsid w:val="00A70FE3"/>
    <w:rsid w:val="00A7681B"/>
    <w:rsid w:val="00B15E7C"/>
    <w:rsid w:val="00B34968"/>
    <w:rsid w:val="00B57A5B"/>
    <w:rsid w:val="00B57BFE"/>
    <w:rsid w:val="00B946B0"/>
    <w:rsid w:val="00C035EC"/>
    <w:rsid w:val="00C74CD3"/>
    <w:rsid w:val="00C974A6"/>
    <w:rsid w:val="00CA71C0"/>
    <w:rsid w:val="00D1782C"/>
    <w:rsid w:val="00D23368"/>
    <w:rsid w:val="00D456B8"/>
    <w:rsid w:val="00D73B50"/>
    <w:rsid w:val="00E77FAD"/>
    <w:rsid w:val="00EE0A55"/>
    <w:rsid w:val="00F25840"/>
    <w:rsid w:val="00F76E32"/>
    <w:rsid w:val="00F878C5"/>
    <w:rsid w:val="00F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8A0DEB1B-3898-463D-8A79-F1F14116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DESE-231-56744</_dlc_DocId>
    <_dlc_DocIdUrl xmlns="733efe1c-5bbe-4968-87dc-d400e65c879f">
      <Url>https://sharepoint.doemass.org/ese/webteam/cps/_layouts/DocIdRedir.aspx?ID=DESE-231-56744</Url>
      <Description>DESE-231-56744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2841C08-5551-48EA-9B13-907DC859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C56E2-6E3C-44B6-9094-FC32D37B9D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FB7026-D8DE-4C72-9BED-98374B29963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1BF6976-FE26-4125-A01B-F1F17DE45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2019 Item 3: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2019 Item 3: Student Opportunity Act: Update and Next Steps</dc:title>
  <dc:creator>DESE</dc:creator>
  <cp:lastModifiedBy>Zou, Dong (EOE)</cp:lastModifiedBy>
  <cp:revision>3</cp:revision>
  <cp:lastPrinted>2008-03-05T18:17:00Z</cp:lastPrinted>
  <dcterms:created xsi:type="dcterms:W3CDTF">2019-12-06T20:59:00Z</dcterms:created>
  <dcterms:modified xsi:type="dcterms:W3CDTF">2019-12-09T20:48:00Z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2019</vt:lpwstr>
  </property>
</Properties>
</file>