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1B22D2" w:rsidRPr="001B22D2" w14:paraId="0439E8EF" w14:textId="77777777" w:rsidTr="00C61153">
        <w:tc>
          <w:tcPr>
            <w:tcW w:w="1188" w:type="dxa"/>
          </w:tcPr>
          <w:p w14:paraId="39783A44" w14:textId="77777777" w:rsidR="007C3CD1" w:rsidRPr="001B22D2" w:rsidRDefault="007C3CD1" w:rsidP="00C61153">
            <w:pPr>
              <w:rPr>
                <w:b/>
                <w:szCs w:val="24"/>
              </w:rPr>
            </w:pPr>
            <w:r w:rsidRPr="001B22D2">
              <w:rPr>
                <w:b/>
                <w:szCs w:val="24"/>
              </w:rPr>
              <w:t>To:</w:t>
            </w:r>
          </w:p>
        </w:tc>
        <w:tc>
          <w:tcPr>
            <w:tcW w:w="8388" w:type="dxa"/>
          </w:tcPr>
          <w:p w14:paraId="54600F5B" w14:textId="77777777" w:rsidR="007C3CD1" w:rsidRPr="001B22D2" w:rsidRDefault="007C3CD1" w:rsidP="00C61153">
            <w:pPr>
              <w:pStyle w:val="Footer"/>
              <w:widowControl w:val="0"/>
              <w:tabs>
                <w:tab w:val="clear" w:pos="4320"/>
                <w:tab w:val="clear" w:pos="8640"/>
              </w:tabs>
              <w:rPr>
                <w:bCs/>
                <w:snapToGrid w:val="0"/>
              </w:rPr>
            </w:pPr>
            <w:r w:rsidRPr="001B22D2">
              <w:rPr>
                <w:bCs/>
                <w:snapToGrid w:val="0"/>
              </w:rPr>
              <w:t>Members of the Board of Elementary and Secondary Education</w:t>
            </w:r>
          </w:p>
        </w:tc>
      </w:tr>
      <w:tr w:rsidR="001B22D2" w:rsidRPr="001B22D2" w14:paraId="7E93783B" w14:textId="77777777" w:rsidTr="00C61153">
        <w:tc>
          <w:tcPr>
            <w:tcW w:w="1188" w:type="dxa"/>
          </w:tcPr>
          <w:p w14:paraId="3CA9C841" w14:textId="77777777" w:rsidR="007C3CD1" w:rsidRPr="001B22D2" w:rsidRDefault="007C3CD1" w:rsidP="00C61153">
            <w:pPr>
              <w:rPr>
                <w:b/>
                <w:szCs w:val="24"/>
              </w:rPr>
            </w:pPr>
            <w:r w:rsidRPr="001B22D2">
              <w:rPr>
                <w:b/>
                <w:szCs w:val="24"/>
              </w:rPr>
              <w:t>From:</w:t>
            </w:r>
            <w:r w:rsidRPr="001B22D2">
              <w:rPr>
                <w:szCs w:val="24"/>
              </w:rPr>
              <w:tab/>
            </w:r>
          </w:p>
        </w:tc>
        <w:tc>
          <w:tcPr>
            <w:tcW w:w="8388" w:type="dxa"/>
          </w:tcPr>
          <w:p w14:paraId="58743EA0" w14:textId="79866088" w:rsidR="001F6FE0" w:rsidRPr="001B22D2" w:rsidRDefault="007C3CD1" w:rsidP="00C61153">
            <w:pPr>
              <w:pStyle w:val="Footer"/>
              <w:widowControl w:val="0"/>
              <w:tabs>
                <w:tab w:val="clear" w:pos="4320"/>
                <w:tab w:val="clear" w:pos="8640"/>
              </w:tabs>
              <w:rPr>
                <w:bCs/>
                <w:snapToGrid w:val="0"/>
              </w:rPr>
            </w:pPr>
            <w:r w:rsidRPr="001B22D2">
              <w:rPr>
                <w:bCs/>
                <w:snapToGrid w:val="0"/>
              </w:rPr>
              <w:t>Jeffrey C. Riley, Commissioner</w:t>
            </w:r>
          </w:p>
        </w:tc>
      </w:tr>
      <w:tr w:rsidR="001B22D2" w:rsidRPr="001B22D2" w14:paraId="5C604728" w14:textId="77777777" w:rsidTr="00C61153">
        <w:tc>
          <w:tcPr>
            <w:tcW w:w="1188" w:type="dxa"/>
          </w:tcPr>
          <w:p w14:paraId="7A787627" w14:textId="77777777" w:rsidR="007C3CD1" w:rsidRPr="001B22D2" w:rsidRDefault="007C3CD1" w:rsidP="00C61153">
            <w:pPr>
              <w:rPr>
                <w:b/>
                <w:szCs w:val="24"/>
              </w:rPr>
            </w:pPr>
            <w:r w:rsidRPr="001B22D2">
              <w:rPr>
                <w:b/>
                <w:szCs w:val="24"/>
              </w:rPr>
              <w:t>Date:</w:t>
            </w:r>
            <w:r w:rsidRPr="001B22D2">
              <w:rPr>
                <w:szCs w:val="24"/>
              </w:rPr>
              <w:tab/>
            </w:r>
          </w:p>
        </w:tc>
        <w:tc>
          <w:tcPr>
            <w:tcW w:w="8388" w:type="dxa"/>
          </w:tcPr>
          <w:p w14:paraId="7A59A6C8" w14:textId="0A2980FA" w:rsidR="007C3CD1" w:rsidRPr="001B22D2" w:rsidRDefault="005260DD" w:rsidP="00C61153">
            <w:pPr>
              <w:pStyle w:val="Footer"/>
              <w:widowControl w:val="0"/>
              <w:tabs>
                <w:tab w:val="clear" w:pos="4320"/>
                <w:tab w:val="clear" w:pos="8640"/>
              </w:tabs>
              <w:rPr>
                <w:bCs/>
                <w:snapToGrid w:val="0"/>
              </w:rPr>
            </w:pPr>
            <w:r w:rsidRPr="001B22D2">
              <w:rPr>
                <w:snapToGrid w:val="0"/>
              </w:rPr>
              <w:t>J</w:t>
            </w:r>
            <w:r w:rsidRPr="001B22D2">
              <w:t xml:space="preserve">une </w:t>
            </w:r>
            <w:r w:rsidR="003E4003" w:rsidRPr="001B22D2">
              <w:t>2</w:t>
            </w:r>
            <w:r w:rsidR="00950BB3" w:rsidRPr="001B22D2">
              <w:t>4</w:t>
            </w:r>
            <w:r w:rsidR="005A2518" w:rsidRPr="001B22D2">
              <w:rPr>
                <w:snapToGrid w:val="0"/>
              </w:rPr>
              <w:t>, 2020</w:t>
            </w:r>
          </w:p>
        </w:tc>
      </w:tr>
      <w:tr w:rsidR="007C3CD1" w:rsidRPr="001B22D2" w14:paraId="0E3628C1" w14:textId="77777777" w:rsidTr="00C61153">
        <w:tc>
          <w:tcPr>
            <w:tcW w:w="1188" w:type="dxa"/>
          </w:tcPr>
          <w:p w14:paraId="7496B726" w14:textId="77777777" w:rsidR="007C3CD1" w:rsidRPr="001B22D2" w:rsidRDefault="007C3CD1" w:rsidP="00C61153">
            <w:pPr>
              <w:rPr>
                <w:b/>
                <w:szCs w:val="24"/>
              </w:rPr>
            </w:pPr>
            <w:r w:rsidRPr="001B22D2">
              <w:rPr>
                <w:b/>
                <w:szCs w:val="24"/>
              </w:rPr>
              <w:t>Subject:</w:t>
            </w:r>
          </w:p>
        </w:tc>
        <w:tc>
          <w:tcPr>
            <w:tcW w:w="8388" w:type="dxa"/>
          </w:tcPr>
          <w:p w14:paraId="54FD230A" w14:textId="759F1529" w:rsidR="007C3CD1" w:rsidRPr="001B22D2" w:rsidRDefault="00B80280" w:rsidP="00C61153">
            <w:pPr>
              <w:pStyle w:val="Footer"/>
              <w:widowControl w:val="0"/>
              <w:tabs>
                <w:tab w:val="clear" w:pos="4320"/>
                <w:tab w:val="clear" w:pos="8640"/>
              </w:tabs>
              <w:rPr>
                <w:bCs/>
                <w:snapToGrid w:val="0"/>
              </w:rPr>
            </w:pPr>
            <w:r w:rsidRPr="001B22D2">
              <w:t>Addressing Regulatory Timelines Due to COVID-19 State of Emergency</w:t>
            </w:r>
            <w:r w:rsidR="00A51F3F" w:rsidRPr="001B22D2">
              <w:rPr>
                <w:rStyle w:val="normaltextrun1"/>
                <w:rFonts w:ascii="Calibri" w:hAnsi="Calibri" w:cs="Calibri"/>
              </w:rPr>
              <w:t xml:space="preserve">: </w:t>
            </w:r>
            <w:r w:rsidR="00A51F3F" w:rsidRPr="001B22D2">
              <w:rPr>
                <w:rStyle w:val="normaltextrun1"/>
              </w:rPr>
              <w:t>603 CMR 5</w:t>
            </w:r>
            <w:r w:rsidRPr="001B22D2">
              <w:rPr>
                <w:rStyle w:val="normaltextrun1"/>
              </w:rPr>
              <w:t>6</w:t>
            </w:r>
            <w:r w:rsidR="00A51F3F" w:rsidRPr="001B22D2">
              <w:rPr>
                <w:rStyle w:val="normaltextrun1"/>
              </w:rPr>
              <w:t>.00,</w:t>
            </w:r>
            <w:r w:rsidR="00A51F3F" w:rsidRPr="001B22D2">
              <w:rPr>
                <w:rStyle w:val="normaltextrun1"/>
                <w:rFonts w:ascii="Calibri" w:hAnsi="Calibri" w:cs="Calibri"/>
              </w:rPr>
              <w:t xml:space="preserve"> </w:t>
            </w:r>
            <w:r w:rsidR="00A51F3F" w:rsidRPr="001B22D2">
              <w:rPr>
                <w:rStyle w:val="normaltextrun1"/>
              </w:rPr>
              <w:t xml:space="preserve">for </w:t>
            </w:r>
            <w:r w:rsidR="00122047" w:rsidRPr="001B22D2">
              <w:rPr>
                <w:rStyle w:val="normaltextrun1"/>
              </w:rPr>
              <w:t xml:space="preserve">Final </w:t>
            </w:r>
            <w:r w:rsidR="00A51F3F" w:rsidRPr="001B22D2">
              <w:rPr>
                <w:rStyle w:val="normaltextrun1"/>
              </w:rPr>
              <w:t>Adoption</w:t>
            </w:r>
            <w:r w:rsidR="00A51F3F" w:rsidRPr="001B22D2" w:rsidDel="00A51F3F">
              <w:t xml:space="preserve"> </w:t>
            </w:r>
          </w:p>
        </w:tc>
      </w:tr>
    </w:tbl>
    <w:p w14:paraId="4EC619BA" w14:textId="77777777" w:rsidR="007C3CD1" w:rsidRPr="001B22D2" w:rsidRDefault="007C3CD1" w:rsidP="007C3CD1">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20D5D574" w14:textId="77777777" w:rsidR="007C3CD1" w:rsidRPr="001B22D2" w:rsidRDefault="007C3CD1" w:rsidP="007C3CD1">
      <w:pPr>
        <w:rPr>
          <w:szCs w:val="24"/>
        </w:rPr>
        <w:sectPr w:rsidR="007C3CD1" w:rsidRPr="001B22D2">
          <w:endnotePr>
            <w:numFmt w:val="decimal"/>
          </w:endnotePr>
          <w:type w:val="continuous"/>
          <w:pgSz w:w="12240" w:h="15840"/>
          <w:pgMar w:top="1440" w:right="1440" w:bottom="1440" w:left="1440" w:header="1440" w:footer="1440" w:gutter="0"/>
          <w:cols w:space="720"/>
          <w:noEndnote/>
        </w:sectPr>
      </w:pPr>
    </w:p>
    <w:p w14:paraId="466A97A9" w14:textId="77777777" w:rsidR="007C3CD1" w:rsidRPr="001B22D2" w:rsidRDefault="007C3CD1" w:rsidP="007C3CD1">
      <w:pPr>
        <w:rPr>
          <w:szCs w:val="24"/>
        </w:rPr>
      </w:pPr>
    </w:p>
    <w:p w14:paraId="4A1A6716" w14:textId="5ED379A5" w:rsidR="003E4003" w:rsidRPr="001B22D2" w:rsidRDefault="003E4003" w:rsidP="005260DD">
      <w:pPr>
        <w:tabs>
          <w:tab w:val="left" w:pos="1080"/>
        </w:tabs>
        <w:rPr>
          <w:szCs w:val="24"/>
          <w:shd w:val="clear" w:color="auto" w:fill="FFFFFF"/>
        </w:rPr>
      </w:pPr>
      <w:r w:rsidRPr="001B22D2">
        <w:rPr>
          <w:rFonts w:eastAsia="Calibri"/>
          <w:snapToGrid/>
          <w:szCs w:val="24"/>
        </w:rPr>
        <w:t xml:space="preserve">On March 31, 2020, the </w:t>
      </w:r>
      <w:r w:rsidRPr="001B22D2">
        <w:rPr>
          <w:szCs w:val="24"/>
          <w:shd w:val="clear" w:color="auto" w:fill="FFFFFF"/>
        </w:rPr>
        <w:t xml:space="preserve">Board of Elementary and Secondary Education (Board) </w:t>
      </w:r>
      <w:r w:rsidRPr="001B22D2">
        <w:rPr>
          <w:rFonts w:eastAsia="Calibri"/>
          <w:snapToGrid/>
          <w:szCs w:val="24"/>
        </w:rPr>
        <w:t xml:space="preserve">voted to adopt a regulation authorizing the Commissioner, for good cause arising from the current state of emergency and the closure of schools, to suspend, extend, or waive any timeline or due date in the Board’s regulations to the extent permitted by state and federal law. The Board adopted the </w:t>
      </w:r>
      <w:r w:rsidRPr="001B22D2">
        <w:rPr>
          <w:szCs w:val="24"/>
        </w:rPr>
        <w:t xml:space="preserve">regulation on an emergency basis, as provided by the Massachusetts Administrative Procedure Act </w:t>
      </w:r>
      <w:r w:rsidRPr="001B22D2">
        <w:rPr>
          <w:szCs w:val="24"/>
          <w:shd w:val="clear" w:color="auto" w:fill="FFFFFF"/>
        </w:rPr>
        <w:t>(G.L. c. 30A).</w:t>
      </w:r>
      <w:r w:rsidRPr="001B22D2">
        <w:rPr>
          <w:szCs w:val="24"/>
        </w:rPr>
        <w:t xml:space="preserve"> I have used the authority to modify several regulatory deadlines that</w:t>
      </w:r>
      <w:r w:rsidR="00A4679D" w:rsidRPr="001B22D2">
        <w:rPr>
          <w:szCs w:val="24"/>
        </w:rPr>
        <w:t xml:space="preserve"> </w:t>
      </w:r>
      <w:r w:rsidRPr="001B22D2">
        <w:rPr>
          <w:szCs w:val="24"/>
        </w:rPr>
        <w:t>were problematic for students, educators, and school districts</w:t>
      </w:r>
      <w:r w:rsidR="00A4679D" w:rsidRPr="001B22D2">
        <w:rPr>
          <w:szCs w:val="24"/>
        </w:rPr>
        <w:t xml:space="preserve"> due to the public health emergency</w:t>
      </w:r>
      <w:r w:rsidRPr="001B22D2">
        <w:rPr>
          <w:szCs w:val="24"/>
          <w:shd w:val="clear" w:color="auto" w:fill="FFFFFF"/>
        </w:rPr>
        <w:t xml:space="preserve">. </w:t>
      </w:r>
    </w:p>
    <w:p w14:paraId="599360F7" w14:textId="77777777" w:rsidR="003E4003" w:rsidRPr="001B22D2" w:rsidRDefault="003E4003" w:rsidP="005260DD">
      <w:pPr>
        <w:tabs>
          <w:tab w:val="left" w:pos="1080"/>
        </w:tabs>
        <w:rPr>
          <w:szCs w:val="24"/>
          <w:shd w:val="clear" w:color="auto" w:fill="FFFFFF"/>
        </w:rPr>
      </w:pPr>
    </w:p>
    <w:p w14:paraId="3A88703A" w14:textId="41960087" w:rsidR="005260DD" w:rsidRPr="001B22D2" w:rsidRDefault="00122047" w:rsidP="005260DD">
      <w:pPr>
        <w:tabs>
          <w:tab w:val="left" w:pos="1080"/>
        </w:tabs>
        <w:rPr>
          <w:snapToGrid/>
          <w:szCs w:val="24"/>
          <w:shd w:val="clear" w:color="auto" w:fill="FFFFFF"/>
        </w:rPr>
      </w:pPr>
      <w:r w:rsidRPr="001B22D2">
        <w:rPr>
          <w:szCs w:val="24"/>
          <w:shd w:val="clear" w:color="auto" w:fill="FFFFFF"/>
        </w:rPr>
        <w:t>The Department solicited public comment</w:t>
      </w:r>
      <w:r w:rsidR="00BD7F01" w:rsidRPr="001B22D2">
        <w:rPr>
          <w:szCs w:val="24"/>
          <w:shd w:val="clear" w:color="auto" w:fill="FFFFFF"/>
        </w:rPr>
        <w:t xml:space="preserve"> on the regulation</w:t>
      </w:r>
      <w:r w:rsidRPr="001B22D2">
        <w:rPr>
          <w:szCs w:val="24"/>
          <w:shd w:val="clear" w:color="auto" w:fill="FFFFFF"/>
        </w:rPr>
        <w:t xml:space="preserve">, </w:t>
      </w:r>
      <w:r w:rsidR="005260DD" w:rsidRPr="001B22D2">
        <w:rPr>
          <w:szCs w:val="24"/>
        </w:rPr>
        <w:t xml:space="preserve">as </w:t>
      </w:r>
      <w:r w:rsidR="003E4003" w:rsidRPr="001B22D2">
        <w:rPr>
          <w:szCs w:val="24"/>
        </w:rPr>
        <w:t xml:space="preserve">required </w:t>
      </w:r>
      <w:r w:rsidR="005260DD" w:rsidRPr="001B22D2">
        <w:rPr>
          <w:szCs w:val="24"/>
        </w:rPr>
        <w:t xml:space="preserve">by G.L. c. 30A, </w:t>
      </w:r>
      <w:r w:rsidR="003E4003" w:rsidRPr="001B22D2">
        <w:rPr>
          <w:szCs w:val="24"/>
        </w:rPr>
        <w:t xml:space="preserve">§ </w:t>
      </w:r>
      <w:r w:rsidR="005260DD" w:rsidRPr="001B22D2">
        <w:rPr>
          <w:szCs w:val="24"/>
        </w:rPr>
        <w:t>3</w:t>
      </w:r>
      <w:r w:rsidRPr="001B22D2">
        <w:rPr>
          <w:szCs w:val="24"/>
        </w:rPr>
        <w:t xml:space="preserve">, and received no adverse comments. Because the state of emergency is </w:t>
      </w:r>
      <w:r w:rsidR="003E4003" w:rsidRPr="001B22D2">
        <w:rPr>
          <w:szCs w:val="24"/>
        </w:rPr>
        <w:t xml:space="preserve">still in effect </w:t>
      </w:r>
      <w:r w:rsidRPr="001B22D2">
        <w:rPr>
          <w:szCs w:val="24"/>
        </w:rPr>
        <w:t xml:space="preserve">and the regulation will lapse without further action </w:t>
      </w:r>
      <w:r w:rsidR="00BD7F01" w:rsidRPr="001B22D2">
        <w:rPr>
          <w:szCs w:val="24"/>
        </w:rPr>
        <w:t xml:space="preserve">by the Board, </w:t>
      </w:r>
      <w:r w:rsidRPr="001B22D2">
        <w:rPr>
          <w:szCs w:val="24"/>
        </w:rPr>
        <w:t xml:space="preserve">I recommend that the Board vote </w:t>
      </w:r>
      <w:r w:rsidR="004511A2" w:rsidRPr="001B22D2">
        <w:rPr>
          <w:szCs w:val="24"/>
        </w:rPr>
        <w:t xml:space="preserve">on final adoption of the regulation </w:t>
      </w:r>
      <w:r w:rsidR="003E4003" w:rsidRPr="001B22D2">
        <w:rPr>
          <w:szCs w:val="24"/>
        </w:rPr>
        <w:t xml:space="preserve">at </w:t>
      </w:r>
      <w:r w:rsidR="004511A2" w:rsidRPr="001B22D2">
        <w:rPr>
          <w:szCs w:val="24"/>
        </w:rPr>
        <w:t xml:space="preserve">the June 30 </w:t>
      </w:r>
      <w:r w:rsidR="003E4003" w:rsidRPr="001B22D2">
        <w:rPr>
          <w:szCs w:val="24"/>
        </w:rPr>
        <w:t>meeting</w:t>
      </w:r>
      <w:r w:rsidR="00BD7F01" w:rsidRPr="001B22D2">
        <w:rPr>
          <w:szCs w:val="24"/>
        </w:rPr>
        <w:t>.</w:t>
      </w:r>
      <w:r w:rsidR="005260DD" w:rsidRPr="001B22D2">
        <w:rPr>
          <w:szCs w:val="24"/>
          <w:vertAlign w:val="superscript"/>
        </w:rPr>
        <w:t xml:space="preserve"> </w:t>
      </w:r>
    </w:p>
    <w:p w14:paraId="4723C89B" w14:textId="77777777" w:rsidR="00BD7F01" w:rsidRPr="001B22D2" w:rsidRDefault="00BD7F01" w:rsidP="00BD7F01">
      <w:pPr>
        <w:tabs>
          <w:tab w:val="left" w:pos="1080"/>
        </w:tabs>
        <w:rPr>
          <w:b/>
          <w:bCs/>
          <w:szCs w:val="24"/>
        </w:rPr>
      </w:pPr>
    </w:p>
    <w:p w14:paraId="79432F67" w14:textId="58F19667" w:rsidR="00BD7F01" w:rsidRPr="001B22D2" w:rsidRDefault="00BD7F01" w:rsidP="00BD7F01">
      <w:pPr>
        <w:tabs>
          <w:tab w:val="left" w:pos="1080"/>
        </w:tabs>
        <w:rPr>
          <w:b/>
          <w:bCs/>
          <w:szCs w:val="24"/>
        </w:rPr>
      </w:pPr>
      <w:r w:rsidRPr="001B22D2">
        <w:rPr>
          <w:b/>
          <w:bCs/>
          <w:szCs w:val="24"/>
        </w:rPr>
        <w:t>Background</w:t>
      </w:r>
    </w:p>
    <w:p w14:paraId="217E8DB6" w14:textId="77777777" w:rsidR="00BD7F01" w:rsidRPr="001B22D2" w:rsidRDefault="00BD7F01" w:rsidP="00BD7F01">
      <w:pPr>
        <w:tabs>
          <w:tab w:val="left" w:pos="1080"/>
        </w:tabs>
        <w:rPr>
          <w:szCs w:val="24"/>
        </w:rPr>
      </w:pPr>
    </w:p>
    <w:p w14:paraId="67D12904" w14:textId="77777777" w:rsidR="00F05B9E" w:rsidRPr="001B22D2" w:rsidRDefault="00BD7F01" w:rsidP="00BD7F01">
      <w:pPr>
        <w:tabs>
          <w:tab w:val="left" w:pos="1080"/>
        </w:tabs>
        <w:rPr>
          <w:szCs w:val="24"/>
        </w:rPr>
      </w:pPr>
      <w:r w:rsidRPr="001B22D2">
        <w:rPr>
          <w:szCs w:val="24"/>
        </w:rPr>
        <w:t xml:space="preserve">On March 10, 2020, Governor Baker declared a state of emergency </w:t>
      </w:r>
      <w:r w:rsidR="004511A2" w:rsidRPr="001B22D2">
        <w:rPr>
          <w:szCs w:val="24"/>
        </w:rPr>
        <w:t xml:space="preserve">due to the COVID-19 pandemic. The Governor subsequently </w:t>
      </w:r>
      <w:r w:rsidRPr="001B22D2">
        <w:rPr>
          <w:szCs w:val="24"/>
        </w:rPr>
        <w:t xml:space="preserve">issued several orders requiring public and private elementary and secondary schools in the Commonwealth </w:t>
      </w:r>
      <w:r w:rsidR="004511A2" w:rsidRPr="001B22D2">
        <w:rPr>
          <w:szCs w:val="24"/>
        </w:rPr>
        <w:t xml:space="preserve">(other than residential schools for students with disabilities) </w:t>
      </w:r>
      <w:r w:rsidRPr="001B22D2">
        <w:rPr>
          <w:szCs w:val="24"/>
        </w:rPr>
        <w:t xml:space="preserve">to close for in-person instruction. </w:t>
      </w:r>
    </w:p>
    <w:p w14:paraId="750675D8" w14:textId="77777777" w:rsidR="00F05B9E" w:rsidRPr="001B22D2" w:rsidRDefault="00F05B9E" w:rsidP="00BD7F01">
      <w:pPr>
        <w:tabs>
          <w:tab w:val="left" w:pos="1080"/>
        </w:tabs>
        <w:rPr>
          <w:szCs w:val="24"/>
        </w:rPr>
      </w:pPr>
    </w:p>
    <w:p w14:paraId="0F0F4C5F" w14:textId="2B705164" w:rsidR="00BD7F01" w:rsidRPr="001B22D2" w:rsidRDefault="00950BB3" w:rsidP="00BD7F01">
      <w:pPr>
        <w:tabs>
          <w:tab w:val="left" w:pos="1080"/>
        </w:tabs>
        <w:rPr>
          <w:szCs w:val="24"/>
        </w:rPr>
      </w:pPr>
      <w:r w:rsidRPr="001B22D2">
        <w:rPr>
          <w:szCs w:val="24"/>
        </w:rPr>
        <w:t xml:space="preserve">Among our actions to support students and schools during these unprecedented circumstances, we reviewed our regulations to identify areas where relief </w:t>
      </w:r>
      <w:r w:rsidR="00F043DA" w:rsidRPr="001B22D2">
        <w:rPr>
          <w:szCs w:val="24"/>
        </w:rPr>
        <w:t>might be</w:t>
      </w:r>
      <w:r w:rsidRPr="001B22D2">
        <w:rPr>
          <w:szCs w:val="24"/>
        </w:rPr>
        <w:t xml:space="preserve"> needed with respect to timelines. The Board’s adoption of the emergency regulation</w:t>
      </w:r>
      <w:r w:rsidR="007779AE" w:rsidRPr="001B22D2">
        <w:rPr>
          <w:szCs w:val="24"/>
        </w:rPr>
        <w:t>, 603 CMR 56.00,</w:t>
      </w:r>
      <w:r w:rsidRPr="001B22D2">
        <w:rPr>
          <w:szCs w:val="24"/>
        </w:rPr>
        <w:t xml:space="preserve"> on March 31 provided a mechanism to adjust </w:t>
      </w:r>
      <w:r w:rsidR="007779AE" w:rsidRPr="001B22D2">
        <w:rPr>
          <w:szCs w:val="24"/>
        </w:rPr>
        <w:t>certain regulatory timelines and due dates that were not possible to meet</w:t>
      </w:r>
      <w:r w:rsidR="00F05B9E" w:rsidRPr="001B22D2">
        <w:rPr>
          <w:szCs w:val="24"/>
        </w:rPr>
        <w:t xml:space="preserve"> in the current situation</w:t>
      </w:r>
      <w:r w:rsidR="007779AE" w:rsidRPr="001B22D2">
        <w:rPr>
          <w:szCs w:val="24"/>
        </w:rPr>
        <w:t xml:space="preserve">. </w:t>
      </w:r>
      <w:r w:rsidRPr="001B22D2">
        <w:rPr>
          <w:szCs w:val="24"/>
        </w:rPr>
        <w:t xml:space="preserve"> </w:t>
      </w:r>
    </w:p>
    <w:p w14:paraId="75406932" w14:textId="75AB48D9" w:rsidR="00BB5527" w:rsidRPr="001B22D2" w:rsidRDefault="00BB5527" w:rsidP="00180489">
      <w:pPr>
        <w:tabs>
          <w:tab w:val="left" w:pos="1080"/>
        </w:tabs>
        <w:rPr>
          <w:szCs w:val="24"/>
          <w:shd w:val="clear" w:color="auto" w:fill="FFFFFF"/>
        </w:rPr>
      </w:pPr>
    </w:p>
    <w:p w14:paraId="1D28372D" w14:textId="77777777" w:rsidR="001B22D2" w:rsidRPr="001B22D2" w:rsidRDefault="001B22D2" w:rsidP="00180489">
      <w:pPr>
        <w:tabs>
          <w:tab w:val="left" w:pos="1080"/>
        </w:tabs>
        <w:rPr>
          <w:b/>
          <w:bCs/>
          <w:szCs w:val="24"/>
        </w:rPr>
      </w:pPr>
    </w:p>
    <w:p w14:paraId="72F9E345" w14:textId="77777777" w:rsidR="001B22D2" w:rsidRPr="001B22D2" w:rsidRDefault="001B22D2" w:rsidP="00180489">
      <w:pPr>
        <w:tabs>
          <w:tab w:val="left" w:pos="1080"/>
        </w:tabs>
        <w:rPr>
          <w:b/>
          <w:bCs/>
          <w:szCs w:val="24"/>
        </w:rPr>
      </w:pPr>
    </w:p>
    <w:p w14:paraId="063821FE" w14:textId="77777777" w:rsidR="001B22D2" w:rsidRPr="001B22D2" w:rsidRDefault="001B22D2" w:rsidP="00180489">
      <w:pPr>
        <w:tabs>
          <w:tab w:val="left" w:pos="1080"/>
        </w:tabs>
        <w:rPr>
          <w:b/>
          <w:bCs/>
          <w:szCs w:val="24"/>
        </w:rPr>
      </w:pPr>
    </w:p>
    <w:p w14:paraId="793A3D8E" w14:textId="77777777" w:rsidR="001B22D2" w:rsidRPr="001B22D2" w:rsidRDefault="001B22D2" w:rsidP="00180489">
      <w:pPr>
        <w:tabs>
          <w:tab w:val="left" w:pos="1080"/>
        </w:tabs>
        <w:rPr>
          <w:b/>
          <w:bCs/>
          <w:szCs w:val="24"/>
        </w:rPr>
      </w:pPr>
    </w:p>
    <w:p w14:paraId="4D43D8FB" w14:textId="327CCFBC" w:rsidR="008D4FA6" w:rsidRPr="001B22D2" w:rsidRDefault="005B1F1A" w:rsidP="00180489">
      <w:pPr>
        <w:tabs>
          <w:tab w:val="left" w:pos="1080"/>
        </w:tabs>
        <w:rPr>
          <w:b/>
          <w:bCs/>
          <w:szCs w:val="24"/>
        </w:rPr>
      </w:pPr>
      <w:r w:rsidRPr="001B22D2">
        <w:rPr>
          <w:b/>
          <w:bCs/>
          <w:szCs w:val="24"/>
        </w:rPr>
        <w:lastRenderedPageBreak/>
        <w:t>Summary of Regulation</w:t>
      </w:r>
    </w:p>
    <w:p w14:paraId="6E4E10C5" w14:textId="77777777" w:rsidR="005D64B7" w:rsidRPr="001B22D2" w:rsidRDefault="005D64B7" w:rsidP="00180489">
      <w:pPr>
        <w:tabs>
          <w:tab w:val="left" w:pos="1080"/>
        </w:tabs>
        <w:rPr>
          <w:szCs w:val="24"/>
        </w:rPr>
      </w:pPr>
    </w:p>
    <w:p w14:paraId="642DF925" w14:textId="599A9A99" w:rsidR="00583A55" w:rsidRPr="001B22D2" w:rsidRDefault="007779AE" w:rsidP="00583A55">
      <w:pPr>
        <w:tabs>
          <w:tab w:val="left" w:pos="1080"/>
        </w:tabs>
        <w:rPr>
          <w:szCs w:val="24"/>
        </w:rPr>
      </w:pPr>
      <w:r w:rsidRPr="001B22D2">
        <w:rPr>
          <w:szCs w:val="24"/>
        </w:rPr>
        <w:t xml:space="preserve">The </w:t>
      </w:r>
      <w:r w:rsidR="005B1F1A" w:rsidRPr="001B22D2">
        <w:rPr>
          <w:szCs w:val="24"/>
        </w:rPr>
        <w:t>regulation permit</w:t>
      </w:r>
      <w:r w:rsidRPr="001B22D2">
        <w:rPr>
          <w:szCs w:val="24"/>
        </w:rPr>
        <w:t xml:space="preserve">s the Commissioner </w:t>
      </w:r>
      <w:r w:rsidR="005B1F1A" w:rsidRPr="001B22D2">
        <w:rPr>
          <w:szCs w:val="24"/>
        </w:rPr>
        <w:t xml:space="preserve">to suspend, extend, or waive any timeline or due date in the Board’s regulations to the extent permitted by state and federal law for good cause arising from the state of emergency and the closure of schools. </w:t>
      </w:r>
      <w:r w:rsidR="00583A55" w:rsidRPr="001B22D2">
        <w:rPr>
          <w:szCs w:val="24"/>
        </w:rPr>
        <w:t xml:space="preserve">Since </w:t>
      </w:r>
      <w:r w:rsidRPr="001B22D2">
        <w:rPr>
          <w:szCs w:val="24"/>
        </w:rPr>
        <w:t xml:space="preserve">March 31, </w:t>
      </w:r>
      <w:r w:rsidR="00583A55" w:rsidRPr="001B22D2">
        <w:rPr>
          <w:szCs w:val="24"/>
        </w:rPr>
        <w:t xml:space="preserve">I have used </w:t>
      </w:r>
      <w:r w:rsidRPr="001B22D2">
        <w:rPr>
          <w:szCs w:val="24"/>
        </w:rPr>
        <w:t>this authority</w:t>
      </w:r>
      <w:r w:rsidR="00583A55" w:rsidRPr="001B22D2">
        <w:rPr>
          <w:szCs w:val="24"/>
        </w:rPr>
        <w:t xml:space="preserve"> to extend the following dates</w:t>
      </w:r>
      <w:r w:rsidR="000E3D08" w:rsidRPr="001B22D2">
        <w:rPr>
          <w:szCs w:val="24"/>
        </w:rPr>
        <w:t xml:space="preserve"> and deadlines</w:t>
      </w:r>
      <w:r w:rsidR="00583A55" w:rsidRPr="001B22D2">
        <w:rPr>
          <w:szCs w:val="24"/>
        </w:rPr>
        <w:t xml:space="preserve">: </w:t>
      </w:r>
    </w:p>
    <w:p w14:paraId="437E8558" w14:textId="77777777" w:rsidR="00583A55" w:rsidRPr="001B22D2" w:rsidRDefault="00583A55" w:rsidP="00583A55">
      <w:pPr>
        <w:tabs>
          <w:tab w:val="left" w:pos="1080"/>
        </w:tabs>
        <w:rPr>
          <w:szCs w:val="24"/>
        </w:rPr>
      </w:pPr>
    </w:p>
    <w:p w14:paraId="6D9378D8" w14:textId="3CD888D2" w:rsidR="008D4FA6" w:rsidRPr="001B22D2" w:rsidRDefault="000E3D08" w:rsidP="00583A55">
      <w:pPr>
        <w:pStyle w:val="ListParagraph"/>
        <w:numPr>
          <w:ilvl w:val="0"/>
          <w:numId w:val="11"/>
        </w:numPr>
        <w:tabs>
          <w:tab w:val="left" w:pos="1080"/>
        </w:tabs>
        <w:rPr>
          <w:szCs w:val="24"/>
        </w:rPr>
      </w:pPr>
      <w:r w:rsidRPr="001B22D2">
        <w:rPr>
          <w:szCs w:val="24"/>
        </w:rPr>
        <w:t xml:space="preserve">I extended the deadlines for parents and superintendents relating to </w:t>
      </w:r>
      <w:r w:rsidR="007779AE" w:rsidRPr="001B22D2">
        <w:rPr>
          <w:szCs w:val="24"/>
        </w:rPr>
        <w:t xml:space="preserve">the process for </w:t>
      </w:r>
      <w:r w:rsidR="0006754F" w:rsidRPr="001B22D2">
        <w:rPr>
          <w:szCs w:val="24"/>
        </w:rPr>
        <w:t xml:space="preserve">non-resident vocational tuition applications – i.e., the </w:t>
      </w:r>
      <w:r w:rsidRPr="001B22D2">
        <w:rPr>
          <w:szCs w:val="24"/>
        </w:rPr>
        <w:t xml:space="preserve">admission of students to </w:t>
      </w:r>
      <w:r w:rsidR="008D4FA6" w:rsidRPr="001B22D2">
        <w:rPr>
          <w:szCs w:val="24"/>
        </w:rPr>
        <w:t xml:space="preserve">vocational-technical school </w:t>
      </w:r>
      <w:r w:rsidRPr="001B22D2">
        <w:rPr>
          <w:szCs w:val="24"/>
        </w:rPr>
        <w:t xml:space="preserve">programs outside their district of residence. </w:t>
      </w:r>
      <w:r w:rsidR="008D4FA6" w:rsidRPr="001B22D2">
        <w:rPr>
          <w:szCs w:val="24"/>
        </w:rPr>
        <w:t>603 CMR 4.03(6)(b)(2).</w:t>
      </w:r>
    </w:p>
    <w:p w14:paraId="2AE578A3" w14:textId="4A0BAA8E" w:rsidR="005B7EF2" w:rsidRPr="001B22D2" w:rsidRDefault="000E3D08" w:rsidP="005B7EF2">
      <w:pPr>
        <w:pStyle w:val="ListParagraph"/>
        <w:numPr>
          <w:ilvl w:val="0"/>
          <w:numId w:val="11"/>
        </w:numPr>
        <w:tabs>
          <w:tab w:val="left" w:pos="1080"/>
        </w:tabs>
        <w:rPr>
          <w:szCs w:val="24"/>
        </w:rPr>
      </w:pPr>
      <w:r w:rsidRPr="001B22D2">
        <w:rPr>
          <w:szCs w:val="24"/>
        </w:rPr>
        <w:t>I extended the June 30, 2020 deadline for e</w:t>
      </w:r>
      <w:r w:rsidR="008D4FA6" w:rsidRPr="001B22D2">
        <w:rPr>
          <w:szCs w:val="24"/>
        </w:rPr>
        <w:t xml:space="preserve">ducators who seek a </w:t>
      </w:r>
      <w:r w:rsidR="00FA7A15" w:rsidRPr="001B22D2">
        <w:rPr>
          <w:szCs w:val="24"/>
        </w:rPr>
        <w:t>b</w:t>
      </w:r>
      <w:r w:rsidR="008D4FA6" w:rsidRPr="001B22D2">
        <w:rPr>
          <w:szCs w:val="24"/>
        </w:rPr>
        <w:t xml:space="preserve">ilingual </w:t>
      </w:r>
      <w:r w:rsidR="00FA7A15" w:rsidRPr="001B22D2">
        <w:rPr>
          <w:szCs w:val="24"/>
        </w:rPr>
        <w:t>e</w:t>
      </w:r>
      <w:r w:rsidR="008D4FA6" w:rsidRPr="001B22D2">
        <w:rPr>
          <w:szCs w:val="24"/>
        </w:rPr>
        <w:t>ducation endorsement to their educator license</w:t>
      </w:r>
      <w:r w:rsidRPr="001B22D2">
        <w:rPr>
          <w:szCs w:val="24"/>
        </w:rPr>
        <w:t xml:space="preserve"> through the “grandfather clause</w:t>
      </w:r>
      <w:r w:rsidR="008D4FA6" w:rsidRPr="001B22D2">
        <w:rPr>
          <w:szCs w:val="24"/>
        </w:rPr>
        <w:t>.</w:t>
      </w:r>
      <w:r w:rsidRPr="001B22D2">
        <w:rPr>
          <w:szCs w:val="24"/>
        </w:rPr>
        <w:t>”</w:t>
      </w:r>
      <w:r w:rsidR="008D4FA6" w:rsidRPr="001B22D2">
        <w:rPr>
          <w:szCs w:val="24"/>
        </w:rPr>
        <w:t xml:space="preserve"> 603 CMR 7.14(3)(c)</w:t>
      </w:r>
      <w:r w:rsidRPr="001B22D2">
        <w:rPr>
          <w:szCs w:val="24"/>
        </w:rPr>
        <w:t xml:space="preserve"> and 603 CMR 4</w:t>
      </w:r>
      <w:r w:rsidR="00F05B9E" w:rsidRPr="001B22D2">
        <w:rPr>
          <w:szCs w:val="24"/>
        </w:rPr>
        <w:t>.15(3)(c)</w:t>
      </w:r>
      <w:r w:rsidR="008D4FA6" w:rsidRPr="001B22D2">
        <w:rPr>
          <w:szCs w:val="24"/>
        </w:rPr>
        <w:t xml:space="preserve">. </w:t>
      </w:r>
    </w:p>
    <w:p w14:paraId="78215A7E" w14:textId="12F5A697" w:rsidR="005B7EF2" w:rsidRPr="001B22D2" w:rsidRDefault="005B7EF2" w:rsidP="00180489">
      <w:pPr>
        <w:tabs>
          <w:tab w:val="left" w:pos="1080"/>
        </w:tabs>
        <w:rPr>
          <w:szCs w:val="24"/>
        </w:rPr>
      </w:pPr>
    </w:p>
    <w:p w14:paraId="7504B8A9" w14:textId="134F96D8" w:rsidR="000E3D08" w:rsidRPr="001B22D2" w:rsidRDefault="00A23FC5" w:rsidP="00180489">
      <w:pPr>
        <w:tabs>
          <w:tab w:val="left" w:pos="1080"/>
        </w:tabs>
        <w:rPr>
          <w:szCs w:val="24"/>
        </w:rPr>
      </w:pPr>
      <w:r w:rsidRPr="001B22D2">
        <w:rPr>
          <w:szCs w:val="24"/>
        </w:rPr>
        <w:t xml:space="preserve">The state of emergency is still in effect, and we may need to make additional </w:t>
      </w:r>
      <w:r w:rsidR="000E3D08" w:rsidRPr="001B22D2">
        <w:rPr>
          <w:szCs w:val="24"/>
        </w:rPr>
        <w:t>adjustments to timelines and due dates in our regulations</w:t>
      </w:r>
      <w:r w:rsidRPr="001B22D2">
        <w:rPr>
          <w:szCs w:val="24"/>
        </w:rPr>
        <w:t xml:space="preserve"> for the new school year</w:t>
      </w:r>
      <w:r w:rsidR="000E3D08" w:rsidRPr="001B22D2">
        <w:rPr>
          <w:szCs w:val="24"/>
        </w:rPr>
        <w:t xml:space="preserve">. </w:t>
      </w:r>
      <w:r w:rsidRPr="001B22D2">
        <w:rPr>
          <w:szCs w:val="24"/>
        </w:rPr>
        <w:t xml:space="preserve">For that reason, I recommend that the Board make the regulation permanent. By its own terms, the regulation becomes obsolete after the Governor ends the state of emergency that he declared on March 10, 2020. </w:t>
      </w:r>
    </w:p>
    <w:p w14:paraId="084D828F" w14:textId="77777777" w:rsidR="00995D0E" w:rsidRPr="001B22D2" w:rsidRDefault="00995D0E" w:rsidP="00995D0E">
      <w:pPr>
        <w:pStyle w:val="ListParagraph"/>
        <w:tabs>
          <w:tab w:val="left" w:pos="1080"/>
        </w:tabs>
        <w:rPr>
          <w:szCs w:val="24"/>
        </w:rPr>
      </w:pPr>
    </w:p>
    <w:p w14:paraId="7FF40920" w14:textId="18B0AD5D" w:rsidR="00E0390D" w:rsidRPr="001B22D2" w:rsidRDefault="00583A55" w:rsidP="00BB5527">
      <w:pPr>
        <w:rPr>
          <w:b/>
          <w:bCs/>
          <w:szCs w:val="24"/>
        </w:rPr>
      </w:pPr>
      <w:r w:rsidRPr="001B22D2">
        <w:rPr>
          <w:b/>
          <w:bCs/>
          <w:szCs w:val="24"/>
        </w:rPr>
        <w:t xml:space="preserve">Public Comment and </w:t>
      </w:r>
      <w:r w:rsidR="00E0390D" w:rsidRPr="001B22D2">
        <w:rPr>
          <w:b/>
          <w:bCs/>
          <w:szCs w:val="24"/>
        </w:rPr>
        <w:t>Recommendation</w:t>
      </w:r>
    </w:p>
    <w:p w14:paraId="6DCE9DB5" w14:textId="77777777" w:rsidR="00E0390D" w:rsidRPr="001B22D2" w:rsidRDefault="00E0390D" w:rsidP="00BB5527">
      <w:pPr>
        <w:rPr>
          <w:szCs w:val="24"/>
        </w:rPr>
      </w:pPr>
    </w:p>
    <w:p w14:paraId="7E8C207F" w14:textId="6E6D06C6" w:rsidR="000E3D08" w:rsidRPr="001B22D2" w:rsidRDefault="00583A55" w:rsidP="000E3D08">
      <w:pPr>
        <w:pStyle w:val="FootnoteText"/>
        <w:rPr>
          <w:sz w:val="24"/>
          <w:szCs w:val="24"/>
        </w:rPr>
      </w:pPr>
      <w:r w:rsidRPr="001B22D2">
        <w:rPr>
          <w:sz w:val="24"/>
          <w:szCs w:val="24"/>
        </w:rPr>
        <w:t>We did not receive any public comments that address the substance of the emergency regulation.</w:t>
      </w:r>
      <w:r w:rsidR="00B33EB0" w:rsidRPr="001B22D2">
        <w:rPr>
          <w:sz w:val="24"/>
          <w:szCs w:val="24"/>
        </w:rPr>
        <w:t xml:space="preserve"> </w:t>
      </w:r>
      <w:r w:rsidR="000E3D08" w:rsidRPr="001B22D2">
        <w:rPr>
          <w:sz w:val="24"/>
          <w:szCs w:val="24"/>
        </w:rPr>
        <w:t xml:space="preserve"> </w:t>
      </w:r>
      <w:r w:rsidR="00B33EB0" w:rsidRPr="001B22D2">
        <w:rPr>
          <w:sz w:val="24"/>
          <w:szCs w:val="24"/>
        </w:rPr>
        <w:t>The only comments (t</w:t>
      </w:r>
      <w:r w:rsidR="000E3D08" w:rsidRPr="001B22D2">
        <w:rPr>
          <w:sz w:val="24"/>
          <w:szCs w:val="24"/>
        </w:rPr>
        <w:t>wo</w:t>
      </w:r>
      <w:r w:rsidR="00B33EB0" w:rsidRPr="001B22D2">
        <w:rPr>
          <w:sz w:val="24"/>
          <w:szCs w:val="24"/>
        </w:rPr>
        <w:t xml:space="preserve">) </w:t>
      </w:r>
      <w:r w:rsidR="008D2294" w:rsidRPr="001B22D2">
        <w:rPr>
          <w:sz w:val="24"/>
          <w:szCs w:val="24"/>
        </w:rPr>
        <w:t xml:space="preserve">advocated extending </w:t>
      </w:r>
      <w:r w:rsidR="005F4AB8" w:rsidRPr="001B22D2">
        <w:rPr>
          <w:sz w:val="24"/>
          <w:szCs w:val="24"/>
        </w:rPr>
        <w:t xml:space="preserve">the period of </w:t>
      </w:r>
      <w:r w:rsidR="008D2294" w:rsidRPr="001B22D2">
        <w:rPr>
          <w:sz w:val="24"/>
          <w:szCs w:val="24"/>
        </w:rPr>
        <w:t>eligibility for certain students with disabilities to continue receiving special education services beyond their 22</w:t>
      </w:r>
      <w:r w:rsidR="008D2294" w:rsidRPr="001B22D2">
        <w:rPr>
          <w:sz w:val="24"/>
          <w:szCs w:val="24"/>
          <w:vertAlign w:val="superscript"/>
        </w:rPr>
        <w:t>nd</w:t>
      </w:r>
      <w:r w:rsidR="008D2294" w:rsidRPr="001B22D2">
        <w:rPr>
          <w:sz w:val="24"/>
          <w:szCs w:val="24"/>
        </w:rPr>
        <w:t xml:space="preserve"> birthday</w:t>
      </w:r>
      <w:r w:rsidR="00F05B9E" w:rsidRPr="001B22D2">
        <w:rPr>
          <w:sz w:val="24"/>
          <w:szCs w:val="24"/>
        </w:rPr>
        <w:t xml:space="preserve"> if </w:t>
      </w:r>
      <w:r w:rsidR="005F4AB8" w:rsidRPr="001B22D2">
        <w:rPr>
          <w:sz w:val="24"/>
          <w:szCs w:val="24"/>
        </w:rPr>
        <w:t>their transition programs were disrupted by the pandemic</w:t>
      </w:r>
      <w:r w:rsidR="008D2294" w:rsidRPr="001B22D2">
        <w:rPr>
          <w:sz w:val="24"/>
          <w:szCs w:val="24"/>
        </w:rPr>
        <w:t>.</w:t>
      </w:r>
      <w:r w:rsidR="005F4AB8" w:rsidRPr="001B22D2">
        <w:rPr>
          <w:sz w:val="24"/>
          <w:szCs w:val="24"/>
        </w:rPr>
        <w:t xml:space="preserve"> While</w:t>
      </w:r>
      <w:r w:rsidR="008D2294" w:rsidRPr="001B22D2">
        <w:rPr>
          <w:sz w:val="24"/>
          <w:szCs w:val="24"/>
        </w:rPr>
        <w:t xml:space="preserve"> </w:t>
      </w:r>
      <w:r w:rsidR="005F4AB8" w:rsidRPr="001B22D2">
        <w:rPr>
          <w:sz w:val="24"/>
          <w:szCs w:val="24"/>
        </w:rPr>
        <w:t>the concern is understandable, it cannot be addressed through this regulation</w:t>
      </w:r>
      <w:r w:rsidR="00A23FC5" w:rsidRPr="001B22D2">
        <w:rPr>
          <w:sz w:val="24"/>
          <w:szCs w:val="24"/>
        </w:rPr>
        <w:t xml:space="preserve"> because the age limit is set by statute</w:t>
      </w:r>
      <w:r w:rsidR="0006754F" w:rsidRPr="001B22D2">
        <w:rPr>
          <w:sz w:val="24"/>
          <w:szCs w:val="24"/>
        </w:rPr>
        <w:t xml:space="preserve"> and a change would require legislative action</w:t>
      </w:r>
      <w:r w:rsidR="00A23FC5" w:rsidRPr="001B22D2">
        <w:rPr>
          <w:sz w:val="24"/>
          <w:szCs w:val="24"/>
        </w:rPr>
        <w:t xml:space="preserve">. </w:t>
      </w:r>
      <w:r w:rsidR="00F043DA" w:rsidRPr="001B22D2">
        <w:rPr>
          <w:sz w:val="24"/>
          <w:szCs w:val="24"/>
        </w:rPr>
        <w:t>P</w:t>
      </w:r>
      <w:r w:rsidR="0006754F" w:rsidRPr="001B22D2">
        <w:rPr>
          <w:sz w:val="24"/>
          <w:szCs w:val="24"/>
        </w:rPr>
        <w:t xml:space="preserve">arents and students </w:t>
      </w:r>
      <w:r w:rsidR="00A23FC5" w:rsidRPr="001B22D2">
        <w:rPr>
          <w:sz w:val="24"/>
          <w:szCs w:val="24"/>
        </w:rPr>
        <w:t xml:space="preserve">may </w:t>
      </w:r>
      <w:r w:rsidR="00F043DA" w:rsidRPr="001B22D2">
        <w:rPr>
          <w:sz w:val="24"/>
          <w:szCs w:val="24"/>
        </w:rPr>
        <w:t xml:space="preserve">also </w:t>
      </w:r>
      <w:r w:rsidR="00A23FC5" w:rsidRPr="001B22D2">
        <w:rPr>
          <w:sz w:val="24"/>
          <w:szCs w:val="24"/>
        </w:rPr>
        <w:t>seek a remedy through the Bureau of Special Education Appeals</w:t>
      </w:r>
      <w:r w:rsidR="00F043DA" w:rsidRPr="001B22D2">
        <w:rPr>
          <w:sz w:val="24"/>
          <w:szCs w:val="24"/>
        </w:rPr>
        <w:t xml:space="preserve"> in individual cases</w:t>
      </w:r>
      <w:r w:rsidR="00A23FC5" w:rsidRPr="001B22D2">
        <w:rPr>
          <w:sz w:val="24"/>
          <w:szCs w:val="24"/>
        </w:rPr>
        <w:t xml:space="preserve">. </w:t>
      </w:r>
      <w:r w:rsidR="005F4AB8" w:rsidRPr="001B22D2">
        <w:rPr>
          <w:sz w:val="24"/>
          <w:szCs w:val="24"/>
        </w:rPr>
        <w:t xml:space="preserve">  </w:t>
      </w:r>
    </w:p>
    <w:p w14:paraId="1B56E8F9" w14:textId="77777777" w:rsidR="00B33EB0" w:rsidRPr="001B22D2" w:rsidRDefault="00B33EB0" w:rsidP="00583A55">
      <w:pPr>
        <w:tabs>
          <w:tab w:val="left" w:pos="1080"/>
        </w:tabs>
        <w:rPr>
          <w:szCs w:val="24"/>
        </w:rPr>
      </w:pPr>
    </w:p>
    <w:p w14:paraId="327801E5" w14:textId="49743F16" w:rsidR="004511A2" w:rsidRPr="001B22D2" w:rsidRDefault="00B1103E" w:rsidP="00583A55">
      <w:pPr>
        <w:tabs>
          <w:tab w:val="left" w:pos="1080"/>
        </w:tabs>
        <w:rPr>
          <w:szCs w:val="24"/>
        </w:rPr>
      </w:pPr>
      <w:r w:rsidRPr="001B22D2">
        <w:rPr>
          <w:szCs w:val="24"/>
        </w:rPr>
        <w:t xml:space="preserve">We made two non-substantive </w:t>
      </w:r>
      <w:r w:rsidR="009E2FF0" w:rsidRPr="001B22D2">
        <w:rPr>
          <w:szCs w:val="24"/>
        </w:rPr>
        <w:t xml:space="preserve">copy edits </w:t>
      </w:r>
      <w:r w:rsidR="00BD7F01" w:rsidRPr="001B22D2">
        <w:rPr>
          <w:szCs w:val="24"/>
        </w:rPr>
        <w:t xml:space="preserve">from the regulation as </w:t>
      </w:r>
      <w:r w:rsidR="004511A2" w:rsidRPr="001B22D2">
        <w:rPr>
          <w:szCs w:val="24"/>
        </w:rPr>
        <w:t xml:space="preserve">it was </w:t>
      </w:r>
      <w:r w:rsidR="00BD7F01" w:rsidRPr="001B22D2">
        <w:rPr>
          <w:szCs w:val="24"/>
        </w:rPr>
        <w:t>presented on March 31</w:t>
      </w:r>
      <w:r w:rsidRPr="001B22D2">
        <w:rPr>
          <w:szCs w:val="24"/>
        </w:rPr>
        <w:t>. First, to follow the formatting standards from the Secretary of State’s Regulations Office, we moved the statement of regulatory authority to the end instead of in</w:t>
      </w:r>
      <w:r w:rsidR="009E2FF0" w:rsidRPr="001B22D2">
        <w:rPr>
          <w:szCs w:val="24"/>
        </w:rPr>
        <w:t>cluding it in</w:t>
      </w:r>
      <w:r w:rsidRPr="001B22D2">
        <w:rPr>
          <w:szCs w:val="24"/>
        </w:rPr>
        <w:t xml:space="preserve"> section 56.01. Second, </w:t>
      </w:r>
      <w:r w:rsidR="009E2FF0" w:rsidRPr="001B22D2">
        <w:rPr>
          <w:szCs w:val="24"/>
        </w:rPr>
        <w:t xml:space="preserve">we corrected </w:t>
      </w:r>
      <w:r w:rsidR="00BD7F01" w:rsidRPr="001B22D2">
        <w:rPr>
          <w:szCs w:val="24"/>
        </w:rPr>
        <w:t>a typo</w:t>
      </w:r>
      <w:r w:rsidR="00A23FC5" w:rsidRPr="001B22D2">
        <w:rPr>
          <w:szCs w:val="24"/>
        </w:rPr>
        <w:t xml:space="preserve"> in numbering</w:t>
      </w:r>
      <w:r w:rsidR="00F043DA" w:rsidRPr="001B22D2">
        <w:rPr>
          <w:szCs w:val="24"/>
        </w:rPr>
        <w:t xml:space="preserve">: </w:t>
      </w:r>
      <w:r w:rsidR="00BD7F01" w:rsidRPr="001B22D2">
        <w:rPr>
          <w:szCs w:val="24"/>
        </w:rPr>
        <w:t xml:space="preserve">the reference </w:t>
      </w:r>
      <w:r w:rsidR="004511A2" w:rsidRPr="001B22D2">
        <w:rPr>
          <w:szCs w:val="24"/>
        </w:rPr>
        <w:t xml:space="preserve">in section 56.02(1) </w:t>
      </w:r>
      <w:r w:rsidR="00BD7F01" w:rsidRPr="001B22D2">
        <w:rPr>
          <w:szCs w:val="24"/>
        </w:rPr>
        <w:t xml:space="preserve">to </w:t>
      </w:r>
      <w:r w:rsidR="004511A2" w:rsidRPr="001B22D2">
        <w:rPr>
          <w:szCs w:val="24"/>
        </w:rPr>
        <w:t>“603 CMR 56.2(b)”</w:t>
      </w:r>
      <w:r w:rsidR="00BD7F01" w:rsidRPr="001B22D2">
        <w:rPr>
          <w:szCs w:val="24"/>
        </w:rPr>
        <w:t xml:space="preserve"> should have been </w:t>
      </w:r>
      <w:r w:rsidR="004511A2" w:rsidRPr="001B22D2">
        <w:rPr>
          <w:szCs w:val="24"/>
        </w:rPr>
        <w:t>“603 CMR 56.02(2)</w:t>
      </w:r>
      <w:r w:rsidR="0006754F" w:rsidRPr="001B22D2">
        <w:rPr>
          <w:szCs w:val="24"/>
        </w:rPr>
        <w:t>.</w:t>
      </w:r>
      <w:r w:rsidR="004511A2" w:rsidRPr="001B22D2">
        <w:rPr>
          <w:szCs w:val="24"/>
        </w:rPr>
        <w:t>”</w:t>
      </w:r>
      <w:r w:rsidR="00BD7F01" w:rsidRPr="001B22D2">
        <w:rPr>
          <w:szCs w:val="24"/>
        </w:rPr>
        <w:t xml:space="preserve"> </w:t>
      </w:r>
      <w:r w:rsidR="009E2FF0" w:rsidRPr="001B22D2">
        <w:rPr>
          <w:szCs w:val="24"/>
        </w:rPr>
        <w:t xml:space="preserve">Both </w:t>
      </w:r>
      <w:r w:rsidR="0006754F" w:rsidRPr="001B22D2">
        <w:rPr>
          <w:szCs w:val="24"/>
        </w:rPr>
        <w:t>correction</w:t>
      </w:r>
      <w:r w:rsidR="009E2FF0" w:rsidRPr="001B22D2">
        <w:rPr>
          <w:szCs w:val="24"/>
        </w:rPr>
        <w:t>s</w:t>
      </w:r>
      <w:r w:rsidR="0006754F" w:rsidRPr="001B22D2">
        <w:rPr>
          <w:szCs w:val="24"/>
        </w:rPr>
        <w:t xml:space="preserve"> ha</w:t>
      </w:r>
      <w:r w:rsidR="009E2FF0" w:rsidRPr="001B22D2">
        <w:rPr>
          <w:szCs w:val="24"/>
        </w:rPr>
        <w:t>ve</w:t>
      </w:r>
      <w:r w:rsidR="0006754F" w:rsidRPr="001B22D2">
        <w:rPr>
          <w:szCs w:val="24"/>
        </w:rPr>
        <w:t xml:space="preserve"> been made in the attached regulation.</w:t>
      </w:r>
      <w:r w:rsidR="00BD7F01" w:rsidRPr="001B22D2">
        <w:rPr>
          <w:szCs w:val="24"/>
        </w:rPr>
        <w:t xml:space="preserve"> </w:t>
      </w:r>
    </w:p>
    <w:p w14:paraId="72E493F2" w14:textId="77777777" w:rsidR="004511A2" w:rsidRPr="001B22D2" w:rsidRDefault="004511A2" w:rsidP="00583A55">
      <w:pPr>
        <w:tabs>
          <w:tab w:val="left" w:pos="1080"/>
        </w:tabs>
        <w:rPr>
          <w:szCs w:val="24"/>
        </w:rPr>
      </w:pPr>
    </w:p>
    <w:p w14:paraId="1DE6BAFF" w14:textId="0BA4FD4C" w:rsidR="000F4C50" w:rsidRPr="001B22D2" w:rsidRDefault="00053A04" w:rsidP="009E48C3">
      <w:pPr>
        <w:tabs>
          <w:tab w:val="left" w:pos="1080"/>
        </w:tabs>
        <w:rPr>
          <w:szCs w:val="24"/>
        </w:rPr>
      </w:pPr>
      <w:r w:rsidRPr="001B22D2">
        <w:rPr>
          <w:szCs w:val="24"/>
        </w:rPr>
        <w:t xml:space="preserve">I recommend that the Board vote to adopt the regulation as presented. </w:t>
      </w:r>
      <w:r w:rsidR="00B33EB0" w:rsidRPr="001B22D2">
        <w:rPr>
          <w:szCs w:val="24"/>
        </w:rPr>
        <w:t>A motion is attached.</w:t>
      </w:r>
      <w:r w:rsidRPr="001B22D2">
        <w:rPr>
          <w:szCs w:val="24"/>
        </w:rPr>
        <w:t xml:space="preserve"> </w:t>
      </w:r>
      <w:r w:rsidR="00C62E3B" w:rsidRPr="001B22D2">
        <w:rPr>
          <w:szCs w:val="24"/>
        </w:rPr>
        <w:t xml:space="preserve">At the </w:t>
      </w:r>
      <w:r w:rsidR="00583A55" w:rsidRPr="001B22D2">
        <w:rPr>
          <w:szCs w:val="24"/>
        </w:rPr>
        <w:t>June 30</w:t>
      </w:r>
      <w:r w:rsidR="00B80280" w:rsidRPr="001B22D2">
        <w:rPr>
          <w:szCs w:val="24"/>
        </w:rPr>
        <w:t xml:space="preserve"> </w:t>
      </w:r>
      <w:r w:rsidR="00C62E3B" w:rsidRPr="001B22D2">
        <w:rPr>
          <w:szCs w:val="24"/>
        </w:rPr>
        <w:t xml:space="preserve">meeting, </w:t>
      </w:r>
      <w:r w:rsidR="005B72E3" w:rsidRPr="001B22D2">
        <w:rPr>
          <w:szCs w:val="24"/>
        </w:rPr>
        <w:t xml:space="preserve">General Counsel Rhoda Schneider </w:t>
      </w:r>
      <w:r w:rsidR="00C62E3B" w:rsidRPr="001B22D2">
        <w:rPr>
          <w:szCs w:val="24"/>
        </w:rPr>
        <w:t>will be available to answer yo</w:t>
      </w:r>
      <w:r w:rsidR="00EB0B52" w:rsidRPr="001B22D2">
        <w:rPr>
          <w:szCs w:val="24"/>
        </w:rPr>
        <w:t>ur questions</w:t>
      </w:r>
      <w:r w:rsidR="005D64B7" w:rsidRPr="001B22D2">
        <w:rPr>
          <w:szCs w:val="24"/>
        </w:rPr>
        <w:t xml:space="preserve"> on the regulation</w:t>
      </w:r>
      <w:r w:rsidR="000F4C50" w:rsidRPr="001B22D2">
        <w:rPr>
          <w:szCs w:val="24"/>
        </w:rPr>
        <w:t>.</w:t>
      </w:r>
    </w:p>
    <w:p w14:paraId="74FCBC21" w14:textId="139B10DE" w:rsidR="000F4C50" w:rsidRPr="001B22D2" w:rsidRDefault="000F4C50" w:rsidP="009E48C3">
      <w:pPr>
        <w:tabs>
          <w:tab w:val="left" w:pos="1080"/>
        </w:tabs>
        <w:rPr>
          <w:szCs w:val="24"/>
        </w:rPr>
      </w:pPr>
    </w:p>
    <w:p w14:paraId="22FEB611" w14:textId="77777777" w:rsidR="005B72E3" w:rsidRPr="001B22D2" w:rsidRDefault="005B72E3" w:rsidP="009E48C3">
      <w:pPr>
        <w:tabs>
          <w:tab w:val="left" w:pos="1080"/>
        </w:tabs>
        <w:rPr>
          <w:szCs w:val="24"/>
        </w:rPr>
      </w:pPr>
    </w:p>
    <w:p w14:paraId="05D1A458" w14:textId="54CCF362" w:rsidR="00BD7F01" w:rsidRPr="001B22D2" w:rsidRDefault="000F4C50" w:rsidP="005B1F1A">
      <w:pPr>
        <w:tabs>
          <w:tab w:val="left" w:pos="1080"/>
        </w:tabs>
        <w:ind w:left="1440" w:hanging="1440"/>
        <w:rPr>
          <w:szCs w:val="24"/>
        </w:rPr>
      </w:pPr>
      <w:r w:rsidRPr="001B22D2">
        <w:rPr>
          <w:szCs w:val="24"/>
        </w:rPr>
        <w:t>Enclosure:</w:t>
      </w:r>
      <w:r w:rsidR="00B97673" w:rsidRPr="001B22D2">
        <w:rPr>
          <w:szCs w:val="24"/>
        </w:rPr>
        <w:t xml:space="preserve"> </w:t>
      </w:r>
      <w:r w:rsidR="00A13E66" w:rsidRPr="001B22D2">
        <w:rPr>
          <w:szCs w:val="24"/>
        </w:rPr>
        <w:tab/>
      </w:r>
      <w:r w:rsidR="00BD7F01" w:rsidRPr="001B22D2">
        <w:rPr>
          <w:szCs w:val="24"/>
        </w:rPr>
        <w:t>Regulation</w:t>
      </w:r>
      <w:r w:rsidR="004511A2" w:rsidRPr="001B22D2">
        <w:rPr>
          <w:szCs w:val="24"/>
        </w:rPr>
        <w:t xml:space="preserve"> Addressing Regulatory Timelines, </w:t>
      </w:r>
      <w:r w:rsidR="00BD7F01" w:rsidRPr="001B22D2">
        <w:rPr>
          <w:szCs w:val="24"/>
        </w:rPr>
        <w:t>603 CMR 56.00</w:t>
      </w:r>
    </w:p>
    <w:p w14:paraId="1C0104E4" w14:textId="17EED5FB" w:rsidR="00B97673" w:rsidRPr="001B22D2" w:rsidRDefault="00BD7F01" w:rsidP="00FA016A">
      <w:pPr>
        <w:tabs>
          <w:tab w:val="left" w:pos="1080"/>
        </w:tabs>
        <w:ind w:left="1440" w:hanging="1440"/>
        <w:rPr>
          <w:szCs w:val="24"/>
        </w:rPr>
      </w:pPr>
      <w:r w:rsidRPr="001B22D2">
        <w:rPr>
          <w:szCs w:val="24"/>
        </w:rPr>
        <w:tab/>
      </w:r>
      <w:r w:rsidRPr="001B22D2">
        <w:rPr>
          <w:szCs w:val="24"/>
        </w:rPr>
        <w:tab/>
      </w:r>
      <w:r w:rsidR="005D64B7" w:rsidRPr="001B22D2">
        <w:rPr>
          <w:szCs w:val="24"/>
        </w:rPr>
        <w:t xml:space="preserve">Motion </w:t>
      </w:r>
    </w:p>
    <w:p w14:paraId="080178F7" w14:textId="77777777" w:rsidR="0006754F" w:rsidRPr="001B22D2" w:rsidRDefault="0006754F" w:rsidP="00FA016A">
      <w:pPr>
        <w:tabs>
          <w:tab w:val="left" w:pos="1080"/>
        </w:tabs>
        <w:ind w:left="1440" w:hanging="1440"/>
        <w:rPr>
          <w:iCs/>
          <w:szCs w:val="24"/>
        </w:rPr>
      </w:pPr>
      <w:bookmarkStart w:id="4" w:name="_GoBack"/>
      <w:bookmarkEnd w:id="4"/>
    </w:p>
    <w:sectPr w:rsidR="0006754F" w:rsidRPr="001B22D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9E9A3" w14:textId="77777777" w:rsidR="00385C4C" w:rsidRDefault="00385C4C" w:rsidP="00C035EC">
      <w:r>
        <w:separator/>
      </w:r>
    </w:p>
  </w:endnote>
  <w:endnote w:type="continuationSeparator" w:id="0">
    <w:p w14:paraId="2B5350B8" w14:textId="77777777" w:rsidR="00385C4C" w:rsidRDefault="00385C4C" w:rsidP="00C035EC">
      <w:r>
        <w:continuationSeparator/>
      </w:r>
    </w:p>
  </w:endnote>
  <w:endnote w:type="continuationNotice" w:id="1">
    <w:p w14:paraId="2B16A843" w14:textId="77777777" w:rsidR="00385C4C" w:rsidRDefault="0038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296978"/>
      <w:docPartObj>
        <w:docPartGallery w:val="Page Numbers (Bottom of Page)"/>
        <w:docPartUnique/>
      </w:docPartObj>
    </w:sdtPr>
    <w:sdtEndPr>
      <w:rPr>
        <w:noProof/>
      </w:rPr>
    </w:sdtEndPr>
    <w:sdtContent>
      <w:p w14:paraId="63904BAC" w14:textId="61D25F0B" w:rsidR="001B22D2" w:rsidRDefault="001B22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9B60" w14:textId="77777777" w:rsidR="00385C4C" w:rsidRDefault="00385C4C" w:rsidP="00C035EC">
      <w:r>
        <w:separator/>
      </w:r>
    </w:p>
  </w:footnote>
  <w:footnote w:type="continuationSeparator" w:id="0">
    <w:p w14:paraId="350F4B10" w14:textId="77777777" w:rsidR="00385C4C" w:rsidRDefault="00385C4C" w:rsidP="00C035EC">
      <w:r>
        <w:continuationSeparator/>
      </w:r>
    </w:p>
  </w:footnote>
  <w:footnote w:type="continuationNotice" w:id="1">
    <w:p w14:paraId="1C1FB632" w14:textId="77777777" w:rsidR="00385C4C" w:rsidRDefault="00385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B3D0D"/>
    <w:multiLevelType w:val="hybridMultilevel"/>
    <w:tmpl w:val="5F50E954"/>
    <w:lvl w:ilvl="0" w:tplc="CDBC5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614A3"/>
    <w:multiLevelType w:val="hybridMultilevel"/>
    <w:tmpl w:val="A5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0"/>
  </w:num>
  <w:num w:numId="5">
    <w:abstractNumId w:val="3"/>
  </w:num>
  <w:num w:numId="6">
    <w:abstractNumId w:val="0"/>
  </w:num>
  <w:num w:numId="7">
    <w:abstractNumId w:val="2"/>
  </w:num>
  <w:num w:numId="8">
    <w:abstractNumId w:val="6"/>
  </w:num>
  <w:num w:numId="9">
    <w:abstractNumId w:val="1"/>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1581A"/>
    <w:rsid w:val="00025507"/>
    <w:rsid w:val="0003291C"/>
    <w:rsid w:val="00033FFD"/>
    <w:rsid w:val="00041CA1"/>
    <w:rsid w:val="00053A04"/>
    <w:rsid w:val="0005637E"/>
    <w:rsid w:val="0006754F"/>
    <w:rsid w:val="000A31A8"/>
    <w:rsid w:val="000A41E3"/>
    <w:rsid w:val="000B7F58"/>
    <w:rsid w:val="000D4CD8"/>
    <w:rsid w:val="000D6102"/>
    <w:rsid w:val="000E0994"/>
    <w:rsid w:val="000E3D08"/>
    <w:rsid w:val="000F4C50"/>
    <w:rsid w:val="00103398"/>
    <w:rsid w:val="001172BB"/>
    <w:rsid w:val="001176D7"/>
    <w:rsid w:val="00117C07"/>
    <w:rsid w:val="00122047"/>
    <w:rsid w:val="00125E87"/>
    <w:rsid w:val="00126EE6"/>
    <w:rsid w:val="00134832"/>
    <w:rsid w:val="00142441"/>
    <w:rsid w:val="001520D0"/>
    <w:rsid w:val="00153677"/>
    <w:rsid w:val="0015761B"/>
    <w:rsid w:val="00180489"/>
    <w:rsid w:val="001B22D2"/>
    <w:rsid w:val="001B7559"/>
    <w:rsid w:val="001E2825"/>
    <w:rsid w:val="001F611F"/>
    <w:rsid w:val="001F6FE0"/>
    <w:rsid w:val="00201172"/>
    <w:rsid w:val="00221176"/>
    <w:rsid w:val="00236E96"/>
    <w:rsid w:val="00237451"/>
    <w:rsid w:val="00276A86"/>
    <w:rsid w:val="002A3E22"/>
    <w:rsid w:val="002A675C"/>
    <w:rsid w:val="002B4B10"/>
    <w:rsid w:val="002B4D5A"/>
    <w:rsid w:val="002C0CF9"/>
    <w:rsid w:val="002C3945"/>
    <w:rsid w:val="002D591B"/>
    <w:rsid w:val="002F5424"/>
    <w:rsid w:val="00312036"/>
    <w:rsid w:val="00320574"/>
    <w:rsid w:val="00335268"/>
    <w:rsid w:val="003423E0"/>
    <w:rsid w:val="0035478D"/>
    <w:rsid w:val="003769E4"/>
    <w:rsid w:val="00385C4C"/>
    <w:rsid w:val="00386F73"/>
    <w:rsid w:val="003953C8"/>
    <w:rsid w:val="003B1B89"/>
    <w:rsid w:val="003B6F17"/>
    <w:rsid w:val="003D4FFA"/>
    <w:rsid w:val="003E4003"/>
    <w:rsid w:val="003F1A5E"/>
    <w:rsid w:val="003F7809"/>
    <w:rsid w:val="00401C77"/>
    <w:rsid w:val="00403319"/>
    <w:rsid w:val="00407D7F"/>
    <w:rsid w:val="0041210C"/>
    <w:rsid w:val="004121A1"/>
    <w:rsid w:val="0042517E"/>
    <w:rsid w:val="004511A2"/>
    <w:rsid w:val="00460D49"/>
    <w:rsid w:val="00466A21"/>
    <w:rsid w:val="00477017"/>
    <w:rsid w:val="00481645"/>
    <w:rsid w:val="0048493C"/>
    <w:rsid w:val="004A0B3D"/>
    <w:rsid w:val="004C246F"/>
    <w:rsid w:val="004C2DFB"/>
    <w:rsid w:val="004E5697"/>
    <w:rsid w:val="004F5D49"/>
    <w:rsid w:val="004F630D"/>
    <w:rsid w:val="00511960"/>
    <w:rsid w:val="0051205B"/>
    <w:rsid w:val="0051288C"/>
    <w:rsid w:val="00514D8F"/>
    <w:rsid w:val="0051546F"/>
    <w:rsid w:val="005260DD"/>
    <w:rsid w:val="00533DFA"/>
    <w:rsid w:val="005430E2"/>
    <w:rsid w:val="00571666"/>
    <w:rsid w:val="00583A55"/>
    <w:rsid w:val="00586201"/>
    <w:rsid w:val="005A2518"/>
    <w:rsid w:val="005B1F1A"/>
    <w:rsid w:val="005B32EF"/>
    <w:rsid w:val="005B7179"/>
    <w:rsid w:val="005B72E3"/>
    <w:rsid w:val="005B7EF2"/>
    <w:rsid w:val="005C1013"/>
    <w:rsid w:val="005D64B7"/>
    <w:rsid w:val="005E1D1B"/>
    <w:rsid w:val="005E3535"/>
    <w:rsid w:val="005E4B20"/>
    <w:rsid w:val="005F4AB8"/>
    <w:rsid w:val="006171A2"/>
    <w:rsid w:val="00622BFB"/>
    <w:rsid w:val="006251ED"/>
    <w:rsid w:val="00635070"/>
    <w:rsid w:val="00663115"/>
    <w:rsid w:val="006704AD"/>
    <w:rsid w:val="00671299"/>
    <w:rsid w:val="006726BB"/>
    <w:rsid w:val="00684384"/>
    <w:rsid w:val="00685FF9"/>
    <w:rsid w:val="006871D3"/>
    <w:rsid w:val="006B532E"/>
    <w:rsid w:val="006E2F0C"/>
    <w:rsid w:val="006E4A52"/>
    <w:rsid w:val="00703F99"/>
    <w:rsid w:val="00733E3B"/>
    <w:rsid w:val="00761FD8"/>
    <w:rsid w:val="007732FB"/>
    <w:rsid w:val="007779AE"/>
    <w:rsid w:val="0079642C"/>
    <w:rsid w:val="007C3CD1"/>
    <w:rsid w:val="007E4576"/>
    <w:rsid w:val="007E59C7"/>
    <w:rsid w:val="00840D60"/>
    <w:rsid w:val="008812B6"/>
    <w:rsid w:val="008B0537"/>
    <w:rsid w:val="008C238A"/>
    <w:rsid w:val="008D2294"/>
    <w:rsid w:val="008D4FA6"/>
    <w:rsid w:val="00916D81"/>
    <w:rsid w:val="00930959"/>
    <w:rsid w:val="00950BB3"/>
    <w:rsid w:val="00995D0E"/>
    <w:rsid w:val="009A2B7A"/>
    <w:rsid w:val="009C6970"/>
    <w:rsid w:val="009E2FF0"/>
    <w:rsid w:val="009E48C3"/>
    <w:rsid w:val="00A07554"/>
    <w:rsid w:val="00A13E66"/>
    <w:rsid w:val="00A1426D"/>
    <w:rsid w:val="00A20194"/>
    <w:rsid w:val="00A20533"/>
    <w:rsid w:val="00A217CB"/>
    <w:rsid w:val="00A23D09"/>
    <w:rsid w:val="00A23FC5"/>
    <w:rsid w:val="00A43EC4"/>
    <w:rsid w:val="00A4679D"/>
    <w:rsid w:val="00A51F3F"/>
    <w:rsid w:val="00A663EA"/>
    <w:rsid w:val="00A70FE3"/>
    <w:rsid w:val="00A7681B"/>
    <w:rsid w:val="00AA4BA1"/>
    <w:rsid w:val="00AA71D5"/>
    <w:rsid w:val="00AB77CB"/>
    <w:rsid w:val="00B1103E"/>
    <w:rsid w:val="00B12206"/>
    <w:rsid w:val="00B15E7C"/>
    <w:rsid w:val="00B24161"/>
    <w:rsid w:val="00B33EB0"/>
    <w:rsid w:val="00B34968"/>
    <w:rsid w:val="00B433C2"/>
    <w:rsid w:val="00B43B8E"/>
    <w:rsid w:val="00B57A5B"/>
    <w:rsid w:val="00B57BFE"/>
    <w:rsid w:val="00B670AA"/>
    <w:rsid w:val="00B80280"/>
    <w:rsid w:val="00B90DBF"/>
    <w:rsid w:val="00B97673"/>
    <w:rsid w:val="00BB5527"/>
    <w:rsid w:val="00BC7AC3"/>
    <w:rsid w:val="00BD3C18"/>
    <w:rsid w:val="00BD7F01"/>
    <w:rsid w:val="00C035EC"/>
    <w:rsid w:val="00C414DB"/>
    <w:rsid w:val="00C45AF6"/>
    <w:rsid w:val="00C6241F"/>
    <w:rsid w:val="00C62E3B"/>
    <w:rsid w:val="00C63845"/>
    <w:rsid w:val="00C71DEC"/>
    <w:rsid w:val="00C74CD3"/>
    <w:rsid w:val="00C86C40"/>
    <w:rsid w:val="00C974A6"/>
    <w:rsid w:val="00CA4857"/>
    <w:rsid w:val="00CA71C0"/>
    <w:rsid w:val="00CC04F6"/>
    <w:rsid w:val="00CE2C60"/>
    <w:rsid w:val="00CF0E0C"/>
    <w:rsid w:val="00D1782C"/>
    <w:rsid w:val="00D23368"/>
    <w:rsid w:val="00D37A49"/>
    <w:rsid w:val="00D456B8"/>
    <w:rsid w:val="00D66E08"/>
    <w:rsid w:val="00D73B50"/>
    <w:rsid w:val="00DD5012"/>
    <w:rsid w:val="00E0390D"/>
    <w:rsid w:val="00E137D2"/>
    <w:rsid w:val="00E27427"/>
    <w:rsid w:val="00E30242"/>
    <w:rsid w:val="00E3576A"/>
    <w:rsid w:val="00E77FAD"/>
    <w:rsid w:val="00E809A8"/>
    <w:rsid w:val="00E90798"/>
    <w:rsid w:val="00E970F0"/>
    <w:rsid w:val="00EB0B52"/>
    <w:rsid w:val="00EE0A55"/>
    <w:rsid w:val="00EF6950"/>
    <w:rsid w:val="00F043DA"/>
    <w:rsid w:val="00F05B9E"/>
    <w:rsid w:val="00F25840"/>
    <w:rsid w:val="00F50107"/>
    <w:rsid w:val="00F5284F"/>
    <w:rsid w:val="00F64E5F"/>
    <w:rsid w:val="00F72AED"/>
    <w:rsid w:val="00F76E32"/>
    <w:rsid w:val="00F878C5"/>
    <w:rsid w:val="00F94795"/>
    <w:rsid w:val="00FA016A"/>
    <w:rsid w:val="00FA7A15"/>
    <w:rsid w:val="00FC350C"/>
    <w:rsid w:val="00FC791D"/>
    <w:rsid w:val="00FD39BC"/>
    <w:rsid w:val="00FD3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paragraph" w:styleId="FootnoteText">
    <w:name w:val="footnote text"/>
    <w:basedOn w:val="Normal"/>
    <w:link w:val="FootnoteTextChar"/>
    <w:uiPriority w:val="99"/>
    <w:unhideWhenUsed/>
    <w:rsid w:val="005260DD"/>
    <w:rPr>
      <w:snapToGrid/>
      <w:sz w:val="20"/>
    </w:rPr>
  </w:style>
  <w:style w:type="character" w:customStyle="1" w:styleId="FootnoteTextChar">
    <w:name w:val="Footnote Text Char"/>
    <w:basedOn w:val="DefaultParagraphFont"/>
    <w:link w:val="FootnoteText"/>
    <w:uiPriority w:val="99"/>
    <w:rsid w:val="005260DD"/>
  </w:style>
  <w:style w:type="paragraph" w:styleId="NormalWeb">
    <w:name w:val="Normal (Web)"/>
    <w:basedOn w:val="Normal"/>
    <w:uiPriority w:val="99"/>
    <w:unhideWhenUsed/>
    <w:rsid w:val="003E4003"/>
    <w:pPr>
      <w:widowControl/>
      <w:spacing w:after="150"/>
    </w:pPr>
    <w:rPr>
      <w:snapToGrid/>
      <w:szCs w:val="24"/>
    </w:rPr>
  </w:style>
  <w:style w:type="paragraph" w:styleId="NoSpacing">
    <w:name w:val="No Spacing"/>
    <w:uiPriority w:val="1"/>
    <w:qFormat/>
    <w:rsid w:val="00AA71D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223412795">
      <w:bodyDiv w:val="1"/>
      <w:marLeft w:val="0"/>
      <w:marRight w:val="0"/>
      <w:marTop w:val="0"/>
      <w:marBottom w:val="0"/>
      <w:divBdr>
        <w:top w:val="none" w:sz="0" w:space="0" w:color="auto"/>
        <w:left w:val="none" w:sz="0" w:space="0" w:color="auto"/>
        <w:bottom w:val="none" w:sz="0" w:space="0" w:color="auto"/>
        <w:right w:val="none" w:sz="0" w:space="0" w:color="auto"/>
      </w:divBdr>
      <w:divsChild>
        <w:div w:id="457139167">
          <w:marLeft w:val="0"/>
          <w:marRight w:val="0"/>
          <w:marTop w:val="0"/>
          <w:marBottom w:val="0"/>
          <w:divBdr>
            <w:top w:val="none" w:sz="0" w:space="0" w:color="auto"/>
            <w:left w:val="none" w:sz="0" w:space="0" w:color="auto"/>
            <w:bottom w:val="none" w:sz="0" w:space="0" w:color="auto"/>
            <w:right w:val="none" w:sz="0" w:space="0" w:color="auto"/>
          </w:divBdr>
          <w:divsChild>
            <w:div w:id="8679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3382">
      <w:bodyDiv w:val="1"/>
      <w:marLeft w:val="0"/>
      <w:marRight w:val="0"/>
      <w:marTop w:val="0"/>
      <w:marBottom w:val="0"/>
      <w:divBdr>
        <w:top w:val="none" w:sz="0" w:space="0" w:color="auto"/>
        <w:left w:val="none" w:sz="0" w:space="0" w:color="auto"/>
        <w:bottom w:val="none" w:sz="0" w:space="0" w:color="auto"/>
        <w:right w:val="none" w:sz="0" w:space="0" w:color="auto"/>
      </w:divBdr>
    </w:div>
    <w:div w:id="1423799707">
      <w:bodyDiv w:val="1"/>
      <w:marLeft w:val="0"/>
      <w:marRight w:val="0"/>
      <w:marTop w:val="0"/>
      <w:marBottom w:val="0"/>
      <w:divBdr>
        <w:top w:val="none" w:sz="0" w:space="0" w:color="auto"/>
        <w:left w:val="none" w:sz="0" w:space="0" w:color="auto"/>
        <w:bottom w:val="none" w:sz="0" w:space="0" w:color="auto"/>
        <w:right w:val="none" w:sz="0" w:space="0" w:color="auto"/>
      </w:divBdr>
      <w:divsChild>
        <w:div w:id="602151867">
          <w:marLeft w:val="0"/>
          <w:marRight w:val="0"/>
          <w:marTop w:val="0"/>
          <w:marBottom w:val="0"/>
          <w:divBdr>
            <w:top w:val="none" w:sz="0" w:space="0" w:color="auto"/>
            <w:left w:val="none" w:sz="0" w:space="0" w:color="auto"/>
            <w:bottom w:val="none" w:sz="0" w:space="0" w:color="auto"/>
            <w:right w:val="none" w:sz="0" w:space="0" w:color="auto"/>
          </w:divBdr>
          <w:divsChild>
            <w:div w:id="840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DESE-231-61901</_dlc_DocId>
    <_dlc_DocIdUrl xmlns="733efe1c-5bbe-4968-87dc-d400e65c879f">
      <Url>https://sharepoint.doemass.org/ese/webteam/cps/_layouts/DocIdRedir.aspx?ID=DESE-231-61901</Url>
      <Description>DESE-231-61901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4.xml><?xml version="1.0" encoding="utf-8"?>
<ds:datastoreItem xmlns:ds="http://schemas.openxmlformats.org/officeDocument/2006/customXml" ds:itemID="{34B6A47A-D0D4-41CB-ACCA-CF7F68351BF6}">
  <ds:schemaRefs>
    <ds:schemaRef ds:uri="http://schemas.microsoft.com/sharepoint/events"/>
  </ds:schemaRefs>
</ds:datastoreItem>
</file>

<file path=customXml/itemProps5.xml><?xml version="1.0" encoding="utf-8"?>
<ds:datastoreItem xmlns:ds="http://schemas.openxmlformats.org/officeDocument/2006/customXml" ds:itemID="{0EDEC99A-3230-4189-8283-DD86334A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BESE June 2020 Item 5: memo June 2020 603 CMR 56 final vote w reg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5: memo June 2020 603 CMR 56 final vote w reg </dc:title>
  <dc:subject/>
  <dc:creator>DESE</dc:creator>
  <cp:lastModifiedBy>Zou, Dong (EOE)</cp:lastModifiedBy>
  <cp:revision>10</cp:revision>
  <cp:lastPrinted>2020-06-22T22:19:00Z</cp:lastPrinted>
  <dcterms:created xsi:type="dcterms:W3CDTF">2020-06-24T14:07:00Z</dcterms:created>
  <dcterms:modified xsi:type="dcterms:W3CDTF">2020-06-29T18:59:00Z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