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75CD5D01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52FC4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3DD8A1C0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0E5E95" w14:paraId="663CBD5C" w14:textId="77777777" w:rsidTr="3DD8A1C0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3369DE24" w:rsidR="002813B0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3DD8A1C0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64E3DA3B" w:rsidR="000E5E95" w:rsidRDefault="00FF5380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 xml:space="preserve">December </w:t>
            </w:r>
            <w:r w:rsidR="00AE1C9B">
              <w:t>8</w:t>
            </w:r>
            <w:r w:rsidR="00595D74">
              <w:t>, 2020</w:t>
            </w:r>
          </w:p>
        </w:tc>
      </w:tr>
      <w:tr w:rsidR="000E5E95" w14:paraId="5D0D4861" w14:textId="77777777" w:rsidTr="3DD8A1C0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66806D14" w:rsidR="000E5E95" w:rsidRPr="007A22FF" w:rsidRDefault="007416CD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bookmarkStart w:id="1" w:name="_GoBack"/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Update on </w:t>
            </w:r>
            <w:r w:rsidR="00381DC9">
              <w:rPr>
                <w:rStyle w:val="normaltextrun"/>
                <w:color w:val="000000"/>
                <w:bdr w:val="none" w:sz="0" w:space="0" w:color="auto" w:frame="1"/>
              </w:rPr>
              <w:t>IEP Improvement Project</w:t>
            </w:r>
            <w:bookmarkEnd w:id="1"/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2" w:name="TO"/>
      <w:bookmarkStart w:id="3" w:name="FROM"/>
      <w:bookmarkStart w:id="4" w:name="DATE"/>
      <w:bookmarkStart w:id="5" w:name="RE"/>
      <w:bookmarkEnd w:id="2"/>
      <w:bookmarkEnd w:id="3"/>
      <w:bookmarkEnd w:id="4"/>
      <w:bookmarkEnd w:id="5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760143E" w14:textId="77777777" w:rsidR="00381DC9" w:rsidRDefault="00381DC9" w:rsidP="00381DC9"/>
    <w:p w14:paraId="3BF57780" w14:textId="1E5A4361" w:rsidR="00381DC9" w:rsidRPr="00CE2009" w:rsidRDefault="00381DC9" w:rsidP="00381DC9">
      <w:pPr>
        <w:widowControl/>
        <w:autoSpaceDE w:val="0"/>
        <w:autoSpaceDN w:val="0"/>
        <w:adjustRightInd w:val="0"/>
        <w:rPr>
          <w:color w:val="333333"/>
        </w:rPr>
      </w:pPr>
      <w:r w:rsidRPr="00CE2009">
        <w:rPr>
          <w:color w:val="333333"/>
        </w:rPr>
        <w:t xml:space="preserve">In January 2020, the Board </w:t>
      </w:r>
      <w:r w:rsidR="003C0E25" w:rsidRPr="003C0E25">
        <w:rPr>
          <w:color w:val="333333"/>
        </w:rPr>
        <w:t xml:space="preserve">of Elementary and Secondary Education </w:t>
      </w:r>
      <w:r w:rsidR="003C0E25">
        <w:rPr>
          <w:color w:val="333333"/>
        </w:rPr>
        <w:t xml:space="preserve">(Board) </w:t>
      </w:r>
      <w:r w:rsidRPr="00CE2009">
        <w:rPr>
          <w:color w:val="333333"/>
        </w:rPr>
        <w:t xml:space="preserve">received information on the IEP Improvement Project, one of our initiatives to strengthen the quality of special education in the Commonwealth. </w:t>
      </w:r>
      <w:r>
        <w:rPr>
          <w:color w:val="333333"/>
        </w:rPr>
        <w:t xml:space="preserve">We continue to develop all aspects of a new Individualized Education Program (IEP) to </w:t>
      </w:r>
      <w:r w:rsidR="00CE2009">
        <w:rPr>
          <w:color w:val="333333"/>
        </w:rPr>
        <w:t>create</w:t>
      </w:r>
      <w:r>
        <w:rPr>
          <w:color w:val="333333"/>
        </w:rPr>
        <w:t xml:space="preserve"> robust guidance on the full IEP process, including referral, evaluation, eligibility, and IEP development and implementation. </w:t>
      </w:r>
      <w:r w:rsidRPr="00CE2009">
        <w:rPr>
          <w:color w:val="333333"/>
        </w:rPr>
        <w:t>I want to update you on recent progress on the project.</w:t>
      </w:r>
    </w:p>
    <w:p w14:paraId="0D1D7248" w14:textId="7339843F" w:rsidR="00486FEA" w:rsidRDefault="00486FEA" w:rsidP="00381DC9">
      <w:pPr>
        <w:pStyle w:val="NormalWeb"/>
        <w:shd w:val="clear" w:color="auto" w:fill="FFFFFF"/>
        <w:spacing w:before="240" w:beforeAutospacing="0" w:after="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Early Adopters: </w:t>
      </w:r>
      <w:r w:rsidR="000D30A0">
        <w:rPr>
          <w:color w:val="333333"/>
        </w:rPr>
        <w:t>Th</w:t>
      </w:r>
      <w:r>
        <w:rPr>
          <w:color w:val="333333"/>
        </w:rPr>
        <w:t xml:space="preserve">e Department </w:t>
      </w:r>
      <w:r w:rsidRPr="003C0E25">
        <w:rPr>
          <w:color w:val="333333"/>
        </w:rPr>
        <w:t xml:space="preserve">of Elementary and Secondary Education </w:t>
      </w:r>
      <w:r>
        <w:rPr>
          <w:color w:val="333333"/>
        </w:rPr>
        <w:t>(</w:t>
      </w:r>
      <w:r w:rsidRPr="0022554A">
        <w:rPr>
          <w:color w:val="333333"/>
        </w:rPr>
        <w:t>DESE</w:t>
      </w:r>
      <w:r>
        <w:rPr>
          <w:color w:val="333333"/>
        </w:rPr>
        <w:t xml:space="preserve">) </w:t>
      </w:r>
      <w:r w:rsidR="000D30A0">
        <w:rPr>
          <w:color w:val="333333"/>
        </w:rPr>
        <w:t xml:space="preserve">has </w:t>
      </w:r>
      <w:r>
        <w:rPr>
          <w:color w:val="333333"/>
        </w:rPr>
        <w:t xml:space="preserve">recruited a </w:t>
      </w:r>
      <w:r w:rsidR="000D30A0">
        <w:rPr>
          <w:color w:val="333333"/>
        </w:rPr>
        <w:t xml:space="preserve">cohort of </w:t>
      </w:r>
      <w:r w:rsidR="00D00CB7">
        <w:rPr>
          <w:color w:val="333333"/>
        </w:rPr>
        <w:t>e</w:t>
      </w:r>
      <w:r w:rsidR="000D30A0">
        <w:rPr>
          <w:color w:val="333333"/>
        </w:rPr>
        <w:t xml:space="preserve">arly </w:t>
      </w:r>
      <w:r w:rsidR="00D00CB7">
        <w:rPr>
          <w:color w:val="333333"/>
        </w:rPr>
        <w:t>a</w:t>
      </w:r>
      <w:r w:rsidR="000D30A0">
        <w:rPr>
          <w:color w:val="333333"/>
        </w:rPr>
        <w:t>dopter districts and schools to participate in the IEP Improvement Project.</w:t>
      </w:r>
    </w:p>
    <w:p w14:paraId="65398BEA" w14:textId="7C40E171" w:rsidR="000D30A0" w:rsidRPr="00CE2009" w:rsidRDefault="000D30A0" w:rsidP="000D30A0">
      <w:pPr>
        <w:pStyle w:val="ListParagraph"/>
        <w:numPr>
          <w:ilvl w:val="0"/>
          <w:numId w:val="23"/>
        </w:numPr>
        <w:autoSpaceDE w:val="0"/>
        <w:autoSpaceDN w:val="0"/>
        <w:adjustRightInd w:val="0"/>
        <w:contextualSpacing/>
      </w:pPr>
      <w:r w:rsidRPr="00CE2009">
        <w:t xml:space="preserve">In the recruitment phase, </w:t>
      </w:r>
      <w:r w:rsidR="00D30FCB">
        <w:t>DESE</w:t>
      </w:r>
      <w:r w:rsidRPr="00CE2009">
        <w:t xml:space="preserve"> received an impressive number of competitive applications for the </w:t>
      </w:r>
      <w:r w:rsidR="00663A80">
        <w:t>E</w:t>
      </w:r>
      <w:r w:rsidRPr="00CE2009">
        <w:t xml:space="preserve">arly </w:t>
      </w:r>
      <w:r w:rsidR="00663A80">
        <w:t>A</w:t>
      </w:r>
      <w:r w:rsidRPr="00CE2009">
        <w:t xml:space="preserve">dopter </w:t>
      </w:r>
      <w:r w:rsidR="00663A80">
        <w:t>C</w:t>
      </w:r>
      <w:r w:rsidRPr="00CE2009">
        <w:t>ohort</w:t>
      </w:r>
      <w:r w:rsidR="00D30FCB">
        <w:t xml:space="preserve"> and selected </w:t>
      </w:r>
      <w:r w:rsidR="00B905F0" w:rsidRPr="004B2707">
        <w:t xml:space="preserve">19 </w:t>
      </w:r>
      <w:r w:rsidRPr="004B2707">
        <w:t>schools and districts</w:t>
      </w:r>
      <w:r w:rsidRPr="00CE2009">
        <w:t xml:space="preserve"> </w:t>
      </w:r>
      <w:r w:rsidR="00834842">
        <w:t xml:space="preserve">across </w:t>
      </w:r>
      <w:r w:rsidRPr="00CE2009">
        <w:t>the Commonwealth. Th</w:t>
      </w:r>
      <w:r w:rsidR="00B845D9">
        <w:t xml:space="preserve">e </w:t>
      </w:r>
      <w:r w:rsidR="00834842">
        <w:t xml:space="preserve">cohort </w:t>
      </w:r>
      <w:r w:rsidRPr="00CE2009">
        <w:t xml:space="preserve">includes </w:t>
      </w:r>
      <w:r w:rsidR="00834842">
        <w:t xml:space="preserve">traditional </w:t>
      </w:r>
      <w:r w:rsidRPr="00CE2009">
        <w:t>public schools, charter schools, a regional vocational technical school, and approved special education schools</w:t>
      </w:r>
      <w:r w:rsidRPr="008C2F13">
        <w:t xml:space="preserve"> representing </w:t>
      </w:r>
      <w:r w:rsidRPr="00CE2009">
        <w:t>Massachusetts socio-economically, regionally, linguistically, racially</w:t>
      </w:r>
      <w:r w:rsidR="00D00CB7">
        <w:t>,</w:t>
      </w:r>
      <w:r w:rsidRPr="00CE2009">
        <w:t xml:space="preserve"> and culturally, as well as schools with a high incidence of </w:t>
      </w:r>
      <w:r w:rsidR="00B845D9">
        <w:t xml:space="preserve">students on </w:t>
      </w:r>
      <w:r w:rsidRPr="00CE2009">
        <w:t>IEPs. See appendix for the list of early adopters</w:t>
      </w:r>
      <w:r w:rsidR="00D00CB7">
        <w:t>.</w:t>
      </w:r>
    </w:p>
    <w:p w14:paraId="6BB979E1" w14:textId="33AFF622" w:rsidR="000D30A0" w:rsidRPr="00CE2009" w:rsidRDefault="000D30A0" w:rsidP="000D30A0">
      <w:pPr>
        <w:pStyle w:val="ListParagraph"/>
        <w:widowControl w:val="0"/>
        <w:numPr>
          <w:ilvl w:val="0"/>
          <w:numId w:val="23"/>
        </w:numPr>
        <w:contextualSpacing/>
      </w:pPr>
      <w:r w:rsidRPr="00CE2009">
        <w:t xml:space="preserve">Early adopters committed teams at the school and district/administration levels to engage in </w:t>
      </w:r>
      <w:hyperlink r:id="rId13" w:history="1">
        <w:r w:rsidRPr="00CE2009">
          <w:rPr>
            <w:rStyle w:val="Hyperlink"/>
          </w:rPr>
          <w:t>professional development, coaching, and technical assistance</w:t>
        </w:r>
      </w:hyperlink>
      <w:r w:rsidRPr="00CE2009">
        <w:t xml:space="preserve">; participate in the feedback process for guidance materials and tools; use and implement guidance and tools; provide actionable feedback about successes and lessons learned through project implementation; and receive grant </w:t>
      </w:r>
      <w:r w:rsidR="00634FE7">
        <w:t>funds to support</w:t>
      </w:r>
      <w:r w:rsidRPr="00CE2009">
        <w:t xml:space="preserve"> the work. </w:t>
      </w:r>
    </w:p>
    <w:p w14:paraId="45859FD4" w14:textId="12546CE8" w:rsidR="000D30A0" w:rsidRDefault="000D30A0" w:rsidP="000D30A0">
      <w:pPr>
        <w:pStyle w:val="ListParagraph"/>
        <w:numPr>
          <w:ilvl w:val="0"/>
          <w:numId w:val="23"/>
        </w:numPr>
        <w:autoSpaceDE w:val="0"/>
        <w:autoSpaceDN w:val="0"/>
        <w:adjustRightInd w:val="0"/>
        <w:contextualSpacing/>
      </w:pPr>
      <w:r w:rsidRPr="00E5298A">
        <w:t xml:space="preserve">The </w:t>
      </w:r>
      <w:r>
        <w:t>f</w:t>
      </w:r>
      <w:r w:rsidRPr="00E5298A">
        <w:t xml:space="preserve">irst </w:t>
      </w:r>
      <w:r w:rsidR="00663A80">
        <w:t>e</w:t>
      </w:r>
      <w:r w:rsidRPr="00E5298A">
        <w:t xml:space="preserve">arly </w:t>
      </w:r>
      <w:r w:rsidR="00663A80">
        <w:t>a</w:t>
      </w:r>
      <w:r w:rsidRPr="00E5298A">
        <w:t>dopter meeting</w:t>
      </w:r>
      <w:r>
        <w:t>s</w:t>
      </w:r>
      <w:r w:rsidRPr="00E5298A">
        <w:t xml:space="preserve"> </w:t>
      </w:r>
      <w:r>
        <w:t>are</w:t>
      </w:r>
      <w:r w:rsidRPr="00E5298A">
        <w:t xml:space="preserve"> scheduled for December 4</w:t>
      </w:r>
      <w:r>
        <w:t xml:space="preserve"> and 18</w:t>
      </w:r>
      <w:r w:rsidRPr="00E5298A">
        <w:t xml:space="preserve"> to go through key considerations for choosing a school or schools to participate</w:t>
      </w:r>
      <w:r>
        <w:t xml:space="preserve"> and </w:t>
      </w:r>
      <w:r w:rsidRPr="00E5298A">
        <w:t>to discuss next steps in forming inclusive team</w:t>
      </w:r>
      <w:r>
        <w:t>s.</w:t>
      </w:r>
    </w:p>
    <w:p w14:paraId="325161DB" w14:textId="77777777" w:rsidR="000D30A0" w:rsidRPr="00CE2009" w:rsidRDefault="000D30A0" w:rsidP="000D30A0">
      <w:pPr>
        <w:pStyle w:val="ListParagraph"/>
        <w:numPr>
          <w:ilvl w:val="0"/>
          <w:numId w:val="23"/>
        </w:numPr>
        <w:autoSpaceDE w:val="0"/>
        <w:autoSpaceDN w:val="0"/>
        <w:adjustRightInd w:val="0"/>
        <w:contextualSpacing/>
      </w:pPr>
      <w:r w:rsidRPr="00CE2009">
        <w:t xml:space="preserve">By January 2021, the Early Adopter Cohort will have begun to examine their local data and practices to prepare for setting their local improvement goals. </w:t>
      </w:r>
    </w:p>
    <w:p w14:paraId="52F62F68" w14:textId="54A22B8D" w:rsidR="00381DC9" w:rsidRPr="00722AFB" w:rsidRDefault="00381DC9" w:rsidP="00381DC9">
      <w:pPr>
        <w:pStyle w:val="NormalWeb"/>
        <w:shd w:val="clear" w:color="auto" w:fill="FFFFFF"/>
        <w:spacing w:before="240" w:beforeAutospacing="0" w:after="0" w:afterAutospacing="0"/>
        <w:rPr>
          <w:color w:val="333333"/>
        </w:rPr>
      </w:pPr>
      <w:r w:rsidRPr="0022554A">
        <w:rPr>
          <w:b/>
          <w:bCs/>
          <w:color w:val="333333"/>
        </w:rPr>
        <w:t xml:space="preserve">Stakeholder </w:t>
      </w:r>
      <w:r>
        <w:rPr>
          <w:b/>
          <w:bCs/>
          <w:color w:val="333333"/>
        </w:rPr>
        <w:t>E</w:t>
      </w:r>
      <w:r w:rsidRPr="0022554A">
        <w:rPr>
          <w:b/>
          <w:bCs/>
          <w:color w:val="333333"/>
        </w:rPr>
        <w:t>ngagement:</w:t>
      </w:r>
      <w:r w:rsidRPr="0022554A">
        <w:rPr>
          <w:color w:val="333333"/>
        </w:rPr>
        <w:t xml:space="preserve"> DESE</w:t>
      </w:r>
      <w:r w:rsidR="003C0E25">
        <w:rPr>
          <w:color w:val="333333"/>
        </w:rPr>
        <w:t xml:space="preserve"> </w:t>
      </w:r>
      <w:r w:rsidRPr="0022554A">
        <w:rPr>
          <w:color w:val="333333"/>
        </w:rPr>
        <w:t xml:space="preserve">contracted with </w:t>
      </w:r>
      <w:hyperlink r:id="rId14" w:history="1">
        <w:r w:rsidRPr="0022554A">
          <w:rPr>
            <w:rStyle w:val="Hyperlink"/>
          </w:rPr>
          <w:t>EDCO Collaborative</w:t>
        </w:r>
      </w:hyperlink>
      <w:r w:rsidRPr="0022554A">
        <w:rPr>
          <w:color w:val="333333"/>
        </w:rPr>
        <w:t xml:space="preserve"> to comprehensively engage and gather feedback from stakeholders on new guidance materials and tools</w:t>
      </w:r>
      <w:r>
        <w:rPr>
          <w:color w:val="333333"/>
        </w:rPr>
        <w:t>.</w:t>
      </w:r>
      <w:r w:rsidRPr="0022554A">
        <w:rPr>
          <w:color w:val="333333"/>
        </w:rPr>
        <w:t xml:space="preserve"> </w:t>
      </w:r>
    </w:p>
    <w:p w14:paraId="498594AD" w14:textId="4DADAAD9" w:rsidR="00381DC9" w:rsidRPr="00CE2009" w:rsidRDefault="00381DC9" w:rsidP="00381DC9">
      <w:pPr>
        <w:pStyle w:val="ListParagraph"/>
        <w:numPr>
          <w:ilvl w:val="0"/>
          <w:numId w:val="23"/>
        </w:numPr>
        <w:autoSpaceDE w:val="0"/>
        <w:autoSpaceDN w:val="0"/>
        <w:adjustRightInd w:val="0"/>
        <w:contextualSpacing/>
      </w:pPr>
      <w:r>
        <w:t xml:space="preserve">Nearly </w:t>
      </w:r>
      <w:r w:rsidRPr="75CD5D01">
        <w:rPr>
          <w:b/>
          <w:bCs/>
        </w:rPr>
        <w:t>200 new stakeholders</w:t>
      </w:r>
      <w:r>
        <w:t xml:space="preserve"> were recruited to join the </w:t>
      </w:r>
      <w:r w:rsidR="006F7A87" w:rsidRPr="004B2707">
        <w:t>Stakeholder Engagement groups</w:t>
      </w:r>
      <w:r>
        <w:t xml:space="preserve">. These groups will continue to grow as the </w:t>
      </w:r>
      <w:r w:rsidR="00D865A7">
        <w:t>e</w:t>
      </w:r>
      <w:r>
        <w:t xml:space="preserve">arly </w:t>
      </w:r>
      <w:r w:rsidR="00D865A7">
        <w:t>a</w:t>
      </w:r>
      <w:r>
        <w:t xml:space="preserve">dopters identify stakeholders within </w:t>
      </w:r>
      <w:r>
        <w:lastRenderedPageBreak/>
        <w:t xml:space="preserve">their schools and districts who will also participate in the Stakeholder Engagement groups. See appendix for a list of stakeholder representation. </w:t>
      </w:r>
    </w:p>
    <w:p w14:paraId="24A5A045" w14:textId="4337F92A" w:rsidR="00381DC9" w:rsidRPr="0055165A" w:rsidRDefault="00381DC9" w:rsidP="00381DC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5165A">
        <w:rPr>
          <w:color w:val="333333"/>
        </w:rPr>
        <w:t>During the summer and fall of 2020, orientation sessions were held for all stakeholders (both community</w:t>
      </w:r>
      <w:r w:rsidR="00DE3F7E">
        <w:rPr>
          <w:color w:val="333333"/>
        </w:rPr>
        <w:t>-</w:t>
      </w:r>
      <w:r w:rsidRPr="0055165A">
        <w:rPr>
          <w:color w:val="333333"/>
        </w:rPr>
        <w:t xml:space="preserve"> and school-based) and </w:t>
      </w:r>
      <w:r w:rsidR="00D865A7">
        <w:rPr>
          <w:color w:val="333333"/>
        </w:rPr>
        <w:t>e</w:t>
      </w:r>
      <w:r w:rsidRPr="0055165A">
        <w:rPr>
          <w:color w:val="333333"/>
        </w:rPr>
        <w:t xml:space="preserve">arly </w:t>
      </w:r>
      <w:r w:rsidR="00D865A7">
        <w:rPr>
          <w:color w:val="333333"/>
        </w:rPr>
        <w:t>a</w:t>
      </w:r>
      <w:r w:rsidRPr="0055165A">
        <w:rPr>
          <w:color w:val="333333"/>
        </w:rPr>
        <w:t xml:space="preserve">dopters. </w:t>
      </w:r>
    </w:p>
    <w:p w14:paraId="01022E5E" w14:textId="11D6F9B5" w:rsidR="00381DC9" w:rsidRPr="0055165A" w:rsidRDefault="00381DC9" w:rsidP="00381DC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5165A">
        <w:rPr>
          <w:color w:val="333333"/>
        </w:rPr>
        <w:t>Stakeholder groups are currently tasked with reviewing the project’s draft-resources, participating in iterative feedback and refinement cycles, as well as providing recommendations for implementation, operationalization, and sustainability</w:t>
      </w:r>
      <w:r w:rsidR="00FF41B6">
        <w:rPr>
          <w:color w:val="333333"/>
        </w:rPr>
        <w:t xml:space="preserve"> of </w:t>
      </w:r>
      <w:r w:rsidR="00FF41B6" w:rsidRPr="0022554A">
        <w:rPr>
          <w:color w:val="333333"/>
        </w:rPr>
        <w:t>new guidance</w:t>
      </w:r>
      <w:r w:rsidRPr="0055165A">
        <w:rPr>
          <w:color w:val="333333"/>
        </w:rPr>
        <w:t xml:space="preserve">. </w:t>
      </w:r>
    </w:p>
    <w:p w14:paraId="4BB98192" w14:textId="77777777" w:rsidR="00381DC9" w:rsidRPr="00D646AF" w:rsidRDefault="00381DC9" w:rsidP="00381DC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5165A">
        <w:rPr>
          <w:color w:val="333333"/>
        </w:rPr>
        <w:t xml:space="preserve">In January 2021, stakeholder groups will finalize and provide recommendations to DESE for the main sections of </w:t>
      </w:r>
      <w:r w:rsidRPr="00CE2009">
        <w:rPr>
          <w:rFonts w:eastAsiaTheme="minorHAnsi"/>
          <w:i/>
          <w:iCs/>
        </w:rPr>
        <w:t>Is Special Education the Right Service? Referral, Evaluation &amp; Eligibility Guide (ISERS)</w:t>
      </w:r>
      <w:r w:rsidRPr="0055165A">
        <w:rPr>
          <w:color w:val="333333"/>
        </w:rPr>
        <w:t>.</w:t>
      </w:r>
    </w:p>
    <w:p w14:paraId="6BEEE772" w14:textId="6B6C856C" w:rsidR="00FF41B6" w:rsidRDefault="00381DC9" w:rsidP="00381DC9">
      <w:pPr>
        <w:pStyle w:val="NormalWeb"/>
        <w:shd w:val="clear" w:color="auto" w:fill="FFFFFF"/>
        <w:spacing w:before="240" w:beforeAutospacing="0" w:after="0" w:afterAutospacing="0"/>
        <w:rPr>
          <w:color w:val="333333"/>
        </w:rPr>
      </w:pPr>
      <w:r w:rsidRPr="0022554A">
        <w:rPr>
          <w:b/>
          <w:bCs/>
          <w:color w:val="333333"/>
        </w:rPr>
        <w:t>Professional Development:</w:t>
      </w:r>
      <w:r>
        <w:rPr>
          <w:color w:val="333333"/>
        </w:rPr>
        <w:t xml:space="preserve"> DESE also contracted with </w:t>
      </w:r>
      <w:hyperlink r:id="rId15" w:history="1">
        <w:r w:rsidRPr="0022554A">
          <w:rPr>
            <w:rStyle w:val="Hyperlink"/>
          </w:rPr>
          <w:t>CAST</w:t>
        </w:r>
      </w:hyperlink>
      <w:r>
        <w:rPr>
          <w:color w:val="333333"/>
        </w:rPr>
        <w:t xml:space="preserve"> and its partners, </w:t>
      </w:r>
      <w:r w:rsidRPr="001668F6">
        <w:rPr>
          <w:color w:val="333333"/>
        </w:rPr>
        <w:t xml:space="preserve">the </w:t>
      </w:r>
      <w:hyperlink r:id="rId16" w:history="1">
        <w:r w:rsidRPr="001668F6">
          <w:rPr>
            <w:rStyle w:val="Hyperlink"/>
          </w:rPr>
          <w:t>Rennie Center for Education Research &amp; Policy</w:t>
        </w:r>
      </w:hyperlink>
      <w:r w:rsidRPr="001668F6">
        <w:rPr>
          <w:color w:val="333333"/>
        </w:rPr>
        <w:t xml:space="preserve">, the </w:t>
      </w:r>
      <w:hyperlink r:id="rId17" w:history="1">
        <w:r w:rsidRPr="001668F6">
          <w:rPr>
            <w:rStyle w:val="Hyperlink"/>
          </w:rPr>
          <w:t>Federation for Children with Special Needs</w:t>
        </w:r>
      </w:hyperlink>
      <w:r w:rsidRPr="001668F6">
        <w:rPr>
          <w:color w:val="333333"/>
        </w:rPr>
        <w:t xml:space="preserve">, and </w:t>
      </w:r>
      <w:hyperlink r:id="rId18" w:history="1">
        <w:proofErr w:type="spellStart"/>
        <w:r w:rsidRPr="001668F6">
          <w:rPr>
            <w:rStyle w:val="Hyperlink"/>
          </w:rPr>
          <w:t>BlackPrint</w:t>
        </w:r>
        <w:proofErr w:type="spellEnd"/>
        <w:r w:rsidRPr="001668F6">
          <w:rPr>
            <w:rStyle w:val="Hyperlink"/>
          </w:rPr>
          <w:t xml:space="preserve"> Education Consulting</w:t>
        </w:r>
      </w:hyperlink>
      <w:r>
        <w:rPr>
          <w:color w:val="333333"/>
        </w:rPr>
        <w:t xml:space="preserve">, to engage early adopters </w:t>
      </w:r>
      <w:r w:rsidR="00FF4169">
        <w:rPr>
          <w:color w:val="333333"/>
        </w:rPr>
        <w:t>in</w:t>
      </w:r>
      <w:r>
        <w:rPr>
          <w:color w:val="333333"/>
        </w:rPr>
        <w:t xml:space="preserve"> the </w:t>
      </w:r>
      <w:r w:rsidR="00FF41B6">
        <w:rPr>
          <w:color w:val="333333"/>
        </w:rPr>
        <w:t>improved</w:t>
      </w:r>
      <w:r>
        <w:rPr>
          <w:color w:val="333333"/>
        </w:rPr>
        <w:t xml:space="preserve"> IEP process</w:t>
      </w:r>
      <w:r w:rsidR="00FF41B6">
        <w:rPr>
          <w:color w:val="333333"/>
        </w:rPr>
        <w:t xml:space="preserve">. The </w:t>
      </w:r>
      <w:r>
        <w:rPr>
          <w:color w:val="333333"/>
        </w:rPr>
        <w:t xml:space="preserve">emphasis </w:t>
      </w:r>
      <w:r w:rsidR="00FF41B6">
        <w:rPr>
          <w:color w:val="333333"/>
        </w:rPr>
        <w:t>of this work is to</w:t>
      </w:r>
      <w:r>
        <w:rPr>
          <w:color w:val="333333"/>
        </w:rPr>
        <w:t xml:space="preserve"> </w:t>
      </w:r>
      <w:r w:rsidR="003F6819">
        <w:rPr>
          <w:color w:val="333333"/>
        </w:rPr>
        <w:t>improve student outcomes</w:t>
      </w:r>
      <w:r w:rsidR="006E1C6A">
        <w:rPr>
          <w:color w:val="333333"/>
        </w:rPr>
        <w:t xml:space="preserve">, </w:t>
      </w:r>
      <w:r w:rsidR="003F6819">
        <w:rPr>
          <w:color w:val="333333"/>
        </w:rPr>
        <w:t>by examining the design of educational systems and structures</w:t>
      </w:r>
      <w:r w:rsidR="00A473CA">
        <w:rPr>
          <w:color w:val="333333"/>
        </w:rPr>
        <w:t>;</w:t>
      </w:r>
      <w:r w:rsidR="00D86407">
        <w:rPr>
          <w:color w:val="333333"/>
        </w:rPr>
        <w:t xml:space="preserve"> </w:t>
      </w:r>
      <w:r w:rsidR="003F6819">
        <w:rPr>
          <w:color w:val="333333"/>
        </w:rPr>
        <w:t>removing barriers to student engagement</w:t>
      </w:r>
      <w:r w:rsidR="00A473CA">
        <w:rPr>
          <w:color w:val="333333"/>
        </w:rPr>
        <w:t>;</w:t>
      </w:r>
      <w:r w:rsidR="00D86407">
        <w:rPr>
          <w:color w:val="333333"/>
        </w:rPr>
        <w:t xml:space="preserve"> </w:t>
      </w:r>
      <w:r>
        <w:rPr>
          <w:color w:val="333333"/>
        </w:rPr>
        <w:t>advanc</w:t>
      </w:r>
      <w:r w:rsidR="003F6819">
        <w:rPr>
          <w:color w:val="333333"/>
        </w:rPr>
        <w:t>ing evidence-based policies, procedures, and instructional practices within an improved</w:t>
      </w:r>
      <w:r w:rsidR="00FF41B6" w:rsidRPr="00FF41B6">
        <w:rPr>
          <w:color w:val="333333"/>
        </w:rPr>
        <w:t xml:space="preserve"> IEP </w:t>
      </w:r>
      <w:r w:rsidR="003F6819">
        <w:rPr>
          <w:color w:val="333333"/>
        </w:rPr>
        <w:t>p</w:t>
      </w:r>
      <w:r w:rsidR="00FF41B6" w:rsidRPr="00FF41B6">
        <w:rPr>
          <w:color w:val="333333"/>
        </w:rPr>
        <w:t>rocess</w:t>
      </w:r>
      <w:r w:rsidR="00A473CA">
        <w:rPr>
          <w:color w:val="333333"/>
        </w:rPr>
        <w:t>;</w:t>
      </w:r>
      <w:r w:rsidR="003F6819">
        <w:rPr>
          <w:color w:val="333333"/>
        </w:rPr>
        <w:t xml:space="preserve"> </w:t>
      </w:r>
      <w:r w:rsidR="00D86407">
        <w:rPr>
          <w:color w:val="333333"/>
        </w:rPr>
        <w:t xml:space="preserve">and </w:t>
      </w:r>
      <w:r w:rsidR="003F6819">
        <w:rPr>
          <w:color w:val="333333"/>
        </w:rPr>
        <w:t xml:space="preserve">targeting areas </w:t>
      </w:r>
      <w:r w:rsidR="00FF41B6" w:rsidRPr="00FF41B6">
        <w:rPr>
          <w:color w:val="333333"/>
        </w:rPr>
        <w:t xml:space="preserve">where the </w:t>
      </w:r>
      <w:r w:rsidR="003F6819">
        <w:rPr>
          <w:color w:val="333333"/>
        </w:rPr>
        <w:t xml:space="preserve">instructional </w:t>
      </w:r>
      <w:r w:rsidR="00FF41B6" w:rsidRPr="00FF41B6">
        <w:rPr>
          <w:color w:val="333333"/>
        </w:rPr>
        <w:t xml:space="preserve">design </w:t>
      </w:r>
      <w:r w:rsidR="00FF4169">
        <w:rPr>
          <w:color w:val="333333"/>
        </w:rPr>
        <w:t xml:space="preserve">may </w:t>
      </w:r>
      <w:r w:rsidR="00FF41B6" w:rsidRPr="00FF41B6">
        <w:rPr>
          <w:color w:val="333333"/>
        </w:rPr>
        <w:t>inhibit student achievement.</w:t>
      </w:r>
    </w:p>
    <w:p w14:paraId="0CFEBA6C" w14:textId="77777777" w:rsidR="00381DC9" w:rsidRDefault="00381DC9" w:rsidP="00381DC9">
      <w:pPr>
        <w:widowControl/>
        <w:spacing w:after="160"/>
        <w:ind w:left="360"/>
        <w:contextualSpacing/>
        <w:rPr>
          <w:rFonts w:eastAsiaTheme="minorHAnsi"/>
          <w:snapToGrid/>
          <w:sz w:val="23"/>
          <w:szCs w:val="23"/>
        </w:rPr>
      </w:pPr>
    </w:p>
    <w:p w14:paraId="23427217" w14:textId="4D1DD253" w:rsidR="00381DC9" w:rsidRPr="00CE2009" w:rsidRDefault="00381DC9" w:rsidP="00381DC9">
      <w:pPr>
        <w:rPr>
          <w:rFonts w:eastAsiaTheme="minorHAnsi"/>
          <w:snapToGrid/>
          <w:szCs w:val="24"/>
        </w:rPr>
      </w:pPr>
      <w:r w:rsidRPr="00CE2009">
        <w:rPr>
          <w:rFonts w:eastAsiaTheme="minorHAnsi"/>
          <w:snapToGrid/>
          <w:szCs w:val="24"/>
        </w:rPr>
        <w:t xml:space="preserve">Throughout this work, </w:t>
      </w:r>
      <w:r w:rsidR="00E5298A">
        <w:rPr>
          <w:rFonts w:eastAsiaTheme="minorHAnsi"/>
          <w:snapToGrid/>
          <w:szCs w:val="24"/>
        </w:rPr>
        <w:t>all</w:t>
      </w:r>
      <w:r w:rsidRPr="00CE2009">
        <w:rPr>
          <w:rFonts w:eastAsiaTheme="minorHAnsi"/>
          <w:snapToGrid/>
          <w:szCs w:val="24"/>
        </w:rPr>
        <w:t xml:space="preserve"> conversations are grounded in the needs of students</w:t>
      </w:r>
      <w:r w:rsidR="00A95860">
        <w:rPr>
          <w:rFonts w:eastAsiaTheme="minorHAnsi"/>
          <w:snapToGrid/>
          <w:szCs w:val="24"/>
        </w:rPr>
        <w:t xml:space="preserve"> with disabilities</w:t>
      </w:r>
      <w:r w:rsidRPr="00CE2009">
        <w:rPr>
          <w:rFonts w:eastAsiaTheme="minorHAnsi"/>
          <w:snapToGrid/>
          <w:szCs w:val="24"/>
        </w:rPr>
        <w:t>, particularly those who have been historically marginalized –</w:t>
      </w:r>
      <w:r w:rsidR="00A95860">
        <w:rPr>
          <w:rFonts w:eastAsiaTheme="minorHAnsi"/>
          <w:snapToGrid/>
          <w:szCs w:val="24"/>
        </w:rPr>
        <w:t xml:space="preserve"> so that </w:t>
      </w:r>
      <w:r w:rsidRPr="00CE2009">
        <w:rPr>
          <w:rFonts w:eastAsiaTheme="minorHAnsi"/>
          <w:snapToGrid/>
          <w:szCs w:val="24"/>
        </w:rPr>
        <w:t xml:space="preserve">the guidance and tools </w:t>
      </w:r>
      <w:r w:rsidR="00367901">
        <w:rPr>
          <w:rFonts w:eastAsiaTheme="minorHAnsi"/>
          <w:snapToGrid/>
          <w:szCs w:val="24"/>
        </w:rPr>
        <w:t xml:space="preserve">that DESE produces </w:t>
      </w:r>
      <w:r w:rsidR="00A95860">
        <w:rPr>
          <w:rFonts w:eastAsiaTheme="minorHAnsi"/>
          <w:snapToGrid/>
          <w:szCs w:val="24"/>
        </w:rPr>
        <w:t xml:space="preserve">will be </w:t>
      </w:r>
      <w:r w:rsidRPr="00CE2009">
        <w:rPr>
          <w:rFonts w:eastAsiaTheme="minorHAnsi"/>
          <w:snapToGrid/>
          <w:szCs w:val="24"/>
        </w:rPr>
        <w:t>informed by diverse perspectives and are consistent with culturally sustaining practices.</w:t>
      </w:r>
    </w:p>
    <w:p w14:paraId="471FA051" w14:textId="77777777" w:rsidR="00381DC9" w:rsidRPr="00CE2009" w:rsidRDefault="00381DC9" w:rsidP="00381DC9">
      <w:pPr>
        <w:rPr>
          <w:rFonts w:eastAsiaTheme="minorHAnsi"/>
          <w:snapToGrid/>
          <w:szCs w:val="24"/>
        </w:rPr>
      </w:pPr>
    </w:p>
    <w:p w14:paraId="2356139A" w14:textId="77777777" w:rsidR="00381DC9" w:rsidRPr="00CE2009" w:rsidRDefault="00381DC9" w:rsidP="00381DC9">
      <w:pPr>
        <w:spacing w:after="160"/>
        <w:contextualSpacing/>
        <w:rPr>
          <w:szCs w:val="24"/>
        </w:rPr>
      </w:pPr>
      <w:r w:rsidRPr="00CE2009">
        <w:rPr>
          <w:szCs w:val="24"/>
        </w:rPr>
        <w:t>I will continue to update the Board on the IEP Improvement Project as the work proceeds.</w:t>
      </w:r>
    </w:p>
    <w:p w14:paraId="383ABC0F" w14:textId="77777777" w:rsidR="00381DC9" w:rsidRPr="007A26E4" w:rsidRDefault="00381DC9" w:rsidP="00381DC9">
      <w:pPr>
        <w:pStyle w:val="Heading1"/>
        <w:rPr>
          <w:rFonts w:eastAsiaTheme="minorHAnsi"/>
          <w:snapToGrid/>
          <w:sz w:val="28"/>
          <w:szCs w:val="28"/>
        </w:rPr>
      </w:pPr>
      <w:r>
        <w:rPr>
          <w:rFonts w:eastAsiaTheme="minorHAnsi"/>
          <w:snapToGrid/>
        </w:rPr>
        <w:br w:type="page"/>
      </w:r>
      <w:r w:rsidRPr="007A26E4">
        <w:rPr>
          <w:rFonts w:eastAsiaTheme="minorHAnsi"/>
          <w:snapToGrid/>
          <w:sz w:val="28"/>
          <w:szCs w:val="28"/>
        </w:rPr>
        <w:lastRenderedPageBreak/>
        <w:t>Appendix:</w:t>
      </w:r>
      <w:r w:rsidRPr="007A26E4">
        <w:rPr>
          <w:sz w:val="28"/>
          <w:szCs w:val="28"/>
        </w:rPr>
        <w:t xml:space="preserve"> </w:t>
      </w:r>
      <w:r w:rsidRPr="007A26E4">
        <w:rPr>
          <w:rFonts w:eastAsiaTheme="minorHAnsi"/>
          <w:snapToGrid/>
          <w:sz w:val="28"/>
          <w:szCs w:val="28"/>
        </w:rPr>
        <w:t xml:space="preserve">IEP Improvement Project </w:t>
      </w:r>
    </w:p>
    <w:p w14:paraId="06789731" w14:textId="77777777" w:rsidR="00F22E7F" w:rsidRDefault="00F22E7F" w:rsidP="00381DC9">
      <w:pPr>
        <w:pStyle w:val="Heading1"/>
        <w:jc w:val="left"/>
        <w:rPr>
          <w:rFonts w:eastAsiaTheme="minorHAnsi"/>
          <w:snapToGrid/>
          <w:sz w:val="28"/>
          <w:szCs w:val="28"/>
        </w:rPr>
      </w:pPr>
    </w:p>
    <w:p w14:paraId="3786E4A4" w14:textId="77777777" w:rsidR="00F22E7F" w:rsidRPr="007A26E4" w:rsidRDefault="00F22E7F" w:rsidP="00F22E7F">
      <w:pPr>
        <w:pStyle w:val="Heading1"/>
        <w:spacing w:before="240"/>
        <w:jc w:val="left"/>
        <w:rPr>
          <w:rFonts w:eastAsiaTheme="minorHAnsi"/>
          <w:snapToGrid/>
          <w:sz w:val="28"/>
          <w:szCs w:val="28"/>
        </w:rPr>
      </w:pPr>
      <w:r w:rsidRPr="007A26E4">
        <w:rPr>
          <w:rFonts w:eastAsiaTheme="minorHAnsi"/>
          <w:snapToGrid/>
          <w:sz w:val="28"/>
          <w:szCs w:val="28"/>
        </w:rPr>
        <w:t xml:space="preserve">Early Adopter Cohort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765"/>
      </w:tblGrid>
      <w:tr w:rsidR="00F22E7F" w14:paraId="78DF92E6" w14:textId="77777777" w:rsidTr="00873A17">
        <w:tc>
          <w:tcPr>
            <w:tcW w:w="4680" w:type="dxa"/>
          </w:tcPr>
          <w:p w14:paraId="4CFE2DEF" w14:textId="77777777" w:rsidR="00F22E7F" w:rsidRPr="0002602E" w:rsidRDefault="00F22E7F" w:rsidP="00873A17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Blackstone Valley Regional</w:t>
            </w:r>
          </w:p>
          <w:p w14:paraId="4E35192B" w14:textId="77777777" w:rsidR="00F22E7F" w:rsidRPr="0002602E" w:rsidRDefault="00F22E7F" w:rsidP="00873A17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Carver Public Schools</w:t>
            </w:r>
          </w:p>
          <w:p w14:paraId="66135D50" w14:textId="77777777" w:rsidR="00F22E7F" w:rsidRPr="0002602E" w:rsidRDefault="00F22E7F" w:rsidP="00873A17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Chelsea Public Schools</w:t>
            </w:r>
          </w:p>
          <w:p w14:paraId="0FEFA5F9" w14:textId="77777777" w:rsidR="00F22E7F" w:rsidRPr="0002602E" w:rsidRDefault="00F22E7F" w:rsidP="00873A17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Clinton Public Schools</w:t>
            </w:r>
          </w:p>
          <w:p w14:paraId="77BF081D" w14:textId="77777777" w:rsidR="00F22E7F" w:rsidRPr="0002602E" w:rsidRDefault="00F22E7F" w:rsidP="00873A17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Foxborough Regional Charter School</w:t>
            </w:r>
          </w:p>
          <w:p w14:paraId="76A72563" w14:textId="77777777" w:rsidR="00F22E7F" w:rsidRPr="0002602E" w:rsidRDefault="00F22E7F" w:rsidP="00873A17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Groton-Dunstable Regional School District</w:t>
            </w:r>
          </w:p>
          <w:p w14:paraId="055233B1" w14:textId="77777777" w:rsidR="00F22E7F" w:rsidRPr="0002602E" w:rsidRDefault="00F22E7F" w:rsidP="00873A17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League School of Greater Boston</w:t>
            </w:r>
          </w:p>
          <w:p w14:paraId="3D95AFFE" w14:textId="77777777" w:rsidR="00F22E7F" w:rsidRPr="0002602E" w:rsidRDefault="00F22E7F" w:rsidP="00873A17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Lenox Public Schools</w:t>
            </w:r>
          </w:p>
          <w:p w14:paraId="328D80EF" w14:textId="77777777" w:rsidR="00F22E7F" w:rsidRPr="0002602E" w:rsidRDefault="00F22E7F" w:rsidP="00873A17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Malden Public Schools</w:t>
            </w:r>
          </w:p>
          <w:p w14:paraId="79982C9C" w14:textId="77777777" w:rsidR="00F22E7F" w:rsidRDefault="00F22E7F" w:rsidP="00873A17">
            <w:pPr>
              <w:spacing w:after="160" w:line="259" w:lineRule="auto"/>
              <w:contextualSpacing/>
              <w:rPr>
                <w:rFonts w:eastAsiaTheme="minorHAnsi"/>
              </w:rPr>
            </w:pPr>
            <w:r w:rsidRPr="0002602E">
              <w:rPr>
                <w:sz w:val="23"/>
                <w:szCs w:val="23"/>
              </w:rPr>
              <w:t>Marblehead Public Schools</w:t>
            </w:r>
          </w:p>
        </w:tc>
        <w:tc>
          <w:tcPr>
            <w:tcW w:w="4765" w:type="dxa"/>
          </w:tcPr>
          <w:p w14:paraId="5DF44A11" w14:textId="77777777" w:rsidR="00F22E7F" w:rsidRPr="0002602E" w:rsidRDefault="00F22E7F" w:rsidP="00873A17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Mashpee</w:t>
            </w:r>
          </w:p>
          <w:p w14:paraId="7FCA4F81" w14:textId="77777777" w:rsidR="00F22E7F" w:rsidRPr="0002602E" w:rsidRDefault="00F22E7F" w:rsidP="00873A17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Medfield Public Schools</w:t>
            </w:r>
          </w:p>
          <w:p w14:paraId="0F590632" w14:textId="77777777" w:rsidR="00F22E7F" w:rsidRPr="0002602E" w:rsidRDefault="00F22E7F" w:rsidP="00873A17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New Bedford Public Schools</w:t>
            </w:r>
          </w:p>
          <w:p w14:paraId="654F693B" w14:textId="77777777" w:rsidR="00F22E7F" w:rsidRPr="0002602E" w:rsidRDefault="00F22E7F" w:rsidP="00873A17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Norton Public Schools</w:t>
            </w:r>
          </w:p>
          <w:p w14:paraId="3284D7B3" w14:textId="77777777" w:rsidR="00F22E7F" w:rsidRPr="0002602E" w:rsidRDefault="00F22E7F" w:rsidP="00873A17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Perkins School for the Blind</w:t>
            </w:r>
          </w:p>
          <w:p w14:paraId="2D53AAA5" w14:textId="77777777" w:rsidR="00F22E7F" w:rsidRPr="0002602E" w:rsidRDefault="00F22E7F" w:rsidP="00873A17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Pioneer Valley</w:t>
            </w:r>
          </w:p>
          <w:p w14:paraId="7DC653C1" w14:textId="77777777" w:rsidR="00F22E7F" w:rsidRPr="0002602E" w:rsidRDefault="00F22E7F" w:rsidP="00873A17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proofErr w:type="spellStart"/>
            <w:r w:rsidRPr="0002602E">
              <w:rPr>
                <w:sz w:val="23"/>
                <w:szCs w:val="23"/>
              </w:rPr>
              <w:t>Quabbin</w:t>
            </w:r>
            <w:proofErr w:type="spellEnd"/>
            <w:r w:rsidRPr="0002602E">
              <w:rPr>
                <w:sz w:val="23"/>
                <w:szCs w:val="23"/>
              </w:rPr>
              <w:t xml:space="preserve"> Regional Public Schools</w:t>
            </w:r>
          </w:p>
          <w:p w14:paraId="3C880ED2" w14:textId="77777777" w:rsidR="00F22E7F" w:rsidRPr="0002602E" w:rsidRDefault="00F22E7F" w:rsidP="00873A17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The Guild for Human Services School</w:t>
            </w:r>
          </w:p>
          <w:p w14:paraId="4AAD63EF" w14:textId="77777777" w:rsidR="00F22E7F" w:rsidRPr="007A5D60" w:rsidRDefault="00F22E7F" w:rsidP="00873A17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Waltham Public Schools</w:t>
            </w:r>
          </w:p>
        </w:tc>
      </w:tr>
    </w:tbl>
    <w:p w14:paraId="538F323B" w14:textId="77777777" w:rsidR="00F22E7F" w:rsidRDefault="00F22E7F" w:rsidP="00381DC9">
      <w:pPr>
        <w:pStyle w:val="Heading1"/>
        <w:jc w:val="left"/>
        <w:rPr>
          <w:rFonts w:eastAsiaTheme="minorHAnsi"/>
          <w:snapToGrid/>
          <w:sz w:val="28"/>
          <w:szCs w:val="28"/>
        </w:rPr>
      </w:pPr>
    </w:p>
    <w:p w14:paraId="0FEDD7A7" w14:textId="5B472625" w:rsidR="00381DC9" w:rsidRPr="007A26E4" w:rsidRDefault="00381DC9" w:rsidP="00381DC9">
      <w:pPr>
        <w:pStyle w:val="Heading1"/>
        <w:jc w:val="left"/>
        <w:rPr>
          <w:rFonts w:eastAsiaTheme="minorHAnsi"/>
          <w:snapToGrid/>
          <w:sz w:val="28"/>
          <w:szCs w:val="28"/>
        </w:rPr>
      </w:pPr>
      <w:r w:rsidRPr="007A26E4">
        <w:rPr>
          <w:rFonts w:eastAsiaTheme="minorHAnsi"/>
          <w:snapToGrid/>
          <w:sz w:val="28"/>
          <w:szCs w:val="28"/>
        </w:rPr>
        <w:t>Stakeholder Engagement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275"/>
        <w:gridCol w:w="2325"/>
        <w:gridCol w:w="2325"/>
      </w:tblGrid>
      <w:tr w:rsidR="00381DC9" w:rsidRPr="00EC2977" w14:paraId="13C1F648" w14:textId="77777777" w:rsidTr="007A26E4">
        <w:tc>
          <w:tcPr>
            <w:tcW w:w="9350" w:type="dxa"/>
            <w:gridSpan w:val="4"/>
          </w:tcPr>
          <w:p w14:paraId="3276D479" w14:textId="1213BB68" w:rsidR="00381DC9" w:rsidRPr="00EC2977" w:rsidRDefault="00381DC9" w:rsidP="007A26E4">
            <w:pPr>
              <w:widowControl/>
              <w:spacing w:after="160" w:line="259" w:lineRule="auto"/>
              <w:rPr>
                <w:rFonts w:eastAsiaTheme="minorHAnsi"/>
                <w:b/>
                <w:bCs/>
                <w:snapToGrid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snapToGrid/>
                <w:sz w:val="23"/>
                <w:szCs w:val="23"/>
              </w:rPr>
              <w:t xml:space="preserve">Schools </w:t>
            </w:r>
            <w:r w:rsidRPr="00EC2977">
              <w:rPr>
                <w:rFonts w:eastAsiaTheme="minorHAnsi"/>
                <w:b/>
                <w:bCs/>
                <w:snapToGrid/>
                <w:sz w:val="23"/>
                <w:szCs w:val="23"/>
              </w:rPr>
              <w:t>and Districts:</w:t>
            </w:r>
          </w:p>
        </w:tc>
      </w:tr>
      <w:tr w:rsidR="00381DC9" w:rsidRPr="00EC2977" w14:paraId="05710271" w14:textId="77777777" w:rsidTr="007A26E4">
        <w:tc>
          <w:tcPr>
            <w:tcW w:w="2425" w:type="dxa"/>
          </w:tcPr>
          <w:p w14:paraId="1311F735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Abington</w:t>
            </w:r>
          </w:p>
          <w:p w14:paraId="334577EF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Acton-Boxborough</w:t>
            </w:r>
          </w:p>
          <w:p w14:paraId="0B16D0D6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Agawam</w:t>
            </w:r>
          </w:p>
          <w:p w14:paraId="05566063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Alma del Mar Charter </w:t>
            </w:r>
          </w:p>
          <w:p w14:paraId="5DBC63BF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proofErr w:type="spellStart"/>
            <w:r w:rsidRPr="0002602E">
              <w:rPr>
                <w:sz w:val="23"/>
                <w:szCs w:val="23"/>
              </w:rPr>
              <w:t>Amego</w:t>
            </w:r>
            <w:proofErr w:type="spellEnd"/>
            <w:r w:rsidRPr="0002602E">
              <w:rPr>
                <w:sz w:val="23"/>
                <w:szCs w:val="23"/>
              </w:rPr>
              <w:t xml:space="preserve"> School, </w:t>
            </w:r>
            <w:proofErr w:type="spellStart"/>
            <w:r w:rsidRPr="0002602E">
              <w:rPr>
                <w:sz w:val="23"/>
                <w:szCs w:val="23"/>
              </w:rPr>
              <w:t>Amego</w:t>
            </w:r>
            <w:proofErr w:type="spellEnd"/>
            <w:r w:rsidRPr="0002602E">
              <w:rPr>
                <w:sz w:val="23"/>
                <w:szCs w:val="23"/>
              </w:rPr>
              <w:t>, Inc., Boston</w:t>
            </w:r>
          </w:p>
          <w:p w14:paraId="67378CD2" w14:textId="683BBF75" w:rsidR="00E5298A" w:rsidRPr="0002602E" w:rsidRDefault="00E5298A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Attleboro</w:t>
            </w:r>
          </w:p>
          <w:p w14:paraId="6FC042EB" w14:textId="545F54DC" w:rsidR="00E5298A" w:rsidRPr="0002602E" w:rsidRDefault="00E5298A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Boston</w:t>
            </w:r>
          </w:p>
          <w:p w14:paraId="1F4B6F8E" w14:textId="572CE0FE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Bristol County Agricultural</w:t>
            </w:r>
          </w:p>
          <w:p w14:paraId="2C0353E8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Brooke Charter School </w:t>
            </w:r>
          </w:p>
          <w:p w14:paraId="16B6C366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Center for School Crisis Intervention and Assessment</w:t>
            </w:r>
          </w:p>
          <w:p w14:paraId="7C72EAE8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Children's Center for Communication</w:t>
            </w:r>
          </w:p>
          <w:p w14:paraId="5FAAB1BA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City on a Hill Charter Public School-Circuit Street </w:t>
            </w:r>
          </w:p>
          <w:p w14:paraId="327118B1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Collaborative for Educational Services</w:t>
            </w:r>
          </w:p>
          <w:p w14:paraId="37CD1C43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Dighton-Rehoboth,</w:t>
            </w:r>
          </w:p>
          <w:p w14:paraId="52C207A3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Dr Franklin Perkins School,</w:t>
            </w:r>
          </w:p>
          <w:p w14:paraId="78ABD51F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Fall River, Frontier</w:t>
            </w:r>
          </w:p>
          <w:p w14:paraId="1689C576" w14:textId="6F05CB6A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Gloucester</w:t>
            </w:r>
          </w:p>
        </w:tc>
        <w:tc>
          <w:tcPr>
            <w:tcW w:w="2275" w:type="dxa"/>
          </w:tcPr>
          <w:p w14:paraId="05B0E9CB" w14:textId="77777777" w:rsidR="00647CB4" w:rsidRPr="0002602E" w:rsidRDefault="00647CB4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 xml:space="preserve">Granby </w:t>
            </w:r>
          </w:p>
          <w:p w14:paraId="3E68FE22" w14:textId="26F0F9EE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Hampden Charter School of Science East</w:t>
            </w:r>
          </w:p>
          <w:p w14:paraId="5CEA3604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Hanover</w:t>
            </w:r>
          </w:p>
          <w:p w14:paraId="2027253A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Harvard</w:t>
            </w:r>
          </w:p>
          <w:p w14:paraId="18CBD985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Haverhill</w:t>
            </w:r>
          </w:p>
          <w:p w14:paraId="5F6486AD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Holbrook</w:t>
            </w:r>
          </w:p>
          <w:p w14:paraId="2E8F8001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Ipswich</w:t>
            </w:r>
          </w:p>
          <w:p w14:paraId="522E6215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JRI The Victor School</w:t>
            </w:r>
          </w:p>
          <w:p w14:paraId="5875908D" w14:textId="2B50B37A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Judge Baker Children's Center</w:t>
            </w:r>
          </w:p>
          <w:p w14:paraId="313751A8" w14:textId="42E53D77" w:rsidR="00381DC9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KIPP Academy Boston Charter School </w:t>
            </w:r>
          </w:p>
          <w:p w14:paraId="6F73D43F" w14:textId="741487CE" w:rsidR="007A5D60" w:rsidRPr="0002602E" w:rsidRDefault="007A5D60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Lawrence</w:t>
            </w:r>
          </w:p>
          <w:p w14:paraId="32446B1B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Lee</w:t>
            </w:r>
          </w:p>
          <w:p w14:paraId="05CDB2D2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Lexington</w:t>
            </w:r>
          </w:p>
          <w:p w14:paraId="3F51C4C2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Ludlow</w:t>
            </w:r>
          </w:p>
          <w:p w14:paraId="73624631" w14:textId="73AF315D" w:rsidR="008B6F35" w:rsidRPr="0002602E" w:rsidRDefault="008B6F35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Lynn</w:t>
            </w:r>
          </w:p>
          <w:p w14:paraId="3EF60F3B" w14:textId="18CC5EEC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Lynnfield</w:t>
            </w:r>
          </w:p>
          <w:p w14:paraId="00B33297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Mansfield</w:t>
            </w:r>
          </w:p>
          <w:p w14:paraId="5071C9C9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Manville School</w:t>
            </w:r>
          </w:p>
          <w:p w14:paraId="3856F624" w14:textId="77777777" w:rsidR="00CC01D3" w:rsidRPr="0002602E" w:rsidRDefault="00CC01D3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 xml:space="preserve">Marblehead Community Charter Public </w:t>
            </w:r>
          </w:p>
          <w:p w14:paraId="7B2D9FE9" w14:textId="77777777" w:rsidR="00CC01D3" w:rsidRPr="0002602E" w:rsidRDefault="00CC01D3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lastRenderedPageBreak/>
              <w:t xml:space="preserve">Martha's Vineyard Charter </w:t>
            </w:r>
          </w:p>
          <w:p w14:paraId="75A86A66" w14:textId="383EB3AE" w:rsidR="00CC01D3" w:rsidRPr="0002602E" w:rsidRDefault="00CC01D3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2325" w:type="dxa"/>
          </w:tcPr>
          <w:p w14:paraId="3D4A04D9" w14:textId="5BA8C422" w:rsidR="007A5D60" w:rsidRDefault="007A5D60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lastRenderedPageBreak/>
              <w:t>Medfield</w:t>
            </w:r>
          </w:p>
          <w:p w14:paraId="5A13901A" w14:textId="587FE391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Medford</w:t>
            </w:r>
          </w:p>
          <w:p w14:paraId="3B8C0FE2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Milford</w:t>
            </w:r>
          </w:p>
          <w:p w14:paraId="074A3429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Milton</w:t>
            </w:r>
          </w:p>
          <w:p w14:paraId="44BFC151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Monomoy Regional School District</w:t>
            </w:r>
          </w:p>
          <w:p w14:paraId="0B6811A7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Monson</w:t>
            </w:r>
          </w:p>
          <w:p w14:paraId="3279E340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 xml:space="preserve">Mystic Valley Regional Charter </w:t>
            </w:r>
          </w:p>
          <w:p w14:paraId="090FCED8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Northampton-Smith Vocational Agricultural</w:t>
            </w:r>
          </w:p>
          <w:p w14:paraId="3E7ED79C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Northborough</w:t>
            </w:r>
          </w:p>
          <w:p w14:paraId="23225CC8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Northern Berkshire Regional Vocational Technical</w:t>
            </w:r>
          </w:p>
          <w:p w14:paraId="784E27B7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Norwood</w:t>
            </w:r>
          </w:p>
          <w:p w14:paraId="6956871F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Old Rochester</w:t>
            </w:r>
          </w:p>
          <w:p w14:paraId="378AA2FA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 xml:space="preserve">Paulo Freire Social Justice Charter School </w:t>
            </w:r>
          </w:p>
          <w:p w14:paraId="5B1BF6E0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Pilgrim Area Collaborative (PAC)</w:t>
            </w:r>
          </w:p>
          <w:p w14:paraId="5ADACC23" w14:textId="77777777" w:rsidR="005D1B7F" w:rsidRPr="0002602E" w:rsidRDefault="005D1B7F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Pioneer Valley Chinese Immersion Charter (District)</w:t>
            </w:r>
          </w:p>
          <w:p w14:paraId="5C9B2E2E" w14:textId="21286849" w:rsidR="005D1B7F" w:rsidRPr="0002602E" w:rsidRDefault="005D1B7F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RCS Learning Center School</w:t>
            </w:r>
          </w:p>
        </w:tc>
        <w:tc>
          <w:tcPr>
            <w:tcW w:w="2325" w:type="dxa"/>
          </w:tcPr>
          <w:p w14:paraId="0ED6D26F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proofErr w:type="spellStart"/>
            <w:r w:rsidRPr="0002602E">
              <w:rPr>
                <w:sz w:val="23"/>
                <w:szCs w:val="23"/>
              </w:rPr>
              <w:t>Sabis</w:t>
            </w:r>
            <w:proofErr w:type="spellEnd"/>
            <w:r w:rsidRPr="0002602E">
              <w:rPr>
                <w:sz w:val="23"/>
                <w:szCs w:val="23"/>
              </w:rPr>
              <w:t xml:space="preserve"> International Charter </w:t>
            </w:r>
          </w:p>
          <w:p w14:paraId="6253AC16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Sandwich</w:t>
            </w:r>
          </w:p>
          <w:p w14:paraId="3EFDB7EF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Somerville</w:t>
            </w:r>
          </w:p>
          <w:p w14:paraId="268633E7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South Shore Educational Collaborative (SSEC)</w:t>
            </w:r>
          </w:p>
          <w:p w14:paraId="0581E3DD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Southborough</w:t>
            </w:r>
          </w:p>
          <w:p w14:paraId="630F3893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Southern Worcester County Regional Vocational Technical</w:t>
            </w:r>
          </w:p>
          <w:p w14:paraId="59FA4E72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Southwick-Tolland-Granville Regional School District</w:t>
            </w:r>
          </w:p>
          <w:p w14:paraId="72A04C98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Spencer-E Brookfield</w:t>
            </w:r>
          </w:p>
          <w:p w14:paraId="0AA7539D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 xml:space="preserve">Sturgis Charter Public </w:t>
            </w:r>
          </w:p>
          <w:p w14:paraId="503F7331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Sudbury</w:t>
            </w:r>
          </w:p>
          <w:p w14:paraId="2D3311BE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Sutton</w:t>
            </w:r>
          </w:p>
          <w:p w14:paraId="1B3C71EE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Swansea</w:t>
            </w:r>
          </w:p>
          <w:p w14:paraId="29CEFA18" w14:textId="293C29B0" w:rsidR="008B6F35" w:rsidRPr="0002602E" w:rsidRDefault="008B6F35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Watertown</w:t>
            </w:r>
          </w:p>
          <w:p w14:paraId="78EB6B02" w14:textId="23059FC4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Weston</w:t>
            </w:r>
          </w:p>
          <w:p w14:paraId="7A752ABA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Westwood</w:t>
            </w:r>
          </w:p>
          <w:p w14:paraId="7BF51D46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Winchester</w:t>
            </w:r>
          </w:p>
        </w:tc>
      </w:tr>
      <w:tr w:rsidR="00381DC9" w:rsidRPr="00EC2977" w14:paraId="0AF21211" w14:textId="77777777" w:rsidTr="007A26E4">
        <w:tc>
          <w:tcPr>
            <w:tcW w:w="9350" w:type="dxa"/>
            <w:gridSpan w:val="4"/>
          </w:tcPr>
          <w:p w14:paraId="5B774DD7" w14:textId="15F3F1F3" w:rsidR="00381DC9" w:rsidRPr="003F4726" w:rsidRDefault="00381DC9" w:rsidP="007A26E4">
            <w:pPr>
              <w:widowControl/>
              <w:spacing w:after="160" w:line="259" w:lineRule="auto"/>
              <w:rPr>
                <w:rFonts w:eastAsiaTheme="minorHAnsi"/>
                <w:b/>
                <w:bCs/>
                <w:snapToGrid/>
                <w:sz w:val="23"/>
                <w:szCs w:val="23"/>
              </w:rPr>
            </w:pPr>
            <w:r w:rsidRPr="003F4726">
              <w:rPr>
                <w:rFonts w:eastAsiaTheme="minorHAnsi"/>
                <w:b/>
                <w:bCs/>
                <w:snapToGrid/>
                <w:sz w:val="23"/>
                <w:szCs w:val="23"/>
              </w:rPr>
              <w:t>Organizations, Partners and Advocacy Groups</w:t>
            </w:r>
            <w:r>
              <w:rPr>
                <w:rFonts w:eastAsiaTheme="minorHAnsi"/>
                <w:b/>
                <w:bCs/>
                <w:snapToGrid/>
                <w:sz w:val="23"/>
                <w:szCs w:val="23"/>
              </w:rPr>
              <w:t>:</w:t>
            </w:r>
          </w:p>
        </w:tc>
      </w:tr>
      <w:tr w:rsidR="00381DC9" w:rsidRPr="00EC2977" w14:paraId="61869D73" w14:textId="77777777" w:rsidTr="007A26E4">
        <w:tc>
          <w:tcPr>
            <w:tcW w:w="4700" w:type="dxa"/>
            <w:gridSpan w:val="2"/>
          </w:tcPr>
          <w:p w14:paraId="03ABCB4E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ARC of Mass or Affiliates Asperger/Autism Network</w:t>
            </w:r>
          </w:p>
          <w:p w14:paraId="70A31A7E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Autism Alliance</w:t>
            </w:r>
          </w:p>
          <w:p w14:paraId="3C3C4597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Braille Literacy Advisory Council</w:t>
            </w:r>
          </w:p>
          <w:p w14:paraId="6F468865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Bureau of Special Education Appeals</w:t>
            </w:r>
          </w:p>
          <w:p w14:paraId="7FEB8306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Burlington SEPAC</w:t>
            </w:r>
          </w:p>
          <w:p w14:paraId="090E7299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Chelsea SEPAC</w:t>
            </w:r>
          </w:p>
          <w:p w14:paraId="0A4EFCFA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Community Legal Aid</w:t>
            </w:r>
          </w:p>
          <w:p w14:paraId="134BA870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Decoding Dyslexia</w:t>
            </w:r>
          </w:p>
          <w:p w14:paraId="58898B35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Department of Children and Families</w:t>
            </w:r>
          </w:p>
          <w:p w14:paraId="2FAE44C6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Department of Developmental Services</w:t>
            </w:r>
          </w:p>
          <w:p w14:paraId="4B913593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Department of Youth Services and Special Education in Institutional Settings</w:t>
            </w:r>
          </w:p>
          <w:p w14:paraId="1CC1137C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Department of Public Health </w:t>
            </w:r>
          </w:p>
          <w:p w14:paraId="1B72DFA7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Federation for Children with Special Needs</w:t>
            </w:r>
          </w:p>
          <w:p w14:paraId="20FADCD7" w14:textId="77777777" w:rsidR="00136FEC" w:rsidRPr="0002602E" w:rsidRDefault="00136FEC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Massachusetts Association of Approved Private Schools </w:t>
            </w:r>
          </w:p>
          <w:p w14:paraId="52F6EF68" w14:textId="77777777" w:rsidR="00136FEC" w:rsidRPr="0002602E" w:rsidRDefault="00136FEC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MABENE</w:t>
            </w:r>
          </w:p>
          <w:p w14:paraId="36152FAC" w14:textId="664B57AC" w:rsidR="00136FEC" w:rsidRPr="0002602E" w:rsidRDefault="00136FEC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MASERS</w:t>
            </w:r>
          </w:p>
        </w:tc>
        <w:tc>
          <w:tcPr>
            <w:tcW w:w="4650" w:type="dxa"/>
            <w:gridSpan w:val="2"/>
          </w:tcPr>
          <w:p w14:paraId="6721DB1F" w14:textId="77777777" w:rsidR="004A0452" w:rsidRPr="0002602E" w:rsidRDefault="004A0452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Massachusetts Administrators for Special Education (ASE)</w:t>
            </w:r>
          </w:p>
          <w:p w14:paraId="1EC0B3D6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Massachusetts Advocates for Children</w:t>
            </w:r>
          </w:p>
          <w:p w14:paraId="61BFE1F2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Massachusetts Families Organizing for Change</w:t>
            </w:r>
          </w:p>
          <w:p w14:paraId="194BEC84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Massachusetts Commission for the Deaf and Hard of Hearing</w:t>
            </w:r>
          </w:p>
          <w:p w14:paraId="10BD3123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Massachusetts Mental Health Counselors Association</w:t>
            </w:r>
          </w:p>
          <w:p w14:paraId="4512D37F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MHLAC</w:t>
            </w:r>
          </w:p>
          <w:p w14:paraId="7E48896C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Massachusetts Organization of Educational Collaboratives</w:t>
            </w:r>
          </w:p>
          <w:p w14:paraId="059E1A81" w14:textId="77777777" w:rsidR="00883F4B" w:rsidRPr="0002602E" w:rsidRDefault="00883F4B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MA Urban</w:t>
            </w:r>
          </w:p>
          <w:p w14:paraId="3FCCEFB7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NESCA</w:t>
            </w:r>
          </w:p>
          <w:p w14:paraId="34152682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Special Education Advisory Panel</w:t>
            </w:r>
          </w:p>
          <w:p w14:paraId="2A7319B4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Special Needs Advocacy Network</w:t>
            </w:r>
          </w:p>
          <w:p w14:paraId="1CADC504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proofErr w:type="spellStart"/>
            <w:r w:rsidRPr="0002602E">
              <w:rPr>
                <w:sz w:val="23"/>
                <w:szCs w:val="23"/>
              </w:rPr>
              <w:t>SPEDWatch</w:t>
            </w:r>
            <w:proofErr w:type="spellEnd"/>
            <w:r w:rsidRPr="0002602E">
              <w:rPr>
                <w:sz w:val="23"/>
                <w:szCs w:val="23"/>
              </w:rPr>
              <w:t>, Inc.</w:t>
            </w:r>
          </w:p>
          <w:p w14:paraId="516BEDE3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University of Massachusetts</w:t>
            </w:r>
          </w:p>
          <w:p w14:paraId="34920996" w14:textId="77777777" w:rsidR="00381DC9" w:rsidRPr="0002602E" w:rsidRDefault="00381DC9" w:rsidP="0002602E">
            <w:pPr>
              <w:spacing w:after="160" w:line="259" w:lineRule="auto"/>
              <w:contextualSpacing/>
              <w:rPr>
                <w:sz w:val="23"/>
                <w:szCs w:val="23"/>
              </w:rPr>
            </w:pPr>
            <w:r w:rsidRPr="0002602E">
              <w:rPr>
                <w:sz w:val="23"/>
                <w:szCs w:val="23"/>
              </w:rPr>
              <w:t>Justice Center of Southeast Massachusetts</w:t>
            </w:r>
          </w:p>
        </w:tc>
      </w:tr>
    </w:tbl>
    <w:p w14:paraId="7150ADFD" w14:textId="77777777" w:rsidR="00647CB4" w:rsidRPr="00647CB4" w:rsidRDefault="00647CB4" w:rsidP="00647CB4">
      <w:pPr>
        <w:rPr>
          <w:rFonts w:eastAsiaTheme="minorHAnsi"/>
        </w:rPr>
      </w:pPr>
    </w:p>
    <w:sectPr w:rsidR="00647CB4" w:rsidRPr="00647CB4" w:rsidSect="007B3EE1">
      <w:footerReference w:type="default" r:id="rId19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127E0" w14:textId="77777777" w:rsidR="004E400A" w:rsidRDefault="004E400A">
      <w:r>
        <w:separator/>
      </w:r>
    </w:p>
  </w:endnote>
  <w:endnote w:type="continuationSeparator" w:id="0">
    <w:p w14:paraId="0463B209" w14:textId="77777777" w:rsidR="004E400A" w:rsidRDefault="004E400A">
      <w:r>
        <w:continuationSeparator/>
      </w:r>
    </w:p>
  </w:endnote>
  <w:endnote w:type="continuationNotice" w:id="1">
    <w:p w14:paraId="626E7005" w14:textId="77777777" w:rsidR="004E400A" w:rsidRDefault="004E40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7A57C" w14:textId="77777777" w:rsidR="004E400A" w:rsidRDefault="004E400A">
      <w:r>
        <w:separator/>
      </w:r>
    </w:p>
  </w:footnote>
  <w:footnote w:type="continuationSeparator" w:id="0">
    <w:p w14:paraId="6DCAFE0D" w14:textId="77777777" w:rsidR="004E400A" w:rsidRDefault="004E400A">
      <w:r>
        <w:continuationSeparator/>
      </w:r>
    </w:p>
  </w:footnote>
  <w:footnote w:type="continuationNotice" w:id="1">
    <w:p w14:paraId="3935A782" w14:textId="77777777" w:rsidR="004E400A" w:rsidRDefault="004E40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6B7664"/>
    <w:multiLevelType w:val="hybridMultilevel"/>
    <w:tmpl w:val="36909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CB11A0"/>
    <w:multiLevelType w:val="hybridMultilevel"/>
    <w:tmpl w:val="DF2E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05920"/>
    <w:multiLevelType w:val="hybridMultilevel"/>
    <w:tmpl w:val="E85804B4"/>
    <w:lvl w:ilvl="0" w:tplc="D9CC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CA1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52CE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FAE0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CF5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E4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A83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A04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44D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FB528F"/>
    <w:multiLevelType w:val="hybridMultilevel"/>
    <w:tmpl w:val="18B6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D70BF"/>
    <w:multiLevelType w:val="hybridMultilevel"/>
    <w:tmpl w:val="28C0DA1C"/>
    <w:lvl w:ilvl="0" w:tplc="B6209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507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E46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A44E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50C8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BE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AA2F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22B0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F4F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6"/>
  </w:num>
  <w:num w:numId="5">
    <w:abstractNumId w:val="6"/>
  </w:num>
  <w:num w:numId="6">
    <w:abstractNumId w:val="1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22"/>
  </w:num>
  <w:num w:numId="14">
    <w:abstractNumId w:val="13"/>
  </w:num>
  <w:num w:numId="15">
    <w:abstractNumId w:val="4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7"/>
  </w:num>
  <w:num w:numId="19">
    <w:abstractNumId w:val="1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2"/>
  </w:num>
  <w:num w:numId="23">
    <w:abstractNumId w:val="17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8F"/>
    <w:rsid w:val="000012C7"/>
    <w:rsid w:val="00001C6F"/>
    <w:rsid w:val="000022A8"/>
    <w:rsid w:val="00002AE4"/>
    <w:rsid w:val="00005D37"/>
    <w:rsid w:val="00006E03"/>
    <w:rsid w:val="00012F0E"/>
    <w:rsid w:val="00021821"/>
    <w:rsid w:val="00025507"/>
    <w:rsid w:val="0002602E"/>
    <w:rsid w:val="0004066E"/>
    <w:rsid w:val="00041CA1"/>
    <w:rsid w:val="00043ADE"/>
    <w:rsid w:val="000457B9"/>
    <w:rsid w:val="00046685"/>
    <w:rsid w:val="000475B1"/>
    <w:rsid w:val="00052EFE"/>
    <w:rsid w:val="000556C1"/>
    <w:rsid w:val="000576C5"/>
    <w:rsid w:val="00062FA8"/>
    <w:rsid w:val="00064857"/>
    <w:rsid w:val="000747B9"/>
    <w:rsid w:val="00085950"/>
    <w:rsid w:val="000A065E"/>
    <w:rsid w:val="000A0D6A"/>
    <w:rsid w:val="000A0F1D"/>
    <w:rsid w:val="000A59A0"/>
    <w:rsid w:val="000B1C0A"/>
    <w:rsid w:val="000B4D2D"/>
    <w:rsid w:val="000B726B"/>
    <w:rsid w:val="000C2726"/>
    <w:rsid w:val="000C2BCD"/>
    <w:rsid w:val="000D0908"/>
    <w:rsid w:val="000D0DB3"/>
    <w:rsid w:val="000D1D52"/>
    <w:rsid w:val="000D23B5"/>
    <w:rsid w:val="000D30A0"/>
    <w:rsid w:val="000E0994"/>
    <w:rsid w:val="000E49AC"/>
    <w:rsid w:val="000E5E95"/>
    <w:rsid w:val="000F4D5B"/>
    <w:rsid w:val="0010052A"/>
    <w:rsid w:val="0010114E"/>
    <w:rsid w:val="00102369"/>
    <w:rsid w:val="00110832"/>
    <w:rsid w:val="0011409B"/>
    <w:rsid w:val="001144C3"/>
    <w:rsid w:val="001258EC"/>
    <w:rsid w:val="00134901"/>
    <w:rsid w:val="00136904"/>
    <w:rsid w:val="00136FEC"/>
    <w:rsid w:val="001449CB"/>
    <w:rsid w:val="00150E88"/>
    <w:rsid w:val="001511A4"/>
    <w:rsid w:val="0015328C"/>
    <w:rsid w:val="001579CF"/>
    <w:rsid w:val="00164507"/>
    <w:rsid w:val="001652E5"/>
    <w:rsid w:val="00167E8F"/>
    <w:rsid w:val="00170340"/>
    <w:rsid w:val="00170515"/>
    <w:rsid w:val="001710B3"/>
    <w:rsid w:val="00185E9E"/>
    <w:rsid w:val="001865DA"/>
    <w:rsid w:val="00190AEB"/>
    <w:rsid w:val="00196311"/>
    <w:rsid w:val="001A3384"/>
    <w:rsid w:val="001A5C4B"/>
    <w:rsid w:val="001B2C64"/>
    <w:rsid w:val="001C0E08"/>
    <w:rsid w:val="001D2934"/>
    <w:rsid w:val="001D4709"/>
    <w:rsid w:val="001D4F6E"/>
    <w:rsid w:val="001E57B5"/>
    <w:rsid w:val="001F1BC3"/>
    <w:rsid w:val="001F5005"/>
    <w:rsid w:val="001F56D8"/>
    <w:rsid w:val="001F5825"/>
    <w:rsid w:val="00200F90"/>
    <w:rsid w:val="00201172"/>
    <w:rsid w:val="00205E61"/>
    <w:rsid w:val="00210C78"/>
    <w:rsid w:val="002111CB"/>
    <w:rsid w:val="00213AD5"/>
    <w:rsid w:val="00215FA9"/>
    <w:rsid w:val="002163A1"/>
    <w:rsid w:val="002308C1"/>
    <w:rsid w:val="002416E7"/>
    <w:rsid w:val="00241A1F"/>
    <w:rsid w:val="00243A55"/>
    <w:rsid w:val="002502CB"/>
    <w:rsid w:val="00261BFC"/>
    <w:rsid w:val="002654B4"/>
    <w:rsid w:val="00271228"/>
    <w:rsid w:val="002713FC"/>
    <w:rsid w:val="00273152"/>
    <w:rsid w:val="002813B0"/>
    <w:rsid w:val="00291F01"/>
    <w:rsid w:val="002A0EF6"/>
    <w:rsid w:val="002A3E22"/>
    <w:rsid w:val="002A68B5"/>
    <w:rsid w:val="002B030B"/>
    <w:rsid w:val="002B09A2"/>
    <w:rsid w:val="002B1689"/>
    <w:rsid w:val="002B48F5"/>
    <w:rsid w:val="002B4B10"/>
    <w:rsid w:val="002C0CF9"/>
    <w:rsid w:val="002C2CDF"/>
    <w:rsid w:val="002C56BD"/>
    <w:rsid w:val="002C622E"/>
    <w:rsid w:val="002D4EB8"/>
    <w:rsid w:val="002D6DA3"/>
    <w:rsid w:val="002F3534"/>
    <w:rsid w:val="002F5424"/>
    <w:rsid w:val="00306095"/>
    <w:rsid w:val="00307FDD"/>
    <w:rsid w:val="00315230"/>
    <w:rsid w:val="003166C8"/>
    <w:rsid w:val="00316F05"/>
    <w:rsid w:val="00329642"/>
    <w:rsid w:val="003300A8"/>
    <w:rsid w:val="00330D15"/>
    <w:rsid w:val="00341984"/>
    <w:rsid w:val="0035445A"/>
    <w:rsid w:val="00354C15"/>
    <w:rsid w:val="003550DC"/>
    <w:rsid w:val="003554AC"/>
    <w:rsid w:val="00360559"/>
    <w:rsid w:val="00361467"/>
    <w:rsid w:val="00363A77"/>
    <w:rsid w:val="00363EC5"/>
    <w:rsid w:val="00365F2F"/>
    <w:rsid w:val="00367901"/>
    <w:rsid w:val="00381DC9"/>
    <w:rsid w:val="00383EB3"/>
    <w:rsid w:val="0039194F"/>
    <w:rsid w:val="0039533A"/>
    <w:rsid w:val="003953C8"/>
    <w:rsid w:val="003A2F60"/>
    <w:rsid w:val="003B43E3"/>
    <w:rsid w:val="003C0E25"/>
    <w:rsid w:val="003C4139"/>
    <w:rsid w:val="003D0F91"/>
    <w:rsid w:val="003D25FA"/>
    <w:rsid w:val="003D335F"/>
    <w:rsid w:val="003E0ECA"/>
    <w:rsid w:val="003F6819"/>
    <w:rsid w:val="00404B36"/>
    <w:rsid w:val="00405677"/>
    <w:rsid w:val="0040659C"/>
    <w:rsid w:val="0041210C"/>
    <w:rsid w:val="00413AC0"/>
    <w:rsid w:val="004159AD"/>
    <w:rsid w:val="004173F3"/>
    <w:rsid w:val="004202BA"/>
    <w:rsid w:val="004233C3"/>
    <w:rsid w:val="004242A3"/>
    <w:rsid w:val="004242EF"/>
    <w:rsid w:val="00430F7E"/>
    <w:rsid w:val="00435E8F"/>
    <w:rsid w:val="00442409"/>
    <w:rsid w:val="00442F66"/>
    <w:rsid w:val="004621DF"/>
    <w:rsid w:val="00466D00"/>
    <w:rsid w:val="00471607"/>
    <w:rsid w:val="00473F1D"/>
    <w:rsid w:val="00477E80"/>
    <w:rsid w:val="00481D9E"/>
    <w:rsid w:val="00484D70"/>
    <w:rsid w:val="00485687"/>
    <w:rsid w:val="00486FEA"/>
    <w:rsid w:val="00487EF3"/>
    <w:rsid w:val="0049325F"/>
    <w:rsid w:val="00493CB7"/>
    <w:rsid w:val="004A0452"/>
    <w:rsid w:val="004A33E4"/>
    <w:rsid w:val="004A4B97"/>
    <w:rsid w:val="004A669E"/>
    <w:rsid w:val="004A7C2E"/>
    <w:rsid w:val="004B2707"/>
    <w:rsid w:val="004B2D72"/>
    <w:rsid w:val="004B3C8A"/>
    <w:rsid w:val="004D040A"/>
    <w:rsid w:val="004D2264"/>
    <w:rsid w:val="004D4CF2"/>
    <w:rsid w:val="004E060F"/>
    <w:rsid w:val="004E400A"/>
    <w:rsid w:val="004E5697"/>
    <w:rsid w:val="004F213A"/>
    <w:rsid w:val="004F2ACF"/>
    <w:rsid w:val="004F6089"/>
    <w:rsid w:val="005002A8"/>
    <w:rsid w:val="00501082"/>
    <w:rsid w:val="00507BF7"/>
    <w:rsid w:val="00511E41"/>
    <w:rsid w:val="005135B4"/>
    <w:rsid w:val="00516A0F"/>
    <w:rsid w:val="005217FC"/>
    <w:rsid w:val="00533742"/>
    <w:rsid w:val="00534FF2"/>
    <w:rsid w:val="00536648"/>
    <w:rsid w:val="00542D04"/>
    <w:rsid w:val="005430E2"/>
    <w:rsid w:val="005463E4"/>
    <w:rsid w:val="0055165A"/>
    <w:rsid w:val="0055308F"/>
    <w:rsid w:val="00554B85"/>
    <w:rsid w:val="00554F3B"/>
    <w:rsid w:val="00555019"/>
    <w:rsid w:val="00571660"/>
    <w:rsid w:val="00571666"/>
    <w:rsid w:val="00580DFA"/>
    <w:rsid w:val="0058702A"/>
    <w:rsid w:val="00590023"/>
    <w:rsid w:val="0059178C"/>
    <w:rsid w:val="005945D6"/>
    <w:rsid w:val="00595D74"/>
    <w:rsid w:val="00596375"/>
    <w:rsid w:val="005A3DFB"/>
    <w:rsid w:val="005A4C11"/>
    <w:rsid w:val="005B0DAB"/>
    <w:rsid w:val="005C071D"/>
    <w:rsid w:val="005C1013"/>
    <w:rsid w:val="005D013E"/>
    <w:rsid w:val="005D1011"/>
    <w:rsid w:val="005D1B7F"/>
    <w:rsid w:val="005D641B"/>
    <w:rsid w:val="005E3535"/>
    <w:rsid w:val="005E4C60"/>
    <w:rsid w:val="005E5C82"/>
    <w:rsid w:val="005F2DD8"/>
    <w:rsid w:val="005F4333"/>
    <w:rsid w:val="00600A56"/>
    <w:rsid w:val="00603C4D"/>
    <w:rsid w:val="00603CA0"/>
    <w:rsid w:val="00604024"/>
    <w:rsid w:val="00605CD3"/>
    <w:rsid w:val="00607C24"/>
    <w:rsid w:val="00616E24"/>
    <w:rsid w:val="00620208"/>
    <w:rsid w:val="00622645"/>
    <w:rsid w:val="00622847"/>
    <w:rsid w:val="00630B70"/>
    <w:rsid w:val="00634EB6"/>
    <w:rsid w:val="00634FE7"/>
    <w:rsid w:val="00635070"/>
    <w:rsid w:val="006375F6"/>
    <w:rsid w:val="0064770F"/>
    <w:rsid w:val="00647CB4"/>
    <w:rsid w:val="00653DA3"/>
    <w:rsid w:val="00656E10"/>
    <w:rsid w:val="00663A80"/>
    <w:rsid w:val="0066458A"/>
    <w:rsid w:val="006646C8"/>
    <w:rsid w:val="00666136"/>
    <w:rsid w:val="006667C0"/>
    <w:rsid w:val="0066789B"/>
    <w:rsid w:val="00680CCF"/>
    <w:rsid w:val="00681C2D"/>
    <w:rsid w:val="00691197"/>
    <w:rsid w:val="006925C9"/>
    <w:rsid w:val="00694145"/>
    <w:rsid w:val="006A0F24"/>
    <w:rsid w:val="006A3D35"/>
    <w:rsid w:val="006A5EC7"/>
    <w:rsid w:val="006C0F45"/>
    <w:rsid w:val="006C2934"/>
    <w:rsid w:val="006C32D4"/>
    <w:rsid w:val="006D4E62"/>
    <w:rsid w:val="006E1C6A"/>
    <w:rsid w:val="006F339C"/>
    <w:rsid w:val="006F5210"/>
    <w:rsid w:val="006F57AE"/>
    <w:rsid w:val="006F7A87"/>
    <w:rsid w:val="0070548F"/>
    <w:rsid w:val="007072FB"/>
    <w:rsid w:val="00711AB6"/>
    <w:rsid w:val="00713DC9"/>
    <w:rsid w:val="00714801"/>
    <w:rsid w:val="007155C0"/>
    <w:rsid w:val="007256AB"/>
    <w:rsid w:val="007374CB"/>
    <w:rsid w:val="00741038"/>
    <w:rsid w:val="007416CD"/>
    <w:rsid w:val="0074422E"/>
    <w:rsid w:val="00750959"/>
    <w:rsid w:val="00750D49"/>
    <w:rsid w:val="00755C81"/>
    <w:rsid w:val="007569B3"/>
    <w:rsid w:val="00761FD8"/>
    <w:rsid w:val="00763B5B"/>
    <w:rsid w:val="00763C00"/>
    <w:rsid w:val="007665E9"/>
    <w:rsid w:val="0077043F"/>
    <w:rsid w:val="007732FB"/>
    <w:rsid w:val="00774BD3"/>
    <w:rsid w:val="00776BBC"/>
    <w:rsid w:val="00784ACC"/>
    <w:rsid w:val="00785F0D"/>
    <w:rsid w:val="00787E2D"/>
    <w:rsid w:val="00791578"/>
    <w:rsid w:val="00793595"/>
    <w:rsid w:val="00795DAE"/>
    <w:rsid w:val="007A26E4"/>
    <w:rsid w:val="007A5D60"/>
    <w:rsid w:val="007B3EE1"/>
    <w:rsid w:val="007B5827"/>
    <w:rsid w:val="007C6735"/>
    <w:rsid w:val="007D2CAF"/>
    <w:rsid w:val="007D7768"/>
    <w:rsid w:val="007E2623"/>
    <w:rsid w:val="007E2E1E"/>
    <w:rsid w:val="007E62A6"/>
    <w:rsid w:val="00803008"/>
    <w:rsid w:val="00807EBF"/>
    <w:rsid w:val="00811500"/>
    <w:rsid w:val="008126E8"/>
    <w:rsid w:val="008163FF"/>
    <w:rsid w:val="00824A61"/>
    <w:rsid w:val="0083108B"/>
    <w:rsid w:val="00831CE9"/>
    <w:rsid w:val="00832A24"/>
    <w:rsid w:val="00834842"/>
    <w:rsid w:val="0083611B"/>
    <w:rsid w:val="00836B9C"/>
    <w:rsid w:val="00841589"/>
    <w:rsid w:val="00843308"/>
    <w:rsid w:val="00844114"/>
    <w:rsid w:val="00844D0E"/>
    <w:rsid w:val="008475E5"/>
    <w:rsid w:val="008551A3"/>
    <w:rsid w:val="00856572"/>
    <w:rsid w:val="00856EA1"/>
    <w:rsid w:val="00865C47"/>
    <w:rsid w:val="00867C54"/>
    <w:rsid w:val="00873A17"/>
    <w:rsid w:val="00883F4B"/>
    <w:rsid w:val="008862AD"/>
    <w:rsid w:val="0089434C"/>
    <w:rsid w:val="00896E27"/>
    <w:rsid w:val="008A07BF"/>
    <w:rsid w:val="008A5685"/>
    <w:rsid w:val="008A6FE5"/>
    <w:rsid w:val="008B14B1"/>
    <w:rsid w:val="008B6F35"/>
    <w:rsid w:val="008C238A"/>
    <w:rsid w:val="008C2F13"/>
    <w:rsid w:val="008C5534"/>
    <w:rsid w:val="008C6578"/>
    <w:rsid w:val="008C6F0E"/>
    <w:rsid w:val="008D0443"/>
    <w:rsid w:val="008D1C58"/>
    <w:rsid w:val="008D470F"/>
    <w:rsid w:val="008D5853"/>
    <w:rsid w:val="008E53BD"/>
    <w:rsid w:val="008E732C"/>
    <w:rsid w:val="008F18E7"/>
    <w:rsid w:val="008F57DA"/>
    <w:rsid w:val="008FD222"/>
    <w:rsid w:val="009005EB"/>
    <w:rsid w:val="00901C88"/>
    <w:rsid w:val="009048AD"/>
    <w:rsid w:val="00907632"/>
    <w:rsid w:val="00917F9D"/>
    <w:rsid w:val="00917FC7"/>
    <w:rsid w:val="00932810"/>
    <w:rsid w:val="00932C66"/>
    <w:rsid w:val="00936F13"/>
    <w:rsid w:val="00937BC3"/>
    <w:rsid w:val="00946156"/>
    <w:rsid w:val="009468E4"/>
    <w:rsid w:val="00947C0C"/>
    <w:rsid w:val="00955888"/>
    <w:rsid w:val="0096377A"/>
    <w:rsid w:val="0097067C"/>
    <w:rsid w:val="00972AD9"/>
    <w:rsid w:val="00976F4C"/>
    <w:rsid w:val="009778D0"/>
    <w:rsid w:val="00986649"/>
    <w:rsid w:val="009948D1"/>
    <w:rsid w:val="00996805"/>
    <w:rsid w:val="009A3F37"/>
    <w:rsid w:val="009A76CD"/>
    <w:rsid w:val="009B3502"/>
    <w:rsid w:val="009B3529"/>
    <w:rsid w:val="009B4B18"/>
    <w:rsid w:val="009C1350"/>
    <w:rsid w:val="009D11E3"/>
    <w:rsid w:val="009D638D"/>
    <w:rsid w:val="009E48AC"/>
    <w:rsid w:val="009E5DE8"/>
    <w:rsid w:val="009E6F5A"/>
    <w:rsid w:val="009F5663"/>
    <w:rsid w:val="009F7A16"/>
    <w:rsid w:val="009F7B78"/>
    <w:rsid w:val="00A02608"/>
    <w:rsid w:val="00A20194"/>
    <w:rsid w:val="00A273C1"/>
    <w:rsid w:val="00A327E4"/>
    <w:rsid w:val="00A34E6A"/>
    <w:rsid w:val="00A37BA6"/>
    <w:rsid w:val="00A37CC3"/>
    <w:rsid w:val="00A4251A"/>
    <w:rsid w:val="00A4297E"/>
    <w:rsid w:val="00A464FB"/>
    <w:rsid w:val="00A473CA"/>
    <w:rsid w:val="00A555FD"/>
    <w:rsid w:val="00A64182"/>
    <w:rsid w:val="00A669F1"/>
    <w:rsid w:val="00A70FE3"/>
    <w:rsid w:val="00A73C30"/>
    <w:rsid w:val="00A76105"/>
    <w:rsid w:val="00A7681B"/>
    <w:rsid w:val="00A9121F"/>
    <w:rsid w:val="00A91FF8"/>
    <w:rsid w:val="00A925C1"/>
    <w:rsid w:val="00A93A5E"/>
    <w:rsid w:val="00A94F83"/>
    <w:rsid w:val="00A954F1"/>
    <w:rsid w:val="00A95860"/>
    <w:rsid w:val="00AA2C45"/>
    <w:rsid w:val="00AA46CF"/>
    <w:rsid w:val="00AA4D66"/>
    <w:rsid w:val="00AA53EA"/>
    <w:rsid w:val="00AB5330"/>
    <w:rsid w:val="00AC1A57"/>
    <w:rsid w:val="00AC1C82"/>
    <w:rsid w:val="00AC355B"/>
    <w:rsid w:val="00AD3989"/>
    <w:rsid w:val="00AD461E"/>
    <w:rsid w:val="00AD58F2"/>
    <w:rsid w:val="00AD76BB"/>
    <w:rsid w:val="00AE1C9B"/>
    <w:rsid w:val="00AE40B7"/>
    <w:rsid w:val="00AF0A91"/>
    <w:rsid w:val="00AF2E1F"/>
    <w:rsid w:val="00AF406C"/>
    <w:rsid w:val="00AF6352"/>
    <w:rsid w:val="00B00032"/>
    <w:rsid w:val="00B0351F"/>
    <w:rsid w:val="00B10B56"/>
    <w:rsid w:val="00B13D27"/>
    <w:rsid w:val="00B15E7C"/>
    <w:rsid w:val="00B20D7F"/>
    <w:rsid w:val="00B23AD1"/>
    <w:rsid w:val="00B26E87"/>
    <w:rsid w:val="00B34968"/>
    <w:rsid w:val="00B3741A"/>
    <w:rsid w:val="00B37922"/>
    <w:rsid w:val="00B406F4"/>
    <w:rsid w:val="00B46222"/>
    <w:rsid w:val="00B56B38"/>
    <w:rsid w:val="00B6230A"/>
    <w:rsid w:val="00B81971"/>
    <w:rsid w:val="00B836AF"/>
    <w:rsid w:val="00B83F08"/>
    <w:rsid w:val="00B84176"/>
    <w:rsid w:val="00B845D9"/>
    <w:rsid w:val="00B905F0"/>
    <w:rsid w:val="00B9714D"/>
    <w:rsid w:val="00BA1BA6"/>
    <w:rsid w:val="00BA3C56"/>
    <w:rsid w:val="00BA6910"/>
    <w:rsid w:val="00BA7399"/>
    <w:rsid w:val="00BB208C"/>
    <w:rsid w:val="00BB31FB"/>
    <w:rsid w:val="00BB5D8F"/>
    <w:rsid w:val="00BB7BB2"/>
    <w:rsid w:val="00BC0B4A"/>
    <w:rsid w:val="00BC2F3A"/>
    <w:rsid w:val="00BD2885"/>
    <w:rsid w:val="00BD7402"/>
    <w:rsid w:val="00BE2178"/>
    <w:rsid w:val="00BE3CFB"/>
    <w:rsid w:val="00BF4ECA"/>
    <w:rsid w:val="00BF65B8"/>
    <w:rsid w:val="00C003E1"/>
    <w:rsid w:val="00C03116"/>
    <w:rsid w:val="00C20A80"/>
    <w:rsid w:val="00C24857"/>
    <w:rsid w:val="00C34091"/>
    <w:rsid w:val="00C35077"/>
    <w:rsid w:val="00C35831"/>
    <w:rsid w:val="00C37E40"/>
    <w:rsid w:val="00C40974"/>
    <w:rsid w:val="00C41BE1"/>
    <w:rsid w:val="00C46D5F"/>
    <w:rsid w:val="00C47D72"/>
    <w:rsid w:val="00C57023"/>
    <w:rsid w:val="00C65880"/>
    <w:rsid w:val="00C67032"/>
    <w:rsid w:val="00C7397D"/>
    <w:rsid w:val="00C750B5"/>
    <w:rsid w:val="00C81340"/>
    <w:rsid w:val="00C87116"/>
    <w:rsid w:val="00C8776E"/>
    <w:rsid w:val="00C974A6"/>
    <w:rsid w:val="00CB0D38"/>
    <w:rsid w:val="00CB3E17"/>
    <w:rsid w:val="00CB70FF"/>
    <w:rsid w:val="00CC01D3"/>
    <w:rsid w:val="00CC0D5A"/>
    <w:rsid w:val="00CC62B2"/>
    <w:rsid w:val="00CC66FF"/>
    <w:rsid w:val="00CC6C12"/>
    <w:rsid w:val="00CC756F"/>
    <w:rsid w:val="00CD2719"/>
    <w:rsid w:val="00CD616B"/>
    <w:rsid w:val="00CD6BD9"/>
    <w:rsid w:val="00CE2009"/>
    <w:rsid w:val="00CE5315"/>
    <w:rsid w:val="00CF66F0"/>
    <w:rsid w:val="00D00CB7"/>
    <w:rsid w:val="00D00F0A"/>
    <w:rsid w:val="00D0526F"/>
    <w:rsid w:val="00D135F0"/>
    <w:rsid w:val="00D1782C"/>
    <w:rsid w:val="00D21283"/>
    <w:rsid w:val="00D21D82"/>
    <w:rsid w:val="00D2509D"/>
    <w:rsid w:val="00D26B45"/>
    <w:rsid w:val="00D30FCB"/>
    <w:rsid w:val="00D43F5B"/>
    <w:rsid w:val="00D456B8"/>
    <w:rsid w:val="00D54AED"/>
    <w:rsid w:val="00D646AF"/>
    <w:rsid w:val="00D661CF"/>
    <w:rsid w:val="00D71C63"/>
    <w:rsid w:val="00D73B50"/>
    <w:rsid w:val="00D73C51"/>
    <w:rsid w:val="00D744BC"/>
    <w:rsid w:val="00D854CB"/>
    <w:rsid w:val="00D86407"/>
    <w:rsid w:val="00D865A7"/>
    <w:rsid w:val="00D875E3"/>
    <w:rsid w:val="00D87AA2"/>
    <w:rsid w:val="00D93DB6"/>
    <w:rsid w:val="00D9488D"/>
    <w:rsid w:val="00DA1886"/>
    <w:rsid w:val="00DA6385"/>
    <w:rsid w:val="00DB4613"/>
    <w:rsid w:val="00DB5DFB"/>
    <w:rsid w:val="00DC10F4"/>
    <w:rsid w:val="00DD1603"/>
    <w:rsid w:val="00DD1E7A"/>
    <w:rsid w:val="00DE3F7E"/>
    <w:rsid w:val="00DE73A8"/>
    <w:rsid w:val="00DF544F"/>
    <w:rsid w:val="00E00636"/>
    <w:rsid w:val="00E00E93"/>
    <w:rsid w:val="00E01297"/>
    <w:rsid w:val="00E03165"/>
    <w:rsid w:val="00E03D02"/>
    <w:rsid w:val="00E049DC"/>
    <w:rsid w:val="00E04E14"/>
    <w:rsid w:val="00E06367"/>
    <w:rsid w:val="00E06DAC"/>
    <w:rsid w:val="00E11954"/>
    <w:rsid w:val="00E25398"/>
    <w:rsid w:val="00E3387C"/>
    <w:rsid w:val="00E429C8"/>
    <w:rsid w:val="00E43496"/>
    <w:rsid w:val="00E43720"/>
    <w:rsid w:val="00E466AE"/>
    <w:rsid w:val="00E47D6B"/>
    <w:rsid w:val="00E520CA"/>
    <w:rsid w:val="00E5298A"/>
    <w:rsid w:val="00E555C3"/>
    <w:rsid w:val="00E56DAD"/>
    <w:rsid w:val="00E609E5"/>
    <w:rsid w:val="00E730C5"/>
    <w:rsid w:val="00E76581"/>
    <w:rsid w:val="00E77FAD"/>
    <w:rsid w:val="00E91B1E"/>
    <w:rsid w:val="00E93CFB"/>
    <w:rsid w:val="00E95F74"/>
    <w:rsid w:val="00E961C6"/>
    <w:rsid w:val="00EA1367"/>
    <w:rsid w:val="00EA599C"/>
    <w:rsid w:val="00EB17D8"/>
    <w:rsid w:val="00EC112C"/>
    <w:rsid w:val="00EC2F8B"/>
    <w:rsid w:val="00EC3C27"/>
    <w:rsid w:val="00EC6991"/>
    <w:rsid w:val="00EC7A18"/>
    <w:rsid w:val="00ED7240"/>
    <w:rsid w:val="00ED7872"/>
    <w:rsid w:val="00EE0A55"/>
    <w:rsid w:val="00EE24FC"/>
    <w:rsid w:val="00EF3C80"/>
    <w:rsid w:val="00EF572F"/>
    <w:rsid w:val="00F0058A"/>
    <w:rsid w:val="00F01D55"/>
    <w:rsid w:val="00F04445"/>
    <w:rsid w:val="00F071C7"/>
    <w:rsid w:val="00F0768F"/>
    <w:rsid w:val="00F12B42"/>
    <w:rsid w:val="00F1469B"/>
    <w:rsid w:val="00F15A05"/>
    <w:rsid w:val="00F22E7F"/>
    <w:rsid w:val="00F2396B"/>
    <w:rsid w:val="00F25840"/>
    <w:rsid w:val="00F259BE"/>
    <w:rsid w:val="00F26989"/>
    <w:rsid w:val="00F27F99"/>
    <w:rsid w:val="00F30A81"/>
    <w:rsid w:val="00F321E4"/>
    <w:rsid w:val="00F47B52"/>
    <w:rsid w:val="00F55CDD"/>
    <w:rsid w:val="00F56B5C"/>
    <w:rsid w:val="00F56BD3"/>
    <w:rsid w:val="00F635EF"/>
    <w:rsid w:val="00F64018"/>
    <w:rsid w:val="00F66B73"/>
    <w:rsid w:val="00F71DB4"/>
    <w:rsid w:val="00F74AEF"/>
    <w:rsid w:val="00F7557C"/>
    <w:rsid w:val="00F76E32"/>
    <w:rsid w:val="00F8088D"/>
    <w:rsid w:val="00F878C5"/>
    <w:rsid w:val="00FA4B46"/>
    <w:rsid w:val="00FB0D18"/>
    <w:rsid w:val="00FB1F4A"/>
    <w:rsid w:val="00FB46CC"/>
    <w:rsid w:val="00FB640A"/>
    <w:rsid w:val="00FB7A44"/>
    <w:rsid w:val="00FC4C0A"/>
    <w:rsid w:val="00FD5A0C"/>
    <w:rsid w:val="00FF111F"/>
    <w:rsid w:val="00FF4169"/>
    <w:rsid w:val="00FF41B6"/>
    <w:rsid w:val="00FF5380"/>
    <w:rsid w:val="00FF543C"/>
    <w:rsid w:val="00FF7398"/>
    <w:rsid w:val="01EC8A0A"/>
    <w:rsid w:val="02C016FF"/>
    <w:rsid w:val="02F28CA2"/>
    <w:rsid w:val="03AE2B7E"/>
    <w:rsid w:val="050F613C"/>
    <w:rsid w:val="082127B9"/>
    <w:rsid w:val="0E7F6FF3"/>
    <w:rsid w:val="0EF1877E"/>
    <w:rsid w:val="0FD1FE34"/>
    <w:rsid w:val="10A7A5FB"/>
    <w:rsid w:val="1132B30F"/>
    <w:rsid w:val="182EFA2E"/>
    <w:rsid w:val="18706EF6"/>
    <w:rsid w:val="188DFD47"/>
    <w:rsid w:val="18E1FE6F"/>
    <w:rsid w:val="1C1BB75C"/>
    <w:rsid w:val="1C4EAFF4"/>
    <w:rsid w:val="1CD4F7E2"/>
    <w:rsid w:val="201228C8"/>
    <w:rsid w:val="21891B03"/>
    <w:rsid w:val="2398721C"/>
    <w:rsid w:val="24307993"/>
    <w:rsid w:val="24B76A14"/>
    <w:rsid w:val="2CE303D2"/>
    <w:rsid w:val="2E3D2DBC"/>
    <w:rsid w:val="2EBA04B8"/>
    <w:rsid w:val="328A067C"/>
    <w:rsid w:val="34161E5B"/>
    <w:rsid w:val="36EB56B1"/>
    <w:rsid w:val="3D5D5370"/>
    <w:rsid w:val="3DD8A1C0"/>
    <w:rsid w:val="3E81E31A"/>
    <w:rsid w:val="41804814"/>
    <w:rsid w:val="41CB6526"/>
    <w:rsid w:val="45DA2DCD"/>
    <w:rsid w:val="46588BA9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4415296"/>
    <w:rsid w:val="55E28FDB"/>
    <w:rsid w:val="56FA61F5"/>
    <w:rsid w:val="5E6B50C5"/>
    <w:rsid w:val="60E6B398"/>
    <w:rsid w:val="6143E696"/>
    <w:rsid w:val="62DE264D"/>
    <w:rsid w:val="64CF4C6D"/>
    <w:rsid w:val="6640D2FB"/>
    <w:rsid w:val="66DB3849"/>
    <w:rsid w:val="67AD1EFD"/>
    <w:rsid w:val="6A39229A"/>
    <w:rsid w:val="6D7E2725"/>
    <w:rsid w:val="6FDE6E80"/>
    <w:rsid w:val="72497569"/>
    <w:rsid w:val="7324E5B6"/>
    <w:rsid w:val="739F7F66"/>
    <w:rsid w:val="75CD5D01"/>
    <w:rsid w:val="7739446D"/>
    <w:rsid w:val="77D6145F"/>
    <w:rsid w:val="7C2FA90D"/>
    <w:rsid w:val="7C5A8C3F"/>
    <w:rsid w:val="7CC63E4F"/>
    <w:rsid w:val="7DF65CA0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F7F9EF5B-75A7-41E0-ACC4-0D566062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uiPriority w:val="39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research/success/" TargetMode="External"/><Relationship Id="rId18" Type="http://schemas.openxmlformats.org/officeDocument/2006/relationships/hyperlink" Target="https://theblackprintinc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fcsn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nniecenter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ast.org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colla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DESE-231-66590</_dlc_DocId>
    <_dlc_DocIdUrl xmlns="733efe1c-5bbe-4968-87dc-d400e65c879f">
      <Url>https://sharepoint.doemass.org/ese/webteam/cps/_layouts/DocIdRedir.aspx?ID=DESE-231-66590</Url>
      <Description>DESE-231-66590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CE24A1-44B1-4609-9B11-276CFC666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43D21-89D9-4DD1-A12B-57B516265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23DEEB40-BE9D-4D8B-AAFA-9E08D9D70F6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December Item 7 Memo.IEP 12.8</vt:lpstr>
    </vt:vector>
  </TitlesOfParts>
  <Company/>
  <LinksUpToDate>false</LinksUpToDate>
  <CharactersWithSpaces>7903</CharactersWithSpaces>
  <SharedDoc>false</SharedDoc>
  <HLinks>
    <vt:vector size="36" baseType="variant">
      <vt:variant>
        <vt:i4>589852</vt:i4>
      </vt:variant>
      <vt:variant>
        <vt:i4>15</vt:i4>
      </vt:variant>
      <vt:variant>
        <vt:i4>0</vt:i4>
      </vt:variant>
      <vt:variant>
        <vt:i4>5</vt:i4>
      </vt:variant>
      <vt:variant>
        <vt:lpwstr>https://theblackprintinc.com/</vt:lpwstr>
      </vt:variant>
      <vt:variant>
        <vt:lpwstr/>
      </vt:variant>
      <vt:variant>
        <vt:i4>1310729</vt:i4>
      </vt:variant>
      <vt:variant>
        <vt:i4>12</vt:i4>
      </vt:variant>
      <vt:variant>
        <vt:i4>0</vt:i4>
      </vt:variant>
      <vt:variant>
        <vt:i4>5</vt:i4>
      </vt:variant>
      <vt:variant>
        <vt:lpwstr>https://fcsn.org/</vt:lpwstr>
      </vt:variant>
      <vt:variant>
        <vt:lpwstr/>
      </vt:variant>
      <vt:variant>
        <vt:i4>5046273</vt:i4>
      </vt:variant>
      <vt:variant>
        <vt:i4>9</vt:i4>
      </vt:variant>
      <vt:variant>
        <vt:i4>0</vt:i4>
      </vt:variant>
      <vt:variant>
        <vt:i4>5</vt:i4>
      </vt:variant>
      <vt:variant>
        <vt:lpwstr>https://www.renniecenter.org/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https://www.cast.org/</vt:lpwstr>
      </vt:variant>
      <vt:variant>
        <vt:lpwstr/>
      </vt:variant>
      <vt:variant>
        <vt:i4>1835031</vt:i4>
      </vt:variant>
      <vt:variant>
        <vt:i4>3</vt:i4>
      </vt:variant>
      <vt:variant>
        <vt:i4>0</vt:i4>
      </vt:variant>
      <vt:variant>
        <vt:i4>5</vt:i4>
      </vt:variant>
      <vt:variant>
        <vt:lpwstr>https://edcollab.org/</vt:lpwstr>
      </vt:variant>
      <vt:variant>
        <vt:lpwstr/>
      </vt:variant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https://www.doe.mass.edu/research/success/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December 2020 Item 7 Memo: Update on IEP Improvement Project</dc:title>
  <dc:subject/>
  <dc:creator>DESE</dc:creator>
  <cp:keywords/>
  <cp:lastModifiedBy>Zou, Dong (EOE)</cp:lastModifiedBy>
  <cp:revision>4</cp:revision>
  <cp:lastPrinted>2008-03-05T21:17:00Z</cp:lastPrinted>
  <dcterms:created xsi:type="dcterms:W3CDTF">2020-12-08T16:15:00Z</dcterms:created>
  <dcterms:modified xsi:type="dcterms:W3CDTF">2020-12-09T16:42:00Z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9 2020</vt:lpwstr>
  </property>
</Properties>
</file>