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6EDB5" w14:textId="211C0D7D" w:rsidR="00DA559F" w:rsidRPr="00FA64A0" w:rsidRDefault="003017BA" w:rsidP="008A6C44">
      <w:pPr>
        <w:spacing w:after="0"/>
        <w:rPr>
          <w:b/>
          <w:bCs/>
        </w:rPr>
      </w:pPr>
      <w:r>
        <w:rPr>
          <w:b/>
          <w:bCs/>
        </w:rPr>
        <w:t>Secondary-</w:t>
      </w:r>
      <w:r w:rsidR="003252BB" w:rsidRPr="00FA64A0">
        <w:rPr>
          <w:b/>
          <w:bCs/>
        </w:rPr>
        <w:t>Postsecondary Linkages</w:t>
      </w:r>
    </w:p>
    <w:p w14:paraId="650281F4" w14:textId="6DA15738" w:rsidR="003252BB" w:rsidRDefault="0CEE2FDA" w:rsidP="008A6C44">
      <w:pPr>
        <w:spacing w:after="0"/>
        <w:rPr>
          <w:rFonts w:eastAsia="Times New Roman"/>
        </w:rPr>
      </w:pPr>
      <w:r w:rsidRPr="6AA9322A">
        <w:t>The link between secondary and postsecondary education for students enrolled in career and technical education is a required component of Perkins V.</w:t>
      </w:r>
      <w:r w:rsidRPr="6AA9322A">
        <w:rPr>
          <w:rFonts w:eastAsia="Times New Roman"/>
        </w:rPr>
        <w:t xml:space="preserve"> </w:t>
      </w:r>
      <w:r w:rsidR="003017BA" w:rsidRPr="6AA9322A">
        <w:rPr>
          <w:rFonts w:eastAsia="Times New Roman"/>
        </w:rPr>
        <w:t xml:space="preserve">A minimum of 20% of the Perkins Postsecondary allocations funds must be used for secondary-postsecondary linkage activities and services. </w:t>
      </w:r>
    </w:p>
    <w:p w14:paraId="5B3A0C17" w14:textId="77777777" w:rsidR="00D97C13" w:rsidRPr="003017BA" w:rsidRDefault="00D97C13" w:rsidP="008A6C44">
      <w:pPr>
        <w:spacing w:after="0"/>
        <w:rPr>
          <w:rFonts w:eastAsia="Times New Roman"/>
        </w:rPr>
      </w:pPr>
    </w:p>
    <w:tbl>
      <w:tblPr>
        <w:tblStyle w:val="TableGrid"/>
        <w:tblW w:w="9490" w:type="dxa"/>
        <w:tblLook w:val="04A0" w:firstRow="1" w:lastRow="0" w:firstColumn="1" w:lastColumn="0" w:noHBand="0" w:noVBand="1"/>
      </w:tblPr>
      <w:tblGrid>
        <w:gridCol w:w="2695"/>
        <w:gridCol w:w="6795"/>
      </w:tblGrid>
      <w:tr w:rsidR="003252BB" w:rsidRPr="00FA64A0" w14:paraId="64CAE599" w14:textId="77777777" w:rsidTr="6AA9322A">
        <w:tc>
          <w:tcPr>
            <w:tcW w:w="2695" w:type="dxa"/>
          </w:tcPr>
          <w:p w14:paraId="1AE659C8" w14:textId="5D0CD41E" w:rsidR="003252BB" w:rsidRPr="00FA64A0" w:rsidRDefault="003252BB" w:rsidP="008A6C44">
            <w:pPr>
              <w:rPr>
                <w:b/>
                <w:bCs/>
                <w:sz w:val="20"/>
                <w:szCs w:val="20"/>
              </w:rPr>
            </w:pPr>
            <w:r w:rsidRPr="00FA64A0">
              <w:rPr>
                <w:b/>
                <w:bCs/>
                <w:sz w:val="20"/>
                <w:szCs w:val="20"/>
              </w:rPr>
              <w:t>What are secondary-postsecondary linkages?</w:t>
            </w:r>
          </w:p>
        </w:tc>
        <w:tc>
          <w:tcPr>
            <w:tcW w:w="6795" w:type="dxa"/>
          </w:tcPr>
          <w:p w14:paraId="120F01F6" w14:textId="0C4F6665" w:rsidR="003252BB" w:rsidRPr="00FA64A0" w:rsidRDefault="23B39190" w:rsidP="008A6C44">
            <w:pPr>
              <w:rPr>
                <w:sz w:val="20"/>
                <w:szCs w:val="20"/>
              </w:rPr>
            </w:pPr>
            <w:r w:rsidRPr="6AA9322A">
              <w:rPr>
                <w:i/>
                <w:iCs/>
                <w:sz w:val="20"/>
                <w:szCs w:val="20"/>
              </w:rPr>
              <w:t>S</w:t>
            </w:r>
            <w:r w:rsidR="003252BB" w:rsidRPr="6AA9322A">
              <w:rPr>
                <w:i/>
                <w:iCs/>
                <w:sz w:val="20"/>
                <w:szCs w:val="20"/>
              </w:rPr>
              <w:t>econdary</w:t>
            </w:r>
            <w:r w:rsidR="003017BA" w:rsidRPr="6AA9322A">
              <w:rPr>
                <w:i/>
                <w:iCs/>
                <w:sz w:val="20"/>
                <w:szCs w:val="20"/>
              </w:rPr>
              <w:t>-</w:t>
            </w:r>
            <w:r w:rsidR="003252BB" w:rsidRPr="6AA9322A">
              <w:rPr>
                <w:i/>
                <w:iCs/>
                <w:sz w:val="20"/>
                <w:szCs w:val="20"/>
              </w:rPr>
              <w:t>postsecondary linkages</w:t>
            </w:r>
            <w:r w:rsidR="003252BB" w:rsidRPr="6AA9322A">
              <w:rPr>
                <w:sz w:val="20"/>
                <w:szCs w:val="20"/>
              </w:rPr>
              <w:t xml:space="preserve"> </w:t>
            </w:r>
            <w:r w:rsidR="71B43E0A" w:rsidRPr="6AA9322A">
              <w:rPr>
                <w:sz w:val="20"/>
                <w:szCs w:val="20"/>
              </w:rPr>
              <w:t>refer</w:t>
            </w:r>
            <w:r w:rsidR="003252BB" w:rsidRPr="6AA9322A">
              <w:rPr>
                <w:sz w:val="20"/>
                <w:szCs w:val="20"/>
              </w:rPr>
              <w:t>s</w:t>
            </w:r>
            <w:r w:rsidR="003017BA" w:rsidRPr="6AA9322A">
              <w:rPr>
                <w:sz w:val="20"/>
                <w:szCs w:val="20"/>
              </w:rPr>
              <w:t xml:space="preserve"> </w:t>
            </w:r>
            <w:r w:rsidR="71B43E0A" w:rsidRPr="6AA9322A">
              <w:rPr>
                <w:sz w:val="20"/>
                <w:szCs w:val="20"/>
              </w:rPr>
              <w:t xml:space="preserve">to </w:t>
            </w:r>
            <w:r w:rsidR="003017BA" w:rsidRPr="6AA9322A">
              <w:rPr>
                <w:sz w:val="20"/>
                <w:szCs w:val="20"/>
              </w:rPr>
              <w:t>the</w:t>
            </w:r>
            <w:r w:rsidR="003252BB" w:rsidRPr="6AA9322A">
              <w:rPr>
                <w:sz w:val="20"/>
                <w:szCs w:val="20"/>
              </w:rPr>
              <w:t xml:space="preserve"> coordination of career and technical education programs between high schools, two and four-year colleges, and registered apprenticeship programs.  It means effectively and meaningfully illustrating to students (and parents/guardians) how secondary career and technical education (i.e., coursework and achievement) is tied to postsecondary career and technical education.  </w:t>
            </w:r>
          </w:p>
        </w:tc>
      </w:tr>
      <w:tr w:rsidR="003017BA" w:rsidRPr="00FA64A0" w14:paraId="3AAD35A4" w14:textId="77777777" w:rsidTr="6AA9322A">
        <w:tc>
          <w:tcPr>
            <w:tcW w:w="2695" w:type="dxa"/>
          </w:tcPr>
          <w:p w14:paraId="2F64526D" w14:textId="379A6872" w:rsidR="003017BA" w:rsidRPr="00FA64A0" w:rsidRDefault="003017BA" w:rsidP="008A6C44">
            <w:pPr>
              <w:rPr>
                <w:b/>
                <w:bCs/>
                <w:sz w:val="20"/>
                <w:szCs w:val="20"/>
              </w:rPr>
            </w:pPr>
            <w:r w:rsidRPr="00FA64A0">
              <w:rPr>
                <w:b/>
                <w:bCs/>
                <w:sz w:val="20"/>
                <w:szCs w:val="20"/>
              </w:rPr>
              <w:t>What is the purpose?</w:t>
            </w:r>
          </w:p>
        </w:tc>
        <w:tc>
          <w:tcPr>
            <w:tcW w:w="6795" w:type="dxa"/>
          </w:tcPr>
          <w:p w14:paraId="36BAE342" w14:textId="52F22BC6" w:rsidR="003017BA" w:rsidRPr="00FA64A0" w:rsidRDefault="003017BA" w:rsidP="008A6C44">
            <w:pPr>
              <w:rPr>
                <w:sz w:val="20"/>
                <w:szCs w:val="20"/>
              </w:rPr>
            </w:pPr>
            <w:r w:rsidRPr="6AA9322A">
              <w:rPr>
                <w:sz w:val="20"/>
                <w:szCs w:val="20"/>
              </w:rPr>
              <w:t xml:space="preserve">The purpose </w:t>
            </w:r>
            <w:r w:rsidR="691473CD" w:rsidRPr="6AA9322A">
              <w:rPr>
                <w:sz w:val="20"/>
                <w:szCs w:val="20"/>
              </w:rPr>
              <w:t>of</w:t>
            </w:r>
            <w:r w:rsidRPr="6AA9322A">
              <w:rPr>
                <w:sz w:val="20"/>
                <w:szCs w:val="20"/>
              </w:rPr>
              <w:t xml:space="preserve"> establish</w:t>
            </w:r>
            <w:r w:rsidR="6AC95832" w:rsidRPr="6AA9322A">
              <w:rPr>
                <w:sz w:val="20"/>
                <w:szCs w:val="20"/>
              </w:rPr>
              <w:t>ing</w:t>
            </w:r>
            <w:r w:rsidRPr="6AA9322A">
              <w:rPr>
                <w:sz w:val="20"/>
                <w:szCs w:val="20"/>
              </w:rPr>
              <w:t xml:space="preserve"> and/or strengthen</w:t>
            </w:r>
            <w:r w:rsidR="6BCAD357" w:rsidRPr="6AA9322A">
              <w:rPr>
                <w:sz w:val="20"/>
                <w:szCs w:val="20"/>
              </w:rPr>
              <w:t>ing</w:t>
            </w:r>
            <w:r w:rsidRPr="6AA9322A">
              <w:rPr>
                <w:sz w:val="20"/>
                <w:szCs w:val="20"/>
              </w:rPr>
              <w:t xml:space="preserve"> linkages between the secondary and postsecondary institution</w:t>
            </w:r>
            <w:r w:rsidR="245E5C26" w:rsidRPr="6AA9322A">
              <w:rPr>
                <w:sz w:val="20"/>
                <w:szCs w:val="20"/>
              </w:rPr>
              <w:t>s</w:t>
            </w:r>
            <w:r w:rsidRPr="6AA9322A">
              <w:rPr>
                <w:sz w:val="20"/>
                <w:szCs w:val="20"/>
              </w:rPr>
              <w:t xml:space="preserve"> </w:t>
            </w:r>
            <w:r w:rsidR="5C522E70" w:rsidRPr="6AA9322A">
              <w:rPr>
                <w:sz w:val="20"/>
                <w:szCs w:val="20"/>
              </w:rPr>
              <w:t xml:space="preserve">is </w:t>
            </w:r>
            <w:r w:rsidRPr="6AA9322A">
              <w:rPr>
                <w:sz w:val="20"/>
                <w:szCs w:val="20"/>
              </w:rPr>
              <w:t xml:space="preserve">to better serve students. </w:t>
            </w:r>
          </w:p>
        </w:tc>
      </w:tr>
      <w:tr w:rsidR="6AA9322A" w14:paraId="3D704885" w14:textId="77777777" w:rsidTr="6AA9322A">
        <w:tc>
          <w:tcPr>
            <w:tcW w:w="2695" w:type="dxa"/>
          </w:tcPr>
          <w:p w14:paraId="2C6018D1" w14:textId="0787827C" w:rsidR="5413D55D" w:rsidRDefault="5413D55D" w:rsidP="008A6C44">
            <w:pPr>
              <w:rPr>
                <w:b/>
                <w:bCs/>
                <w:sz w:val="20"/>
                <w:szCs w:val="20"/>
              </w:rPr>
            </w:pPr>
            <w:r w:rsidRPr="6AA9322A">
              <w:rPr>
                <w:b/>
                <w:bCs/>
                <w:sz w:val="20"/>
                <w:szCs w:val="20"/>
              </w:rPr>
              <w:t>How are they funded?</w:t>
            </w:r>
          </w:p>
        </w:tc>
        <w:tc>
          <w:tcPr>
            <w:tcW w:w="6795" w:type="dxa"/>
          </w:tcPr>
          <w:p w14:paraId="1DE83A98" w14:textId="15E39DC7" w:rsidR="5413D55D" w:rsidRDefault="5413D55D" w:rsidP="008A6C44">
            <w:pPr>
              <w:rPr>
                <w:sz w:val="20"/>
                <w:szCs w:val="20"/>
              </w:rPr>
            </w:pPr>
            <w:r w:rsidRPr="6AA9322A">
              <w:rPr>
                <w:sz w:val="20"/>
                <w:szCs w:val="20"/>
              </w:rPr>
              <w:t>Postsecondary institutions maintain the funding set-aside to support the work of linkage activities, and this is a requirement for all Perkins V postsecondary grants.</w:t>
            </w:r>
          </w:p>
        </w:tc>
      </w:tr>
      <w:tr w:rsidR="00FA64A0" w:rsidRPr="00FA64A0" w14:paraId="70198AAA" w14:textId="77777777" w:rsidTr="6AA9322A">
        <w:tc>
          <w:tcPr>
            <w:tcW w:w="2695" w:type="dxa"/>
          </w:tcPr>
          <w:p w14:paraId="04DC27FD" w14:textId="7E0416E8" w:rsidR="00FA64A0" w:rsidRPr="00FA64A0" w:rsidRDefault="00FA64A0" w:rsidP="008A6C44">
            <w:pPr>
              <w:rPr>
                <w:b/>
                <w:bCs/>
                <w:sz w:val="20"/>
                <w:szCs w:val="20"/>
              </w:rPr>
            </w:pPr>
            <w:r w:rsidRPr="00FA64A0">
              <w:rPr>
                <w:b/>
                <w:bCs/>
                <w:sz w:val="20"/>
                <w:szCs w:val="20"/>
              </w:rPr>
              <w:t>What is the role of collaboration in developing or strengthening linkages?</w:t>
            </w:r>
          </w:p>
        </w:tc>
        <w:tc>
          <w:tcPr>
            <w:tcW w:w="6795" w:type="dxa"/>
          </w:tcPr>
          <w:p w14:paraId="0CF6B8BB" w14:textId="767D447B" w:rsidR="00FA64A0" w:rsidRPr="00FA64A0" w:rsidRDefault="1F6EF2B0" w:rsidP="008A6C44">
            <w:pPr>
              <w:rPr>
                <w:sz w:val="20"/>
                <w:szCs w:val="20"/>
              </w:rPr>
            </w:pPr>
            <w:r w:rsidRPr="6AA9322A">
              <w:rPr>
                <w:sz w:val="20"/>
                <w:szCs w:val="20"/>
              </w:rPr>
              <w:t>Secondary</w:t>
            </w:r>
            <w:r w:rsidR="003017BA" w:rsidRPr="6AA9322A">
              <w:rPr>
                <w:sz w:val="20"/>
                <w:szCs w:val="20"/>
              </w:rPr>
              <w:t>-</w:t>
            </w:r>
            <w:r w:rsidRPr="6AA9322A">
              <w:rPr>
                <w:sz w:val="20"/>
                <w:szCs w:val="20"/>
              </w:rPr>
              <w:t>postsecondary linkages are most likely to occur (and be understood and valued by students and parents/guardians) when secondary academic and technical teachers collaborate with school counselors</w:t>
            </w:r>
            <w:r w:rsidR="6639EFDF" w:rsidRPr="6AA9322A">
              <w:rPr>
                <w:sz w:val="20"/>
                <w:szCs w:val="20"/>
              </w:rPr>
              <w:t xml:space="preserve">, </w:t>
            </w:r>
            <w:r w:rsidRPr="6AA9322A">
              <w:rPr>
                <w:sz w:val="20"/>
                <w:szCs w:val="20"/>
              </w:rPr>
              <w:t>postsecondary</w:t>
            </w:r>
            <w:r w:rsidR="216DE437" w:rsidRPr="6AA9322A">
              <w:rPr>
                <w:sz w:val="20"/>
                <w:szCs w:val="20"/>
              </w:rPr>
              <w:t xml:space="preserve"> staff</w:t>
            </w:r>
            <w:r w:rsidRPr="6AA9322A">
              <w:rPr>
                <w:sz w:val="20"/>
                <w:szCs w:val="20"/>
              </w:rPr>
              <w:t xml:space="preserve"> and industry partners in establishing and promoting linkages</w:t>
            </w:r>
            <w:r w:rsidR="5664E2C3" w:rsidRPr="6AA9322A">
              <w:rPr>
                <w:sz w:val="20"/>
                <w:szCs w:val="20"/>
              </w:rPr>
              <w:t xml:space="preserve">. </w:t>
            </w:r>
            <w:r w:rsidR="4D8C7B15" w:rsidRPr="6AA9322A">
              <w:rPr>
                <w:sz w:val="20"/>
                <w:szCs w:val="20"/>
              </w:rPr>
              <w:t xml:space="preserve">This </w:t>
            </w:r>
            <w:r w:rsidR="1196C2C5" w:rsidRPr="6AA9322A">
              <w:rPr>
                <w:sz w:val="20"/>
                <w:szCs w:val="20"/>
              </w:rPr>
              <w:t>collaboration</w:t>
            </w:r>
            <w:r w:rsidR="4D8C7B15" w:rsidRPr="6AA9322A">
              <w:rPr>
                <w:sz w:val="20"/>
                <w:szCs w:val="20"/>
              </w:rPr>
              <w:t xml:space="preserve"> may be initiated </w:t>
            </w:r>
            <w:r w:rsidR="41C7B291" w:rsidRPr="6AA9322A">
              <w:rPr>
                <w:sz w:val="20"/>
                <w:szCs w:val="20"/>
              </w:rPr>
              <w:t xml:space="preserve">and driven </w:t>
            </w:r>
            <w:r w:rsidR="4D8C7B15" w:rsidRPr="6AA9322A">
              <w:rPr>
                <w:sz w:val="20"/>
                <w:szCs w:val="20"/>
              </w:rPr>
              <w:t xml:space="preserve">by </w:t>
            </w:r>
            <w:r w:rsidR="7DD3FF29" w:rsidRPr="6AA9322A">
              <w:rPr>
                <w:sz w:val="20"/>
                <w:szCs w:val="20"/>
              </w:rPr>
              <w:t xml:space="preserve">either </w:t>
            </w:r>
            <w:r w:rsidR="4D8C7B15" w:rsidRPr="6AA9322A">
              <w:rPr>
                <w:sz w:val="20"/>
                <w:szCs w:val="20"/>
              </w:rPr>
              <w:t>the secondary or postsecondary</w:t>
            </w:r>
            <w:r w:rsidR="2095F308" w:rsidRPr="6AA9322A">
              <w:rPr>
                <w:sz w:val="20"/>
                <w:szCs w:val="20"/>
              </w:rPr>
              <w:t xml:space="preserve"> institution.</w:t>
            </w:r>
          </w:p>
        </w:tc>
      </w:tr>
      <w:tr w:rsidR="003252BB" w:rsidRPr="00FA64A0" w14:paraId="3331315A" w14:textId="77777777" w:rsidTr="6AA9322A">
        <w:tc>
          <w:tcPr>
            <w:tcW w:w="2695" w:type="dxa"/>
          </w:tcPr>
          <w:p w14:paraId="1D95D974" w14:textId="5FCB8F01" w:rsidR="003252BB" w:rsidRPr="00FA64A0" w:rsidRDefault="00FA64A0" w:rsidP="008A6C44">
            <w:pPr>
              <w:rPr>
                <w:b/>
                <w:bCs/>
                <w:sz w:val="20"/>
                <w:szCs w:val="20"/>
              </w:rPr>
            </w:pPr>
            <w:r>
              <w:rPr>
                <w:b/>
                <w:bCs/>
                <w:sz w:val="20"/>
                <w:szCs w:val="20"/>
              </w:rPr>
              <w:t>H</w:t>
            </w:r>
            <w:r w:rsidR="003252BB" w:rsidRPr="00FA64A0">
              <w:rPr>
                <w:b/>
                <w:bCs/>
                <w:sz w:val="20"/>
                <w:szCs w:val="20"/>
              </w:rPr>
              <w:t>ow does this fit into CLNA?</w:t>
            </w:r>
          </w:p>
        </w:tc>
        <w:tc>
          <w:tcPr>
            <w:tcW w:w="6795" w:type="dxa"/>
          </w:tcPr>
          <w:p w14:paraId="18C40645" w14:textId="652AADFE" w:rsidR="003252BB" w:rsidRPr="00FA64A0" w:rsidRDefault="003252BB" w:rsidP="008A6C44">
            <w:pPr>
              <w:rPr>
                <w:sz w:val="20"/>
                <w:szCs w:val="20"/>
              </w:rPr>
            </w:pPr>
            <w:r w:rsidRPr="6AA9322A">
              <w:rPr>
                <w:sz w:val="20"/>
                <w:szCs w:val="20"/>
              </w:rPr>
              <w:t>Through the</w:t>
            </w:r>
            <w:r w:rsidR="003017BA" w:rsidRPr="6AA9322A">
              <w:rPr>
                <w:sz w:val="20"/>
                <w:szCs w:val="20"/>
              </w:rPr>
              <w:t xml:space="preserve"> Comprehensive Local Needs Assessment process</w:t>
            </w:r>
            <w:r w:rsidRPr="6AA9322A">
              <w:rPr>
                <w:sz w:val="20"/>
                <w:szCs w:val="20"/>
              </w:rPr>
              <w:t>, institutions may determine that expan</w:t>
            </w:r>
            <w:r w:rsidR="003017BA" w:rsidRPr="6AA9322A">
              <w:rPr>
                <w:sz w:val="20"/>
                <w:szCs w:val="20"/>
              </w:rPr>
              <w:t>ding or enhancing</w:t>
            </w:r>
            <w:r w:rsidRPr="6AA9322A">
              <w:rPr>
                <w:sz w:val="20"/>
                <w:szCs w:val="20"/>
              </w:rPr>
              <w:t xml:space="preserve"> secondary-postsecondary linkages in career and technical education programs of study</w:t>
            </w:r>
            <w:r w:rsidR="003017BA" w:rsidRPr="6AA9322A">
              <w:rPr>
                <w:sz w:val="20"/>
                <w:szCs w:val="20"/>
              </w:rPr>
              <w:t xml:space="preserve"> is warranted. </w:t>
            </w:r>
            <w:r w:rsidR="3B2AF0F4" w:rsidRPr="6AA9322A">
              <w:rPr>
                <w:sz w:val="20"/>
                <w:szCs w:val="20"/>
              </w:rPr>
              <w:t xml:space="preserve">See more about the Comprehensive Local Needs Assessment at the </w:t>
            </w:r>
            <w:hyperlink r:id="rId9" w:history="1">
              <w:r w:rsidR="3B2AF0F4" w:rsidRPr="007C21AC">
                <w:rPr>
                  <w:rStyle w:val="Hyperlink"/>
                  <w:sz w:val="20"/>
                  <w:szCs w:val="20"/>
                </w:rPr>
                <w:t>Perkins V Manual web page</w:t>
              </w:r>
            </w:hyperlink>
            <w:r w:rsidR="3B2AF0F4" w:rsidRPr="6AA9322A">
              <w:rPr>
                <w:sz w:val="20"/>
                <w:szCs w:val="20"/>
              </w:rPr>
              <w:t xml:space="preserve">. </w:t>
            </w:r>
          </w:p>
        </w:tc>
      </w:tr>
      <w:tr w:rsidR="003252BB" w:rsidRPr="00FA64A0" w14:paraId="2C42DADA" w14:textId="77777777" w:rsidTr="6AA9322A">
        <w:tc>
          <w:tcPr>
            <w:tcW w:w="2695" w:type="dxa"/>
          </w:tcPr>
          <w:p w14:paraId="013F0A96" w14:textId="7DC1E485" w:rsidR="003252BB" w:rsidRPr="00FA64A0" w:rsidRDefault="003252BB" w:rsidP="008A6C44">
            <w:pPr>
              <w:rPr>
                <w:b/>
                <w:bCs/>
                <w:sz w:val="20"/>
                <w:szCs w:val="20"/>
              </w:rPr>
            </w:pPr>
            <w:r w:rsidRPr="00FA64A0">
              <w:rPr>
                <w:b/>
                <w:bCs/>
                <w:sz w:val="20"/>
                <w:szCs w:val="20"/>
              </w:rPr>
              <w:t xml:space="preserve">Is this new? </w:t>
            </w:r>
          </w:p>
        </w:tc>
        <w:tc>
          <w:tcPr>
            <w:tcW w:w="6795" w:type="dxa"/>
          </w:tcPr>
          <w:p w14:paraId="6A85DB81" w14:textId="72FED406" w:rsidR="003252BB" w:rsidRPr="00FA64A0" w:rsidRDefault="003252BB" w:rsidP="008A6C44">
            <w:pPr>
              <w:rPr>
                <w:sz w:val="20"/>
                <w:szCs w:val="20"/>
              </w:rPr>
            </w:pPr>
            <w:r w:rsidRPr="6AA9322A">
              <w:rPr>
                <w:sz w:val="20"/>
                <w:szCs w:val="20"/>
              </w:rPr>
              <w:t xml:space="preserve">This is not new. This was </w:t>
            </w:r>
            <w:r w:rsidR="75A49947" w:rsidRPr="6AA9322A">
              <w:rPr>
                <w:sz w:val="20"/>
                <w:szCs w:val="20"/>
              </w:rPr>
              <w:t xml:space="preserve">previously implemented under Perking IV nationally as Tech Prep. With the elimination of funding, </w:t>
            </w:r>
            <w:r w:rsidR="32104AA0" w:rsidRPr="6AA9322A">
              <w:rPr>
                <w:sz w:val="20"/>
                <w:szCs w:val="20"/>
              </w:rPr>
              <w:t xml:space="preserve">MA institutionalized this requirement through </w:t>
            </w:r>
            <w:r w:rsidR="24041529" w:rsidRPr="6AA9322A">
              <w:rPr>
                <w:sz w:val="20"/>
                <w:szCs w:val="20"/>
              </w:rPr>
              <w:t>restructure</w:t>
            </w:r>
            <w:r w:rsidR="16BDFAE1" w:rsidRPr="6AA9322A">
              <w:rPr>
                <w:sz w:val="20"/>
                <w:szCs w:val="20"/>
              </w:rPr>
              <w:t>,</w:t>
            </w:r>
            <w:r w:rsidR="24041529" w:rsidRPr="6AA9322A">
              <w:rPr>
                <w:sz w:val="20"/>
                <w:szCs w:val="20"/>
              </w:rPr>
              <w:t xml:space="preserve"> and renam</w:t>
            </w:r>
            <w:r w:rsidR="25AEF20A" w:rsidRPr="6AA9322A">
              <w:rPr>
                <w:sz w:val="20"/>
                <w:szCs w:val="20"/>
              </w:rPr>
              <w:t>ed</w:t>
            </w:r>
            <w:r w:rsidR="24041529" w:rsidRPr="6AA9322A">
              <w:rPr>
                <w:sz w:val="20"/>
                <w:szCs w:val="20"/>
              </w:rPr>
              <w:t xml:space="preserve">, to </w:t>
            </w:r>
            <w:r w:rsidR="32104AA0" w:rsidRPr="6AA9322A">
              <w:rPr>
                <w:sz w:val="20"/>
                <w:szCs w:val="20"/>
              </w:rPr>
              <w:t>Linkages</w:t>
            </w:r>
            <w:r w:rsidR="007C21AC">
              <w:rPr>
                <w:sz w:val="20"/>
                <w:szCs w:val="20"/>
              </w:rPr>
              <w:t xml:space="preserve">. </w:t>
            </w:r>
            <w:r w:rsidR="0B9ED43C" w:rsidRPr="6AA9322A">
              <w:rPr>
                <w:sz w:val="20"/>
                <w:szCs w:val="20"/>
              </w:rPr>
              <w:t>Notably</w:t>
            </w:r>
            <w:r w:rsidR="5007A26A" w:rsidRPr="6AA9322A">
              <w:rPr>
                <w:sz w:val="20"/>
                <w:szCs w:val="20"/>
              </w:rPr>
              <w:t>, Linkage requirements continue with Perkins V.</w:t>
            </w:r>
          </w:p>
        </w:tc>
      </w:tr>
      <w:tr w:rsidR="003252BB" w:rsidRPr="00FA64A0" w14:paraId="5F309B5F" w14:textId="77777777" w:rsidTr="6AA9322A">
        <w:tc>
          <w:tcPr>
            <w:tcW w:w="2695" w:type="dxa"/>
          </w:tcPr>
          <w:p w14:paraId="18A7CC5E" w14:textId="5D17FA0B" w:rsidR="003252BB" w:rsidRPr="00FA64A0" w:rsidRDefault="1F6EF2B0" w:rsidP="008A6C44">
            <w:pPr>
              <w:rPr>
                <w:b/>
                <w:bCs/>
                <w:sz w:val="20"/>
                <w:szCs w:val="20"/>
              </w:rPr>
            </w:pPr>
            <w:r w:rsidRPr="6AA9322A">
              <w:rPr>
                <w:b/>
                <w:bCs/>
                <w:sz w:val="20"/>
                <w:szCs w:val="20"/>
              </w:rPr>
              <w:t xml:space="preserve">Our institution has Articulation Agreements. Does that mean </w:t>
            </w:r>
            <w:r w:rsidR="003017BA" w:rsidRPr="6AA9322A">
              <w:rPr>
                <w:b/>
                <w:bCs/>
                <w:sz w:val="20"/>
                <w:szCs w:val="20"/>
              </w:rPr>
              <w:t xml:space="preserve">this </w:t>
            </w:r>
            <w:r w:rsidR="00CE745E" w:rsidRPr="6AA9322A">
              <w:rPr>
                <w:b/>
                <w:bCs/>
                <w:sz w:val="20"/>
                <w:szCs w:val="20"/>
              </w:rPr>
              <w:t xml:space="preserve">item is </w:t>
            </w:r>
            <w:r w:rsidR="003017BA" w:rsidRPr="6AA9322A">
              <w:rPr>
                <w:b/>
                <w:bCs/>
                <w:sz w:val="20"/>
                <w:szCs w:val="20"/>
              </w:rPr>
              <w:t>addressed?</w:t>
            </w:r>
          </w:p>
        </w:tc>
        <w:tc>
          <w:tcPr>
            <w:tcW w:w="6795" w:type="dxa"/>
          </w:tcPr>
          <w:p w14:paraId="26205700" w14:textId="2F73C66C" w:rsidR="003252BB" w:rsidRPr="00FA64A0" w:rsidRDefault="7C08E25C" w:rsidP="008A6C44">
            <w:pPr>
              <w:rPr>
                <w:sz w:val="20"/>
                <w:szCs w:val="20"/>
              </w:rPr>
            </w:pPr>
            <w:r w:rsidRPr="6AA9322A">
              <w:rPr>
                <w:rFonts w:eastAsiaTheme="minorEastAsia"/>
                <w:sz w:val="20"/>
                <w:szCs w:val="20"/>
              </w:rPr>
              <w:t xml:space="preserve">No. </w:t>
            </w:r>
            <w:r w:rsidR="25F02311" w:rsidRPr="6AA9322A">
              <w:rPr>
                <w:rFonts w:eastAsiaTheme="minorEastAsia"/>
                <w:sz w:val="20"/>
                <w:szCs w:val="20"/>
              </w:rPr>
              <w:t>A</w:t>
            </w:r>
            <w:r w:rsidR="1F6EF2B0" w:rsidRPr="6AA9322A">
              <w:rPr>
                <w:rFonts w:eastAsiaTheme="minorEastAsia"/>
                <w:sz w:val="20"/>
                <w:szCs w:val="20"/>
              </w:rPr>
              <w:t>rticulation</w:t>
            </w:r>
            <w:r w:rsidR="1F6EF2B0" w:rsidRPr="6AA9322A">
              <w:rPr>
                <w:sz w:val="20"/>
                <w:szCs w:val="20"/>
              </w:rPr>
              <w:t xml:space="preserve"> agreements </w:t>
            </w:r>
            <w:r w:rsidR="2C56B975" w:rsidRPr="6AA9322A">
              <w:rPr>
                <w:sz w:val="20"/>
                <w:szCs w:val="20"/>
              </w:rPr>
              <w:t>are</w:t>
            </w:r>
            <w:r w:rsidR="5E813B07" w:rsidRPr="6AA9322A">
              <w:rPr>
                <w:sz w:val="20"/>
                <w:szCs w:val="20"/>
              </w:rPr>
              <w:t xml:space="preserve"> </w:t>
            </w:r>
            <w:r w:rsidR="2C56B975" w:rsidRPr="6AA9322A">
              <w:rPr>
                <w:sz w:val="20"/>
                <w:szCs w:val="20"/>
              </w:rPr>
              <w:t>a</w:t>
            </w:r>
            <w:r w:rsidR="5EA57677" w:rsidRPr="6AA9322A">
              <w:rPr>
                <w:sz w:val="20"/>
                <w:szCs w:val="20"/>
              </w:rPr>
              <w:t xml:space="preserve"> </w:t>
            </w:r>
            <w:r w:rsidR="35654C5C" w:rsidRPr="6AA9322A">
              <w:rPr>
                <w:sz w:val="20"/>
                <w:szCs w:val="20"/>
              </w:rPr>
              <w:t>significant</w:t>
            </w:r>
            <w:r w:rsidR="7C60CBF6" w:rsidRPr="6AA9322A">
              <w:rPr>
                <w:sz w:val="20"/>
                <w:szCs w:val="20"/>
              </w:rPr>
              <w:t xml:space="preserve"> </w:t>
            </w:r>
            <w:r w:rsidR="2C56B975" w:rsidRPr="6AA9322A">
              <w:rPr>
                <w:sz w:val="20"/>
                <w:szCs w:val="20"/>
              </w:rPr>
              <w:t>linkage</w:t>
            </w:r>
            <w:r w:rsidR="6E464F3A" w:rsidRPr="6AA9322A">
              <w:rPr>
                <w:sz w:val="20"/>
                <w:szCs w:val="20"/>
              </w:rPr>
              <w:t xml:space="preserve"> </w:t>
            </w:r>
            <w:r w:rsidR="2C56B975" w:rsidRPr="6AA9322A">
              <w:rPr>
                <w:sz w:val="20"/>
                <w:szCs w:val="20"/>
              </w:rPr>
              <w:t>tool</w:t>
            </w:r>
            <w:r w:rsidR="0D53B01F" w:rsidRPr="6AA9322A">
              <w:rPr>
                <w:sz w:val="20"/>
                <w:szCs w:val="20"/>
              </w:rPr>
              <w:t xml:space="preserve"> for students</w:t>
            </w:r>
            <w:r w:rsidR="2C56B975" w:rsidRPr="6AA9322A">
              <w:rPr>
                <w:sz w:val="20"/>
                <w:szCs w:val="20"/>
              </w:rPr>
              <w:t>. However,</w:t>
            </w:r>
            <w:r w:rsidR="3CE6FB67" w:rsidRPr="6AA9322A">
              <w:rPr>
                <w:sz w:val="20"/>
                <w:szCs w:val="20"/>
              </w:rPr>
              <w:t xml:space="preserve"> </w:t>
            </w:r>
            <w:r w:rsidR="1F6EF2B0" w:rsidRPr="6AA9322A">
              <w:rPr>
                <w:sz w:val="20"/>
                <w:szCs w:val="20"/>
              </w:rPr>
              <w:t>secondary</w:t>
            </w:r>
            <w:r w:rsidR="6D17EB33" w:rsidRPr="6AA9322A">
              <w:rPr>
                <w:sz w:val="20"/>
                <w:szCs w:val="20"/>
              </w:rPr>
              <w:t>-</w:t>
            </w:r>
            <w:r w:rsidR="1F6EF2B0" w:rsidRPr="6AA9322A">
              <w:rPr>
                <w:sz w:val="20"/>
                <w:szCs w:val="20"/>
              </w:rPr>
              <w:t xml:space="preserve">postsecondary linkages </w:t>
            </w:r>
            <w:r w:rsidR="41AB2F25" w:rsidRPr="6AA9322A">
              <w:rPr>
                <w:sz w:val="20"/>
                <w:szCs w:val="20"/>
              </w:rPr>
              <w:t>include</w:t>
            </w:r>
            <w:r w:rsidR="26745533" w:rsidRPr="6AA9322A">
              <w:rPr>
                <w:sz w:val="20"/>
                <w:szCs w:val="20"/>
              </w:rPr>
              <w:t xml:space="preserve"> </w:t>
            </w:r>
            <w:r w:rsidR="27D1BDAB" w:rsidRPr="6AA9322A">
              <w:rPr>
                <w:sz w:val="20"/>
                <w:szCs w:val="20"/>
              </w:rPr>
              <w:t>other activities</w:t>
            </w:r>
            <w:r w:rsidR="2C48805B" w:rsidRPr="6AA9322A">
              <w:rPr>
                <w:sz w:val="20"/>
                <w:szCs w:val="20"/>
              </w:rPr>
              <w:t>.</w:t>
            </w:r>
            <w:r w:rsidR="1D3AA1E6" w:rsidRPr="6AA9322A">
              <w:rPr>
                <w:sz w:val="20"/>
                <w:szCs w:val="20"/>
              </w:rPr>
              <w:t xml:space="preserve"> </w:t>
            </w:r>
            <w:r w:rsidR="0C9C26DA" w:rsidRPr="6AA9322A">
              <w:rPr>
                <w:sz w:val="20"/>
                <w:szCs w:val="20"/>
              </w:rPr>
              <w:t>T</w:t>
            </w:r>
            <w:r w:rsidR="02D7E45F" w:rsidRPr="6AA9322A">
              <w:rPr>
                <w:sz w:val="20"/>
                <w:szCs w:val="20"/>
              </w:rPr>
              <w:t>he range of CVTE programs and the individuality of student career plans support a comprehensive approach to secondary-postsecondary linkages</w:t>
            </w:r>
            <w:r w:rsidR="1923A77D" w:rsidRPr="6AA9322A">
              <w:rPr>
                <w:sz w:val="20"/>
                <w:szCs w:val="20"/>
              </w:rPr>
              <w:t xml:space="preserve">. </w:t>
            </w:r>
          </w:p>
          <w:p w14:paraId="626D98ED" w14:textId="1F0742E2" w:rsidR="003252BB" w:rsidRPr="00FA64A0" w:rsidRDefault="003252BB" w:rsidP="008A6C44">
            <w:pPr>
              <w:rPr>
                <w:sz w:val="20"/>
                <w:szCs w:val="20"/>
              </w:rPr>
            </w:pPr>
          </w:p>
          <w:p w14:paraId="7857E672" w14:textId="0D0E034D" w:rsidR="003252BB" w:rsidRPr="00FA64A0" w:rsidRDefault="604ABE6B" w:rsidP="008A6C44">
            <w:pPr>
              <w:rPr>
                <w:sz w:val="20"/>
                <w:szCs w:val="20"/>
              </w:rPr>
            </w:pPr>
            <w:r w:rsidRPr="6AA9322A">
              <w:rPr>
                <w:sz w:val="20"/>
                <w:szCs w:val="20"/>
              </w:rPr>
              <w:t>For more on Articulation Agreements, see below.</w:t>
            </w:r>
          </w:p>
        </w:tc>
      </w:tr>
      <w:tr w:rsidR="003017BA" w:rsidRPr="00FA64A0" w14:paraId="4B1AD455" w14:textId="77777777" w:rsidTr="6AA9322A">
        <w:tc>
          <w:tcPr>
            <w:tcW w:w="2695" w:type="dxa"/>
          </w:tcPr>
          <w:p w14:paraId="25CE3A4E" w14:textId="2AD9476E" w:rsidR="003017BA" w:rsidRPr="00FA64A0" w:rsidRDefault="7687F575" w:rsidP="008A6C44">
            <w:pPr>
              <w:rPr>
                <w:b/>
                <w:bCs/>
                <w:sz w:val="20"/>
                <w:szCs w:val="20"/>
              </w:rPr>
            </w:pPr>
            <w:r w:rsidRPr="6AA9322A">
              <w:rPr>
                <w:b/>
                <w:bCs/>
                <w:sz w:val="20"/>
                <w:szCs w:val="20"/>
              </w:rPr>
              <w:t xml:space="preserve">What </w:t>
            </w:r>
            <w:r w:rsidR="003017BA" w:rsidRPr="6AA9322A">
              <w:rPr>
                <w:b/>
                <w:bCs/>
                <w:sz w:val="20"/>
                <w:szCs w:val="20"/>
              </w:rPr>
              <w:t xml:space="preserve">additional supports </w:t>
            </w:r>
            <w:r w:rsidR="39E2FED8" w:rsidRPr="6AA9322A">
              <w:rPr>
                <w:b/>
                <w:bCs/>
                <w:sz w:val="20"/>
                <w:szCs w:val="20"/>
              </w:rPr>
              <w:t xml:space="preserve">are </w:t>
            </w:r>
            <w:r w:rsidR="003017BA" w:rsidRPr="6AA9322A">
              <w:rPr>
                <w:b/>
                <w:bCs/>
                <w:sz w:val="20"/>
                <w:szCs w:val="20"/>
              </w:rPr>
              <w:t>available?</w:t>
            </w:r>
          </w:p>
        </w:tc>
        <w:tc>
          <w:tcPr>
            <w:tcW w:w="6795" w:type="dxa"/>
          </w:tcPr>
          <w:p w14:paraId="739F8E16" w14:textId="48D9483A" w:rsidR="003017BA" w:rsidRPr="00FA64A0" w:rsidRDefault="003017BA" w:rsidP="008A6C44">
            <w:pPr>
              <w:rPr>
                <w:sz w:val="20"/>
                <w:szCs w:val="20"/>
              </w:rPr>
            </w:pPr>
            <w:r w:rsidRPr="6AA9322A">
              <w:rPr>
                <w:sz w:val="20"/>
                <w:szCs w:val="20"/>
              </w:rPr>
              <w:t xml:space="preserve">Supports include </w:t>
            </w:r>
            <w:r w:rsidR="3A54B5D2" w:rsidRPr="6AA9322A">
              <w:rPr>
                <w:sz w:val="20"/>
                <w:szCs w:val="20"/>
              </w:rPr>
              <w:t xml:space="preserve">professional development and </w:t>
            </w:r>
            <w:r w:rsidR="007C21AC">
              <w:rPr>
                <w:sz w:val="20"/>
                <w:szCs w:val="20"/>
              </w:rPr>
              <w:t>technical assistance</w:t>
            </w:r>
            <w:r w:rsidRPr="6AA9322A">
              <w:rPr>
                <w:sz w:val="20"/>
                <w:szCs w:val="20"/>
              </w:rPr>
              <w:t xml:space="preserve"> to assist in the development, implementation and evaluation of strategies, activities and interventions that improve preparation, advisement and support for postsecondary readiness and success.</w:t>
            </w:r>
          </w:p>
        </w:tc>
      </w:tr>
    </w:tbl>
    <w:p w14:paraId="542EFAB6" w14:textId="77777777" w:rsidR="003A3F7F" w:rsidRDefault="003A3F7F" w:rsidP="008A6C44">
      <w:pPr>
        <w:spacing w:after="0"/>
        <w:rPr>
          <w:rFonts w:eastAsiaTheme="minorEastAsia"/>
          <w:b/>
          <w:bCs/>
        </w:rPr>
      </w:pPr>
    </w:p>
    <w:p w14:paraId="45CA02AF" w14:textId="68A6704C" w:rsidR="379FAB47" w:rsidRPr="008A6C44" w:rsidRDefault="379FAB47" w:rsidP="008A6C44">
      <w:pPr>
        <w:spacing w:after="0"/>
        <w:rPr>
          <w:rFonts w:eastAsiaTheme="minorEastAsia"/>
          <w:b/>
          <w:bCs/>
        </w:rPr>
      </w:pPr>
      <w:r w:rsidRPr="008A6C44">
        <w:rPr>
          <w:rFonts w:eastAsiaTheme="minorEastAsia"/>
          <w:b/>
          <w:bCs/>
        </w:rPr>
        <w:t>Articulation Agreements</w:t>
      </w:r>
    </w:p>
    <w:p w14:paraId="741D1B9D" w14:textId="13CB106C" w:rsidR="379FAB47" w:rsidRPr="008A6C44" w:rsidRDefault="379FAB47" w:rsidP="008A6C44">
      <w:pPr>
        <w:spacing w:after="0"/>
        <w:rPr>
          <w:rFonts w:eastAsiaTheme="minorEastAsia"/>
        </w:rPr>
      </w:pPr>
      <w:r w:rsidRPr="6AA9322A">
        <w:rPr>
          <w:rFonts w:eastAsiaTheme="minorEastAsia"/>
        </w:rPr>
        <w:t>Through a uniform and consistent process, Statewide Articulation Agreements allow students enrolled in Chapter 74 state-approved vocational technical education (VTE) programs to enroll at any MA Community College</w:t>
      </w:r>
      <w:r w:rsidR="19EBB87A" w:rsidRPr="6AA9322A">
        <w:rPr>
          <w:rFonts w:eastAsiaTheme="minorEastAsia"/>
        </w:rPr>
        <w:t>,</w:t>
      </w:r>
      <w:r w:rsidR="6D549A02" w:rsidRPr="6AA9322A">
        <w:rPr>
          <w:rFonts w:eastAsiaTheme="minorEastAsia"/>
        </w:rPr>
        <w:t xml:space="preserve"> </w:t>
      </w:r>
      <w:r w:rsidRPr="6AA9322A">
        <w:rPr>
          <w:rFonts w:eastAsiaTheme="minorEastAsia"/>
        </w:rPr>
        <w:t xml:space="preserve">Quincy College and Benjamin </w:t>
      </w:r>
      <w:r w:rsidRPr="008A6C44">
        <w:rPr>
          <w:rFonts w:eastAsiaTheme="minorEastAsia"/>
        </w:rPr>
        <w:t>Franklin Institute of Technology</w:t>
      </w:r>
      <w:r w:rsidR="72E5CDC8" w:rsidRPr="008A6C44">
        <w:rPr>
          <w:rFonts w:eastAsiaTheme="minorEastAsia"/>
        </w:rPr>
        <w:t xml:space="preserve">, </w:t>
      </w:r>
      <w:r w:rsidRPr="008A6C44">
        <w:rPr>
          <w:rFonts w:eastAsiaTheme="minorEastAsia"/>
        </w:rPr>
        <w:t xml:space="preserve">and </w:t>
      </w:r>
      <w:r w:rsidR="468CFDC9" w:rsidRPr="008A6C44">
        <w:rPr>
          <w:rFonts w:eastAsiaTheme="minorEastAsia"/>
        </w:rPr>
        <w:t xml:space="preserve">to </w:t>
      </w:r>
      <w:r w:rsidRPr="008A6C44">
        <w:rPr>
          <w:rFonts w:eastAsiaTheme="minorEastAsia"/>
        </w:rPr>
        <w:t xml:space="preserve">be awarded credits for work completed in their secondary vocational program, linked at the postsecondary institution. This </w:t>
      </w:r>
      <w:r w:rsidR="491B7460" w:rsidRPr="008A6C44">
        <w:rPr>
          <w:rFonts w:eastAsiaTheme="minorEastAsia"/>
        </w:rPr>
        <w:t xml:space="preserve">streamlined agreement process </w:t>
      </w:r>
      <w:r w:rsidRPr="008A6C44">
        <w:rPr>
          <w:rFonts w:eastAsiaTheme="minorEastAsia"/>
        </w:rPr>
        <w:t>supports a seamless continuum of education for students</w:t>
      </w:r>
      <w:r w:rsidR="681F859C" w:rsidRPr="008A6C44">
        <w:rPr>
          <w:rFonts w:eastAsiaTheme="minorEastAsia"/>
        </w:rPr>
        <w:t xml:space="preserve"> and the </w:t>
      </w:r>
      <w:r w:rsidRPr="008A6C44">
        <w:rPr>
          <w:rFonts w:eastAsiaTheme="minorEastAsia"/>
        </w:rPr>
        <w:t>non-duplication of course work</w:t>
      </w:r>
      <w:r w:rsidR="75FB4223" w:rsidRPr="008A6C44">
        <w:rPr>
          <w:rFonts w:eastAsiaTheme="minorEastAsia"/>
        </w:rPr>
        <w:t>.</w:t>
      </w:r>
      <w:r w:rsidR="2E5E8455" w:rsidRPr="008A6C44">
        <w:rPr>
          <w:rFonts w:eastAsiaTheme="minorEastAsia"/>
        </w:rPr>
        <w:t xml:space="preserve"> </w:t>
      </w:r>
      <w:r w:rsidRPr="008A6C44">
        <w:rPr>
          <w:rFonts w:eastAsiaTheme="minorEastAsia"/>
        </w:rPr>
        <w:t xml:space="preserve">Massachusetts currently has </w:t>
      </w:r>
      <w:r w:rsidR="16ED8120" w:rsidRPr="008A6C44">
        <w:rPr>
          <w:rFonts w:eastAsiaTheme="minorEastAsia"/>
        </w:rPr>
        <w:t>fourteen</w:t>
      </w:r>
      <w:r w:rsidRPr="008A6C44">
        <w:rPr>
          <w:rFonts w:eastAsiaTheme="minorEastAsia"/>
        </w:rPr>
        <w:t xml:space="preserve"> Statewide Articulation Agreements established through a taskforce of secondary and postsecondary professionals.</w:t>
      </w:r>
      <w:r w:rsidR="1D262039" w:rsidRPr="008A6C44">
        <w:rPr>
          <w:rFonts w:eastAsiaTheme="minorEastAsia"/>
        </w:rPr>
        <w:t xml:space="preserve"> </w:t>
      </w:r>
      <w:hyperlink r:id="rId10" w:history="1">
        <w:r w:rsidR="1D262039" w:rsidRPr="008A6C44">
          <w:rPr>
            <w:rStyle w:val="Hyperlink"/>
            <w:rFonts w:eastAsiaTheme="minorEastAsia"/>
          </w:rPr>
          <w:t>See this link</w:t>
        </w:r>
      </w:hyperlink>
      <w:r w:rsidR="1D262039" w:rsidRPr="008A6C44">
        <w:rPr>
          <w:rFonts w:eastAsiaTheme="minorEastAsia"/>
        </w:rPr>
        <w:t xml:space="preserve"> for more. </w:t>
      </w:r>
    </w:p>
    <w:p w14:paraId="20C8E126" w14:textId="3490F21D" w:rsidR="6AA9322A" w:rsidRPr="008A6C44" w:rsidRDefault="6AA9322A" w:rsidP="008A6C44">
      <w:pPr>
        <w:spacing w:after="0"/>
        <w:rPr>
          <w:rFonts w:eastAsiaTheme="minorEastAsia"/>
        </w:rPr>
      </w:pPr>
    </w:p>
    <w:p w14:paraId="6B6D1035" w14:textId="2954EF8F" w:rsidR="379FAB47" w:rsidRDefault="379FAB47" w:rsidP="008A6C44">
      <w:pPr>
        <w:spacing w:after="0"/>
        <w:rPr>
          <w:rFonts w:eastAsiaTheme="minorEastAsia"/>
        </w:rPr>
      </w:pPr>
      <w:r w:rsidRPr="6AA9322A">
        <w:rPr>
          <w:rFonts w:eastAsiaTheme="minorEastAsia"/>
        </w:rPr>
        <w:t>In addition to Statewide Articulation Agreements, districts and postsecondary institutions are</w:t>
      </w:r>
      <w:r w:rsidR="16BF89D5" w:rsidRPr="6AA9322A">
        <w:rPr>
          <w:rFonts w:eastAsiaTheme="minorEastAsia"/>
        </w:rPr>
        <w:t xml:space="preserve"> </w:t>
      </w:r>
      <w:r w:rsidRPr="6AA9322A">
        <w:rPr>
          <w:rFonts w:eastAsiaTheme="minorEastAsia"/>
        </w:rPr>
        <w:t xml:space="preserve">encouraged to forge relationships </w:t>
      </w:r>
      <w:r w:rsidR="008A6C44">
        <w:rPr>
          <w:rFonts w:eastAsiaTheme="minorEastAsia"/>
        </w:rPr>
        <w:t>and</w:t>
      </w:r>
      <w:r w:rsidRPr="6AA9322A">
        <w:rPr>
          <w:rFonts w:eastAsiaTheme="minorEastAsia"/>
        </w:rPr>
        <w:t xml:space="preserve"> design linkage agreements at the local level.</w:t>
      </w:r>
    </w:p>
    <w:p w14:paraId="3A7719D1" w14:textId="06262ABD" w:rsidR="003A3F7F" w:rsidRDefault="003A3F7F" w:rsidP="008A6C44">
      <w:pPr>
        <w:spacing w:after="0"/>
        <w:rPr>
          <w:rFonts w:eastAsiaTheme="minorEastAsia"/>
        </w:rPr>
      </w:pPr>
    </w:p>
    <w:p w14:paraId="690C7EE8" w14:textId="77777777" w:rsidR="003A3F7F" w:rsidRDefault="003A3F7F" w:rsidP="003A3F7F">
      <w:pPr>
        <w:spacing w:after="0"/>
      </w:pPr>
    </w:p>
    <w:p w14:paraId="1F6D83D2" w14:textId="77777777" w:rsidR="003A3F7F" w:rsidRPr="00600CF7" w:rsidRDefault="003A3F7F" w:rsidP="003A3F7F">
      <w:pPr>
        <w:spacing w:after="0"/>
        <w:rPr>
          <w:rFonts w:eastAsiaTheme="minorEastAsia"/>
          <w:b/>
          <w:bCs/>
        </w:rPr>
      </w:pPr>
      <w:r w:rsidRPr="00AB6756">
        <w:rPr>
          <w:rFonts w:eastAsiaTheme="minorEastAsia"/>
          <w:b/>
          <w:bCs/>
        </w:rPr>
        <w:t>Some examples of Secondary-Postsecondary Linkages include, but are not limited to:</w:t>
      </w:r>
    </w:p>
    <w:p w14:paraId="2855B39D" w14:textId="5953D5DA" w:rsidR="00D639DF" w:rsidRDefault="00D639DF" w:rsidP="003A3F7F">
      <w:pPr>
        <w:pStyle w:val="BodyText"/>
        <w:numPr>
          <w:ilvl w:val="0"/>
          <w:numId w:val="3"/>
        </w:numPr>
        <w:spacing w:after="0" w:line="240" w:lineRule="auto"/>
        <w:rPr>
          <w:rFonts w:asciiTheme="minorHAnsi" w:eastAsiaTheme="minorEastAsia" w:hAnsiTheme="minorHAnsi" w:cstheme="minorBidi"/>
        </w:rPr>
      </w:pPr>
      <w:r>
        <w:rPr>
          <w:rFonts w:asciiTheme="minorHAnsi" w:eastAsiaTheme="minorEastAsia" w:hAnsiTheme="minorHAnsi" w:cstheme="minorBidi"/>
        </w:rPr>
        <w:t xml:space="preserve">collaboration with </w:t>
      </w:r>
      <w:r w:rsidRPr="00D639DF">
        <w:rPr>
          <w:rFonts w:asciiTheme="minorHAnsi" w:eastAsiaTheme="minorEastAsia" w:hAnsiTheme="minorHAnsi" w:cstheme="minorBidi"/>
        </w:rPr>
        <w:t>organizations or programs that offer secondary programming to earn a HS diploma or HSE</w:t>
      </w:r>
    </w:p>
    <w:p w14:paraId="4766BFB1" w14:textId="4094D254" w:rsidR="003A3F7F" w:rsidRPr="00600CF7" w:rsidRDefault="003A3F7F" w:rsidP="003A3F7F">
      <w:pPr>
        <w:pStyle w:val="BodyText"/>
        <w:numPr>
          <w:ilvl w:val="0"/>
          <w:numId w:val="3"/>
        </w:numPr>
        <w:spacing w:after="0" w:line="240" w:lineRule="auto"/>
        <w:rPr>
          <w:rFonts w:asciiTheme="minorHAnsi" w:eastAsiaTheme="minorEastAsia" w:hAnsiTheme="minorHAnsi" w:cstheme="minorBidi"/>
        </w:rPr>
      </w:pPr>
      <w:r w:rsidRPr="00600CF7">
        <w:rPr>
          <w:rFonts w:asciiTheme="minorHAnsi" w:eastAsiaTheme="minorEastAsia" w:hAnsiTheme="minorHAnsi" w:cstheme="minorBidi"/>
        </w:rPr>
        <w:t>career exploration and career planning activities incorporated into students’ secondary program of study so that students envision and prepare for the transition from high school</w:t>
      </w:r>
    </w:p>
    <w:p w14:paraId="4BD4D02D" w14:textId="77777777" w:rsidR="003A3F7F" w:rsidRPr="00600CF7" w:rsidRDefault="003A3F7F" w:rsidP="003A3F7F">
      <w:pPr>
        <w:pStyle w:val="BodyText"/>
        <w:numPr>
          <w:ilvl w:val="0"/>
          <w:numId w:val="3"/>
        </w:numPr>
        <w:spacing w:after="0" w:line="240" w:lineRule="auto"/>
        <w:rPr>
          <w:rFonts w:asciiTheme="minorHAnsi" w:eastAsiaTheme="minorEastAsia" w:hAnsiTheme="minorHAnsi" w:cstheme="minorBidi"/>
        </w:rPr>
      </w:pPr>
      <w:r w:rsidRPr="00600CF7">
        <w:rPr>
          <w:rFonts w:asciiTheme="minorHAnsi" w:eastAsiaTheme="minorEastAsia" w:hAnsiTheme="minorHAnsi" w:cstheme="minorBidi"/>
        </w:rPr>
        <w:t>development and use of program of study grids as postsecondary planning and decision-making tools that provide students, parent/guardians, and educators with a road map that clearly illustrates the connections while also highlighting career options (i.e., careers that require registered apprenticeship programs; those that require an Associate’s degree; those that require Bachelor’s degree)</w:t>
      </w:r>
    </w:p>
    <w:p w14:paraId="3E43373F" w14:textId="77777777" w:rsidR="003A3F7F" w:rsidRPr="00600CF7" w:rsidRDefault="003A3F7F" w:rsidP="003A3F7F">
      <w:pPr>
        <w:pStyle w:val="BodyText"/>
        <w:numPr>
          <w:ilvl w:val="0"/>
          <w:numId w:val="3"/>
        </w:numPr>
        <w:spacing w:after="0" w:line="240" w:lineRule="auto"/>
        <w:rPr>
          <w:rFonts w:asciiTheme="minorHAnsi" w:eastAsiaTheme="minorEastAsia" w:hAnsiTheme="minorHAnsi" w:cstheme="minorBidi"/>
        </w:rPr>
      </w:pPr>
      <w:r w:rsidRPr="00600CF7">
        <w:rPr>
          <w:rFonts w:asciiTheme="minorHAnsi" w:eastAsiaTheme="minorEastAsia" w:hAnsiTheme="minorHAnsi" w:cstheme="minorBidi"/>
        </w:rPr>
        <w:t xml:space="preserve">secondary school counselor-driven and teacher-driven promotion (to students and parents/guardians) of the benefits of articulated credits, including the time and cost savings of 2+2+2 college planning via joint admissions </w:t>
      </w:r>
    </w:p>
    <w:p w14:paraId="33AB511E" w14:textId="77777777" w:rsidR="003A3F7F" w:rsidRPr="00600CF7" w:rsidRDefault="003A3F7F" w:rsidP="003A3F7F">
      <w:pPr>
        <w:pStyle w:val="ListParagraph"/>
        <w:numPr>
          <w:ilvl w:val="0"/>
          <w:numId w:val="3"/>
        </w:numPr>
        <w:autoSpaceDE w:val="0"/>
        <w:autoSpaceDN w:val="0"/>
        <w:spacing w:after="0"/>
        <w:rPr>
          <w:rFonts w:eastAsiaTheme="minorEastAsia"/>
        </w:rPr>
      </w:pPr>
      <w:r w:rsidRPr="00600CF7">
        <w:rPr>
          <w:rFonts w:eastAsiaTheme="minorEastAsia"/>
        </w:rPr>
        <w:t>for students enrolled in career and vocational technical education programs, the opportunity to enroll concurrently in secondary education and postsecondary education (dual credit courses) related to the CVTE program of study</w:t>
      </w:r>
    </w:p>
    <w:p w14:paraId="4E53AE96" w14:textId="77777777" w:rsidR="003A3F7F" w:rsidRPr="00600CF7" w:rsidRDefault="003A3F7F" w:rsidP="003A3F7F">
      <w:pPr>
        <w:pStyle w:val="ListParagraph"/>
        <w:numPr>
          <w:ilvl w:val="0"/>
          <w:numId w:val="3"/>
        </w:numPr>
        <w:autoSpaceDE w:val="0"/>
        <w:autoSpaceDN w:val="0"/>
        <w:spacing w:after="0"/>
        <w:rPr>
          <w:rFonts w:eastAsiaTheme="minorEastAsia"/>
        </w:rPr>
      </w:pPr>
      <w:r w:rsidRPr="00600CF7">
        <w:rPr>
          <w:rFonts w:eastAsiaTheme="minorEastAsia"/>
        </w:rPr>
        <w:t>secondary and postsecondary teacher collaboration or team-teaching to develop and enhance curricula together</w:t>
      </w:r>
    </w:p>
    <w:p w14:paraId="7B5D7D4A" w14:textId="77777777" w:rsidR="003A3F7F" w:rsidRPr="00600CF7" w:rsidRDefault="003A3F7F" w:rsidP="003A3F7F">
      <w:pPr>
        <w:pStyle w:val="ListParagraph"/>
        <w:numPr>
          <w:ilvl w:val="0"/>
          <w:numId w:val="3"/>
        </w:numPr>
        <w:spacing w:after="0"/>
        <w:rPr>
          <w:rFonts w:eastAsiaTheme="minorEastAsia"/>
        </w:rPr>
      </w:pPr>
      <w:r w:rsidRPr="00600CF7">
        <w:rPr>
          <w:rFonts w:eastAsiaTheme="minorEastAsia"/>
        </w:rPr>
        <w:t>collaborative data collection and review of the number of students from career and vocational technical education programs who earn articulated credits</w:t>
      </w:r>
    </w:p>
    <w:p w14:paraId="4C9C870E" w14:textId="77777777" w:rsidR="003A3F7F" w:rsidRPr="00600CF7" w:rsidRDefault="003A3F7F" w:rsidP="003A3F7F">
      <w:pPr>
        <w:pStyle w:val="ListParagraph"/>
        <w:numPr>
          <w:ilvl w:val="0"/>
          <w:numId w:val="3"/>
        </w:numPr>
        <w:spacing w:after="0"/>
        <w:rPr>
          <w:rFonts w:eastAsiaTheme="minorEastAsia"/>
        </w:rPr>
      </w:pPr>
      <w:r w:rsidRPr="00600CF7">
        <w:rPr>
          <w:rFonts w:eastAsiaTheme="minorEastAsia"/>
        </w:rPr>
        <w:t>the development of interventions to improve outcomes.</w:t>
      </w:r>
    </w:p>
    <w:p w14:paraId="2BF5F1A3" w14:textId="77777777" w:rsidR="003A3F7F" w:rsidRDefault="003A3F7F" w:rsidP="003A3F7F">
      <w:pPr>
        <w:spacing w:after="0"/>
        <w:rPr>
          <w:rFonts w:eastAsiaTheme="minorEastAsia"/>
        </w:rPr>
      </w:pPr>
    </w:p>
    <w:p w14:paraId="014256E7" w14:textId="77777777" w:rsidR="003A3F7F" w:rsidRDefault="003A3F7F" w:rsidP="008A6C44">
      <w:pPr>
        <w:spacing w:after="0"/>
        <w:rPr>
          <w:rFonts w:eastAsiaTheme="minorEastAsia"/>
        </w:rPr>
      </w:pPr>
    </w:p>
    <w:sectPr w:rsidR="003A3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1367B"/>
    <w:multiLevelType w:val="hybridMultilevel"/>
    <w:tmpl w:val="7908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55911"/>
    <w:multiLevelType w:val="hybridMultilevel"/>
    <w:tmpl w:val="80F256A2"/>
    <w:lvl w:ilvl="0" w:tplc="4F92FA5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A5C3C"/>
    <w:multiLevelType w:val="hybridMultilevel"/>
    <w:tmpl w:val="70BE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BB"/>
    <w:rsid w:val="000262BB"/>
    <w:rsid w:val="000567BC"/>
    <w:rsid w:val="00113160"/>
    <w:rsid w:val="00214323"/>
    <w:rsid w:val="003017BA"/>
    <w:rsid w:val="00303349"/>
    <w:rsid w:val="003252BB"/>
    <w:rsid w:val="003A3F7F"/>
    <w:rsid w:val="003E2E3D"/>
    <w:rsid w:val="00600CF7"/>
    <w:rsid w:val="00722925"/>
    <w:rsid w:val="007378CD"/>
    <w:rsid w:val="00770A31"/>
    <w:rsid w:val="007C21AC"/>
    <w:rsid w:val="00824BED"/>
    <w:rsid w:val="00860A42"/>
    <w:rsid w:val="008A6C44"/>
    <w:rsid w:val="00915A6B"/>
    <w:rsid w:val="0092625A"/>
    <w:rsid w:val="00AB6756"/>
    <w:rsid w:val="00BF19C5"/>
    <w:rsid w:val="00C55BDF"/>
    <w:rsid w:val="00CE745E"/>
    <w:rsid w:val="00D639DF"/>
    <w:rsid w:val="00D7377A"/>
    <w:rsid w:val="00D97C13"/>
    <w:rsid w:val="00DA559F"/>
    <w:rsid w:val="00E31B7D"/>
    <w:rsid w:val="00E82A96"/>
    <w:rsid w:val="00E90077"/>
    <w:rsid w:val="00F84BD3"/>
    <w:rsid w:val="00FA64A0"/>
    <w:rsid w:val="0198F456"/>
    <w:rsid w:val="01E8128F"/>
    <w:rsid w:val="02D7E45F"/>
    <w:rsid w:val="036D4A49"/>
    <w:rsid w:val="0383E2F0"/>
    <w:rsid w:val="04209A24"/>
    <w:rsid w:val="0461C3A2"/>
    <w:rsid w:val="0472A89D"/>
    <w:rsid w:val="056CE88A"/>
    <w:rsid w:val="060A97B2"/>
    <w:rsid w:val="06BB83B2"/>
    <w:rsid w:val="084AD447"/>
    <w:rsid w:val="0A0F9D56"/>
    <w:rsid w:val="0ACDBF0A"/>
    <w:rsid w:val="0B6589A3"/>
    <w:rsid w:val="0B7DB9FE"/>
    <w:rsid w:val="0B9ED43C"/>
    <w:rsid w:val="0C36DF6A"/>
    <w:rsid w:val="0C5ADA5E"/>
    <w:rsid w:val="0C9C26DA"/>
    <w:rsid w:val="0CEE2FDA"/>
    <w:rsid w:val="0D198A5F"/>
    <w:rsid w:val="0D389759"/>
    <w:rsid w:val="0D53B01F"/>
    <w:rsid w:val="0EB55AC0"/>
    <w:rsid w:val="0F5211F4"/>
    <w:rsid w:val="0F974A69"/>
    <w:rsid w:val="0FA714CA"/>
    <w:rsid w:val="1196C2C5"/>
    <w:rsid w:val="119C3AE7"/>
    <w:rsid w:val="11C7A905"/>
    <w:rsid w:val="12C7FC6C"/>
    <w:rsid w:val="12D83F10"/>
    <w:rsid w:val="12DADBA3"/>
    <w:rsid w:val="12E5A078"/>
    <w:rsid w:val="1383CE9D"/>
    <w:rsid w:val="14FF49C7"/>
    <w:rsid w:val="15249C44"/>
    <w:rsid w:val="1526E641"/>
    <w:rsid w:val="160E7973"/>
    <w:rsid w:val="160F9371"/>
    <w:rsid w:val="16BDFAE1"/>
    <w:rsid w:val="16BF89D5"/>
    <w:rsid w:val="16ED8120"/>
    <w:rsid w:val="170A43F4"/>
    <w:rsid w:val="176DC738"/>
    <w:rsid w:val="179319B5"/>
    <w:rsid w:val="181AD475"/>
    <w:rsid w:val="18F8F43A"/>
    <w:rsid w:val="19209F7F"/>
    <w:rsid w:val="1923A77D"/>
    <w:rsid w:val="192CF1D8"/>
    <w:rsid w:val="19461A35"/>
    <w:rsid w:val="19481273"/>
    <w:rsid w:val="19EBB87A"/>
    <w:rsid w:val="1A31EFA2"/>
    <w:rsid w:val="1A3F9EA4"/>
    <w:rsid w:val="1ACB8654"/>
    <w:rsid w:val="1AFFFB71"/>
    <w:rsid w:val="1B75DC2B"/>
    <w:rsid w:val="1B7E7EA9"/>
    <w:rsid w:val="1C2E799D"/>
    <w:rsid w:val="1D262039"/>
    <w:rsid w:val="1D3AA1E6"/>
    <w:rsid w:val="1DCC655D"/>
    <w:rsid w:val="1F6EF2B0"/>
    <w:rsid w:val="2003F1DE"/>
    <w:rsid w:val="2051EFCC"/>
    <w:rsid w:val="2082FD2C"/>
    <w:rsid w:val="2095F308"/>
    <w:rsid w:val="21532458"/>
    <w:rsid w:val="216DE437"/>
    <w:rsid w:val="217AC0E8"/>
    <w:rsid w:val="223EF9C5"/>
    <w:rsid w:val="224AB089"/>
    <w:rsid w:val="22FCC6DC"/>
    <w:rsid w:val="23B39190"/>
    <w:rsid w:val="24041529"/>
    <w:rsid w:val="245E5C26"/>
    <w:rsid w:val="24CCE018"/>
    <w:rsid w:val="25778D76"/>
    <w:rsid w:val="25AEF20A"/>
    <w:rsid w:val="25F02311"/>
    <w:rsid w:val="261923E2"/>
    <w:rsid w:val="261FC3FD"/>
    <w:rsid w:val="26324C3F"/>
    <w:rsid w:val="266BAB58"/>
    <w:rsid w:val="26745533"/>
    <w:rsid w:val="26D980AF"/>
    <w:rsid w:val="278BD888"/>
    <w:rsid w:val="2794354D"/>
    <w:rsid w:val="2798FAAA"/>
    <w:rsid w:val="27BF7822"/>
    <w:rsid w:val="27D1BDAB"/>
    <w:rsid w:val="28593873"/>
    <w:rsid w:val="28B05370"/>
    <w:rsid w:val="2917058A"/>
    <w:rsid w:val="297EDA4C"/>
    <w:rsid w:val="29EF3375"/>
    <w:rsid w:val="2A38D0D3"/>
    <w:rsid w:val="2AEDC5A1"/>
    <w:rsid w:val="2B33BB34"/>
    <w:rsid w:val="2BD2A8F6"/>
    <w:rsid w:val="2C48805B"/>
    <w:rsid w:val="2C4E7E13"/>
    <w:rsid w:val="2C56B975"/>
    <w:rsid w:val="2C6EB9E7"/>
    <w:rsid w:val="2E5E8455"/>
    <w:rsid w:val="2F293391"/>
    <w:rsid w:val="3062521A"/>
    <w:rsid w:val="32104AA0"/>
    <w:rsid w:val="32A4BF73"/>
    <w:rsid w:val="32EBF026"/>
    <w:rsid w:val="33FC5888"/>
    <w:rsid w:val="3425C515"/>
    <w:rsid w:val="34513333"/>
    <w:rsid w:val="3468849F"/>
    <w:rsid w:val="347685B0"/>
    <w:rsid w:val="3492C158"/>
    <w:rsid w:val="35654C5C"/>
    <w:rsid w:val="358DDA59"/>
    <w:rsid w:val="379FAB47"/>
    <w:rsid w:val="38C861DC"/>
    <w:rsid w:val="39E2FED8"/>
    <w:rsid w:val="39F51887"/>
    <w:rsid w:val="3A54B5D2"/>
    <w:rsid w:val="3AF586A6"/>
    <w:rsid w:val="3B2AF0F4"/>
    <w:rsid w:val="3BF49081"/>
    <w:rsid w:val="3CE6FB67"/>
    <w:rsid w:val="3D5F0953"/>
    <w:rsid w:val="3D8E82E5"/>
    <w:rsid w:val="3E398093"/>
    <w:rsid w:val="3E509AEB"/>
    <w:rsid w:val="3EEBD86C"/>
    <w:rsid w:val="3F2C9D43"/>
    <w:rsid w:val="3F9D3104"/>
    <w:rsid w:val="3FBE8479"/>
    <w:rsid w:val="3FC8516A"/>
    <w:rsid w:val="40393C54"/>
    <w:rsid w:val="41AB2F25"/>
    <w:rsid w:val="41C7B291"/>
    <w:rsid w:val="4340D0D9"/>
    <w:rsid w:val="435192B3"/>
    <w:rsid w:val="43AEA630"/>
    <w:rsid w:val="440E293C"/>
    <w:rsid w:val="452FABD2"/>
    <w:rsid w:val="454A7691"/>
    <w:rsid w:val="458BF481"/>
    <w:rsid w:val="459994CA"/>
    <w:rsid w:val="468B3855"/>
    <w:rsid w:val="468CFDC9"/>
    <w:rsid w:val="472F8FCC"/>
    <w:rsid w:val="4765B280"/>
    <w:rsid w:val="48147D1D"/>
    <w:rsid w:val="486E6FD1"/>
    <w:rsid w:val="487FFBF4"/>
    <w:rsid w:val="4892BAB2"/>
    <w:rsid w:val="48BA9CE5"/>
    <w:rsid w:val="491B7460"/>
    <w:rsid w:val="496DECC0"/>
    <w:rsid w:val="4B01ECFA"/>
    <w:rsid w:val="4BB79CB6"/>
    <w:rsid w:val="4BF3772F"/>
    <w:rsid w:val="4C08D64E"/>
    <w:rsid w:val="4D0A432B"/>
    <w:rsid w:val="4D8C7B15"/>
    <w:rsid w:val="4E830A83"/>
    <w:rsid w:val="4EBE24C1"/>
    <w:rsid w:val="4ED591F9"/>
    <w:rsid w:val="4F2B17F1"/>
    <w:rsid w:val="4FDB12E5"/>
    <w:rsid w:val="5007A26A"/>
    <w:rsid w:val="50C6E852"/>
    <w:rsid w:val="50CE52B6"/>
    <w:rsid w:val="5413D55D"/>
    <w:rsid w:val="54E2796A"/>
    <w:rsid w:val="55B2A8D4"/>
    <w:rsid w:val="55F46383"/>
    <w:rsid w:val="55F55193"/>
    <w:rsid w:val="55FC186D"/>
    <w:rsid w:val="5664E2C3"/>
    <w:rsid w:val="57CB7D2C"/>
    <w:rsid w:val="581E3605"/>
    <w:rsid w:val="586DB4C8"/>
    <w:rsid w:val="58E75956"/>
    <w:rsid w:val="59B80E28"/>
    <w:rsid w:val="5A6D15A0"/>
    <w:rsid w:val="5A77D37D"/>
    <w:rsid w:val="5AB19297"/>
    <w:rsid w:val="5B27CE71"/>
    <w:rsid w:val="5B9AECA4"/>
    <w:rsid w:val="5BD7A12C"/>
    <w:rsid w:val="5C03D97D"/>
    <w:rsid w:val="5C1EFA18"/>
    <w:rsid w:val="5C43C45B"/>
    <w:rsid w:val="5C522E70"/>
    <w:rsid w:val="5C9CAAF3"/>
    <w:rsid w:val="5D73718D"/>
    <w:rsid w:val="5DC6B1F0"/>
    <w:rsid w:val="5E442B77"/>
    <w:rsid w:val="5E813B07"/>
    <w:rsid w:val="5E8D7789"/>
    <w:rsid w:val="5EA57677"/>
    <w:rsid w:val="5F569ADA"/>
    <w:rsid w:val="6034FEAE"/>
    <w:rsid w:val="604ABE6B"/>
    <w:rsid w:val="6138D628"/>
    <w:rsid w:val="61B1E536"/>
    <w:rsid w:val="61BCC2FC"/>
    <w:rsid w:val="622362B4"/>
    <w:rsid w:val="6271AD1D"/>
    <w:rsid w:val="6422008F"/>
    <w:rsid w:val="64EB7E36"/>
    <w:rsid w:val="65D55B65"/>
    <w:rsid w:val="6639EFDF"/>
    <w:rsid w:val="665106DD"/>
    <w:rsid w:val="66EDAC2D"/>
    <w:rsid w:val="67DB4802"/>
    <w:rsid w:val="681F859C"/>
    <w:rsid w:val="68D563E9"/>
    <w:rsid w:val="691473CD"/>
    <w:rsid w:val="69214B44"/>
    <w:rsid w:val="69DB07F6"/>
    <w:rsid w:val="6A1FCC14"/>
    <w:rsid w:val="6A38F471"/>
    <w:rsid w:val="6AA9322A"/>
    <w:rsid w:val="6AC95832"/>
    <w:rsid w:val="6B73E817"/>
    <w:rsid w:val="6B9BDB36"/>
    <w:rsid w:val="6BA0D1B6"/>
    <w:rsid w:val="6BB1DAB7"/>
    <w:rsid w:val="6BCAD357"/>
    <w:rsid w:val="6C9474D3"/>
    <w:rsid w:val="6CBED977"/>
    <w:rsid w:val="6D0DC03A"/>
    <w:rsid w:val="6D17EB33"/>
    <w:rsid w:val="6D4DAB18"/>
    <w:rsid w:val="6D549A02"/>
    <w:rsid w:val="6E464F3A"/>
    <w:rsid w:val="6F6CD117"/>
    <w:rsid w:val="6F6E1B4D"/>
    <w:rsid w:val="6F975E46"/>
    <w:rsid w:val="6FB29667"/>
    <w:rsid w:val="702339CA"/>
    <w:rsid w:val="70D13335"/>
    <w:rsid w:val="712A7009"/>
    <w:rsid w:val="71B43E0A"/>
    <w:rsid w:val="71CD1584"/>
    <w:rsid w:val="71EA6943"/>
    <w:rsid w:val="72E5CDC8"/>
    <w:rsid w:val="72EC165B"/>
    <w:rsid w:val="733DC82E"/>
    <w:rsid w:val="746AAA06"/>
    <w:rsid w:val="74EC8A08"/>
    <w:rsid w:val="75A49947"/>
    <w:rsid w:val="75AFA4B6"/>
    <w:rsid w:val="75BF6F17"/>
    <w:rsid w:val="75FB4223"/>
    <w:rsid w:val="7687F575"/>
    <w:rsid w:val="778F3D16"/>
    <w:rsid w:val="79E66DE3"/>
    <w:rsid w:val="79EC95CF"/>
    <w:rsid w:val="7A38563C"/>
    <w:rsid w:val="7B78D10A"/>
    <w:rsid w:val="7C08E25C"/>
    <w:rsid w:val="7C20DE78"/>
    <w:rsid w:val="7C4985DC"/>
    <w:rsid w:val="7C60CBF6"/>
    <w:rsid w:val="7DD3FF29"/>
    <w:rsid w:val="7E044016"/>
    <w:rsid w:val="7E3B75BD"/>
    <w:rsid w:val="7E3F6597"/>
    <w:rsid w:val="7EDE578A"/>
    <w:rsid w:val="7F81269E"/>
    <w:rsid w:val="7F8F89BE"/>
    <w:rsid w:val="7F9A4EFB"/>
    <w:rsid w:val="7FA01077"/>
    <w:rsid w:val="7FFA8573"/>
    <w:rsid w:val="7FFB08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0C04"/>
  <w15:chartTrackingRefBased/>
  <w15:docId w15:val="{204B3337-8070-4E03-A15B-299B3F8F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52BB"/>
    <w:rPr>
      <w:sz w:val="16"/>
      <w:szCs w:val="16"/>
    </w:rPr>
  </w:style>
  <w:style w:type="paragraph" w:styleId="CommentText">
    <w:name w:val="annotation text"/>
    <w:basedOn w:val="Normal"/>
    <w:link w:val="CommentTextChar"/>
    <w:uiPriority w:val="99"/>
    <w:semiHidden/>
    <w:unhideWhenUsed/>
    <w:rsid w:val="003252BB"/>
    <w:pPr>
      <w:spacing w:line="240" w:lineRule="auto"/>
    </w:pPr>
    <w:rPr>
      <w:sz w:val="20"/>
      <w:szCs w:val="20"/>
    </w:rPr>
  </w:style>
  <w:style w:type="character" w:customStyle="1" w:styleId="CommentTextChar">
    <w:name w:val="Comment Text Char"/>
    <w:basedOn w:val="DefaultParagraphFont"/>
    <w:link w:val="CommentText"/>
    <w:uiPriority w:val="99"/>
    <w:semiHidden/>
    <w:rsid w:val="003252BB"/>
    <w:rPr>
      <w:sz w:val="20"/>
      <w:szCs w:val="20"/>
    </w:rPr>
  </w:style>
  <w:style w:type="paragraph" w:styleId="CommentSubject">
    <w:name w:val="annotation subject"/>
    <w:basedOn w:val="CommentText"/>
    <w:next w:val="CommentText"/>
    <w:link w:val="CommentSubjectChar"/>
    <w:uiPriority w:val="99"/>
    <w:semiHidden/>
    <w:unhideWhenUsed/>
    <w:rsid w:val="003252BB"/>
    <w:rPr>
      <w:b/>
      <w:bCs/>
    </w:rPr>
  </w:style>
  <w:style w:type="character" w:customStyle="1" w:styleId="CommentSubjectChar">
    <w:name w:val="Comment Subject Char"/>
    <w:basedOn w:val="CommentTextChar"/>
    <w:link w:val="CommentSubject"/>
    <w:uiPriority w:val="99"/>
    <w:semiHidden/>
    <w:rsid w:val="003252BB"/>
    <w:rPr>
      <w:b/>
      <w:bCs/>
      <w:sz w:val="20"/>
      <w:szCs w:val="20"/>
    </w:rPr>
  </w:style>
  <w:style w:type="paragraph" w:styleId="BalloonText">
    <w:name w:val="Balloon Text"/>
    <w:basedOn w:val="Normal"/>
    <w:link w:val="BalloonTextChar"/>
    <w:uiPriority w:val="99"/>
    <w:semiHidden/>
    <w:unhideWhenUsed/>
    <w:rsid w:val="00325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2BB"/>
    <w:rPr>
      <w:rFonts w:ascii="Segoe UI" w:hAnsi="Segoe UI" w:cs="Segoe UI"/>
      <w:sz w:val="18"/>
      <w:szCs w:val="18"/>
    </w:rPr>
  </w:style>
  <w:style w:type="paragraph" w:styleId="BodyText">
    <w:name w:val="Body Text"/>
    <w:basedOn w:val="Normal"/>
    <w:link w:val="BodyTextChar"/>
    <w:uiPriority w:val="99"/>
    <w:semiHidden/>
    <w:unhideWhenUsed/>
    <w:rsid w:val="003017BA"/>
    <w:pPr>
      <w:spacing w:after="120" w:line="276" w:lineRule="auto"/>
    </w:pPr>
    <w:rPr>
      <w:rFonts w:ascii="Calibri" w:hAnsi="Calibri" w:cs="Calibri"/>
    </w:rPr>
  </w:style>
  <w:style w:type="character" w:customStyle="1" w:styleId="BodyTextChar">
    <w:name w:val="Body Text Char"/>
    <w:basedOn w:val="DefaultParagraphFont"/>
    <w:link w:val="BodyText"/>
    <w:uiPriority w:val="99"/>
    <w:semiHidden/>
    <w:rsid w:val="003017BA"/>
    <w:rPr>
      <w:rFonts w:ascii="Calibri" w:hAnsi="Calibri" w:cs="Calibri"/>
    </w:rPr>
  </w:style>
  <w:style w:type="character" w:styleId="Hyperlink">
    <w:name w:val="Hyperlink"/>
    <w:basedOn w:val="DefaultParagraphFont"/>
    <w:uiPriority w:val="99"/>
    <w:unhideWhenUsed/>
    <w:rsid w:val="008A6C44"/>
    <w:rPr>
      <w:color w:val="0563C1" w:themeColor="hyperlink"/>
      <w:u w:val="single"/>
    </w:rPr>
  </w:style>
  <w:style w:type="character" w:styleId="UnresolvedMention">
    <w:name w:val="Unresolved Mention"/>
    <w:basedOn w:val="DefaultParagraphFont"/>
    <w:uiPriority w:val="99"/>
    <w:semiHidden/>
    <w:unhideWhenUsed/>
    <w:rsid w:val="008A6C44"/>
    <w:rPr>
      <w:color w:val="605E5C"/>
      <w:shd w:val="clear" w:color="auto" w:fill="E1DFDD"/>
    </w:rPr>
  </w:style>
  <w:style w:type="paragraph" w:styleId="ListParagraph">
    <w:name w:val="List Paragraph"/>
    <w:basedOn w:val="Normal"/>
    <w:uiPriority w:val="34"/>
    <w:qFormat/>
    <w:rsid w:val="008A6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masscc.org/technical-high-schools-transfer-agreements/" TargetMode="External"/><Relationship Id="rId4" Type="http://schemas.openxmlformats.org/officeDocument/2006/relationships/customXml" Target="../customXml/item4.xml"/><Relationship Id="rId9" Type="http://schemas.openxmlformats.org/officeDocument/2006/relationships/hyperlink" Target="https://www.doe.mass.edu/ccte/cvte/perkin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DESE-231-70441</_dlc_DocId>
    <_dlc_DocIdUrl xmlns="733efe1c-5bbe-4968-87dc-d400e65c879f">
      <Url>https://sharepoint.doemass.org/ese/webteam/cps/_layouts/DocIdRedir.aspx?ID=DESE-231-70441</Url>
      <Description>DESE-231-70441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871EBA9-5D0F-4310-A854-D6F393F577A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04C4495-8431-4C58-AD1F-680B7C118A32}">
  <ds:schemaRefs>
    <ds:schemaRef ds:uri="http://schemas.microsoft.com/sharepoint/events"/>
  </ds:schemaRefs>
</ds:datastoreItem>
</file>

<file path=customXml/itemProps3.xml><?xml version="1.0" encoding="utf-8"?>
<ds:datastoreItem xmlns:ds="http://schemas.openxmlformats.org/officeDocument/2006/customXml" ds:itemID="{B2A59C26-4ED8-42B3-A5D2-F050354F9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CB1A5D-BCAA-4308-B27D-7455CA0D5F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Secondary-Postsecondary Linkages FAQ</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Secondary-Postsecondary Linkages FAQ</dc:title>
  <dc:subject/>
  <dc:creator>DESE</dc:creator>
  <cp:keywords/>
  <dc:description/>
  <cp:lastModifiedBy>Zou, Dong (EOE)</cp:lastModifiedBy>
  <cp:revision>3</cp:revision>
  <dcterms:created xsi:type="dcterms:W3CDTF">2022-05-18T13:17:00Z</dcterms:created>
  <dcterms:modified xsi:type="dcterms:W3CDTF">2022-05-18T15:35:00Z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2022</vt:lpwstr>
  </property>
</Properties>
</file>