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B2CE"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69259353" wp14:editId="6191BE2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45AE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C9F65F9"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2F39BB2F" wp14:editId="127AAE3B">
                <wp:simplePos x="0" y="0"/>
                <wp:positionH relativeFrom="column">
                  <wp:posOffset>914400</wp:posOffset>
                </wp:positionH>
                <wp:positionV relativeFrom="paragraph">
                  <wp:posOffset>68580</wp:posOffset>
                </wp:positionV>
                <wp:extent cx="4800600" cy="0"/>
                <wp:effectExtent l="0" t="0" r="19050" b="19050"/>
                <wp:wrapNone/>
                <wp:docPr id="1" name="Line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D0F" id="Line 3" o:spid="_x0000_s1026" alt="Title: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" o:allowincell="f" strokeweight="1pt"/>
            </w:pict>
          </mc:Fallback>
        </mc:AlternateContent>
      </w:r>
    </w:p>
    <w:p w14:paraId="2A17BB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B70BBE4" w14:textId="77777777" w:rsidR="00A20194" w:rsidRPr="00C974A6" w:rsidRDefault="00A20194">
      <w:pPr>
        <w:ind w:left="720"/>
        <w:rPr>
          <w:rFonts w:ascii="Arial" w:hAnsi="Arial"/>
          <w:i/>
          <w:sz w:val="16"/>
          <w:szCs w:val="16"/>
        </w:rPr>
      </w:pPr>
    </w:p>
    <w:p w14:paraId="5EE4FA8F"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116D2CF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letterhead"/>
      </w:tblPr>
      <w:tblGrid>
        <w:gridCol w:w="2951"/>
        <w:gridCol w:w="8425"/>
      </w:tblGrid>
      <w:tr w:rsidR="00C974A6" w:rsidRPr="00C974A6" w14:paraId="6EDE0112" w14:textId="77777777" w:rsidTr="00745ECF">
        <w:trPr>
          <w:tblHeader/>
        </w:trPr>
        <w:tc>
          <w:tcPr>
            <w:tcW w:w="2988" w:type="dxa"/>
          </w:tcPr>
          <w:p w14:paraId="24630AF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6A7D27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F42C073" w14:textId="77777777" w:rsidR="00C974A6" w:rsidRPr="00C974A6" w:rsidRDefault="00C974A6" w:rsidP="00C974A6">
            <w:pPr>
              <w:jc w:val="center"/>
              <w:rPr>
                <w:rFonts w:ascii="Arial" w:hAnsi="Arial"/>
                <w:i/>
                <w:sz w:val="16"/>
                <w:szCs w:val="16"/>
              </w:rPr>
            </w:pPr>
          </w:p>
        </w:tc>
      </w:tr>
    </w:tbl>
    <w:p w14:paraId="55DC1523" w14:textId="77777777" w:rsidR="00A20194" w:rsidRDefault="00A20194">
      <w:pPr>
        <w:rPr>
          <w:rFonts w:ascii="Arial" w:hAnsi="Arial"/>
          <w:i/>
          <w:sz w:val="18"/>
        </w:rPr>
      </w:pPr>
    </w:p>
    <w:p w14:paraId="7723B47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FCED70E" w14:textId="77777777" w:rsidR="0059178C" w:rsidRDefault="0059178C" w:rsidP="0059178C">
      <w:pPr>
        <w:pStyle w:val="Heading1"/>
        <w:tabs>
          <w:tab w:val="clear" w:pos="4680"/>
        </w:tabs>
      </w:pPr>
      <w:r>
        <w:t>MEMORANDUM</w:t>
      </w:r>
    </w:p>
    <w:p w14:paraId="2D1CF2F4" w14:textId="77777777" w:rsidR="0059178C" w:rsidRDefault="0059178C" w:rsidP="0059178C">
      <w:pPr>
        <w:pStyle w:val="Footer"/>
        <w:widowControl w:val="0"/>
        <w:tabs>
          <w:tab w:val="clear" w:pos="4320"/>
          <w:tab w:val="clear" w:pos="8640"/>
        </w:tabs>
        <w:rPr>
          <w:snapToGrid w:val="0"/>
          <w:szCs w:val="20"/>
        </w:rPr>
      </w:pPr>
    </w:p>
    <w:p w14:paraId="4AA13D54"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F982B59" w14:textId="77777777" w:rsidTr="00DE25EB">
        <w:tc>
          <w:tcPr>
            <w:tcW w:w="1188" w:type="dxa"/>
          </w:tcPr>
          <w:p w14:paraId="26BA8C52" w14:textId="77777777" w:rsidR="0059178C" w:rsidRDefault="0059178C" w:rsidP="00DE25EB">
            <w:pPr>
              <w:rPr>
                <w:b/>
              </w:rPr>
            </w:pPr>
            <w:r>
              <w:rPr>
                <w:b/>
              </w:rPr>
              <w:t>To:</w:t>
            </w:r>
          </w:p>
        </w:tc>
        <w:tc>
          <w:tcPr>
            <w:tcW w:w="8388" w:type="dxa"/>
          </w:tcPr>
          <w:p w14:paraId="5DA5E03B"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2134887" w14:textId="77777777" w:rsidTr="00DE25EB">
        <w:tc>
          <w:tcPr>
            <w:tcW w:w="1188" w:type="dxa"/>
          </w:tcPr>
          <w:p w14:paraId="4BC3CF19" w14:textId="77777777" w:rsidR="0059178C" w:rsidRDefault="0059178C" w:rsidP="00DE25EB">
            <w:pPr>
              <w:rPr>
                <w:b/>
              </w:rPr>
            </w:pPr>
            <w:r>
              <w:rPr>
                <w:b/>
              </w:rPr>
              <w:t>From:</w:t>
            </w:r>
            <w:r>
              <w:tab/>
            </w:r>
          </w:p>
        </w:tc>
        <w:tc>
          <w:tcPr>
            <w:tcW w:w="8388" w:type="dxa"/>
          </w:tcPr>
          <w:p w14:paraId="31ECBCC9" w14:textId="5F8CB38E" w:rsidR="00B0064D"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148CDD6" w14:textId="77777777" w:rsidTr="00DE25EB">
        <w:tc>
          <w:tcPr>
            <w:tcW w:w="1188" w:type="dxa"/>
          </w:tcPr>
          <w:p w14:paraId="18D25742" w14:textId="77777777" w:rsidR="0059178C" w:rsidRDefault="0059178C" w:rsidP="00DE25EB">
            <w:pPr>
              <w:rPr>
                <w:b/>
              </w:rPr>
            </w:pPr>
            <w:r>
              <w:rPr>
                <w:b/>
              </w:rPr>
              <w:t>Date:</w:t>
            </w:r>
            <w:r>
              <w:tab/>
            </w:r>
          </w:p>
        </w:tc>
        <w:tc>
          <w:tcPr>
            <w:tcW w:w="8388" w:type="dxa"/>
          </w:tcPr>
          <w:p w14:paraId="586A4E40" w14:textId="74EA4957" w:rsidR="0059178C" w:rsidRDefault="0001218E" w:rsidP="00DE25EB">
            <w:pPr>
              <w:pStyle w:val="Footer"/>
              <w:widowControl w:val="0"/>
              <w:tabs>
                <w:tab w:val="clear" w:pos="4320"/>
                <w:tab w:val="clear" w:pos="8640"/>
              </w:tabs>
              <w:rPr>
                <w:bCs/>
                <w:snapToGrid w:val="0"/>
                <w:szCs w:val="20"/>
              </w:rPr>
            </w:pPr>
            <w:r>
              <w:rPr>
                <w:bCs/>
                <w:snapToGrid w:val="0"/>
                <w:szCs w:val="20"/>
              </w:rPr>
              <w:t>June 15, 2018</w:t>
            </w:r>
          </w:p>
        </w:tc>
      </w:tr>
      <w:tr w:rsidR="0059178C" w14:paraId="0CEC54C4" w14:textId="77777777" w:rsidTr="00DE25EB">
        <w:tc>
          <w:tcPr>
            <w:tcW w:w="1188" w:type="dxa"/>
          </w:tcPr>
          <w:p w14:paraId="610D4363" w14:textId="77777777" w:rsidR="0059178C" w:rsidRDefault="0059178C" w:rsidP="00DE25EB">
            <w:pPr>
              <w:rPr>
                <w:b/>
              </w:rPr>
            </w:pPr>
            <w:r>
              <w:rPr>
                <w:b/>
              </w:rPr>
              <w:t>Subject:</w:t>
            </w:r>
          </w:p>
        </w:tc>
        <w:tc>
          <w:tcPr>
            <w:tcW w:w="8388" w:type="dxa"/>
          </w:tcPr>
          <w:p w14:paraId="54DF1318" w14:textId="6D2C582A" w:rsidR="0059178C" w:rsidRPr="007A22FF" w:rsidRDefault="003F491E" w:rsidP="002A6C37">
            <w:pPr>
              <w:pStyle w:val="Footer"/>
              <w:widowControl w:val="0"/>
              <w:tabs>
                <w:tab w:val="clear" w:pos="4320"/>
                <w:tab w:val="clear" w:pos="8640"/>
              </w:tabs>
              <w:rPr>
                <w:bCs/>
                <w:snapToGrid w:val="0"/>
                <w:szCs w:val="20"/>
              </w:rPr>
            </w:pPr>
            <w:r>
              <w:t>Charter Schools –</w:t>
            </w:r>
            <w:r w:rsidR="00A15B58">
              <w:t xml:space="preserve"> </w:t>
            </w:r>
            <w:r>
              <w:t xml:space="preserve">Report </w:t>
            </w:r>
            <w:r w:rsidR="002A6C37">
              <w:t xml:space="preserve">and Recommendation </w:t>
            </w:r>
            <w:r>
              <w:t xml:space="preserve">on Probation for Martin Luther King, Jr. Charter School of Excellence  </w:t>
            </w:r>
          </w:p>
        </w:tc>
      </w:tr>
    </w:tbl>
    <w:p w14:paraId="617C9CE5"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049BF827"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E8BA66A" w14:textId="77777777" w:rsidR="0059178C" w:rsidRDefault="0059178C" w:rsidP="0059178C">
      <w:pPr>
        <w:rPr>
          <w:sz w:val="16"/>
        </w:rPr>
      </w:pPr>
    </w:p>
    <w:p w14:paraId="7E7C1DD3" w14:textId="4985B9B7" w:rsidR="003F491E" w:rsidRPr="003F491E" w:rsidRDefault="003F491E" w:rsidP="00DC6E93">
      <w:pPr>
        <w:widowControl/>
        <w:rPr>
          <w:szCs w:val="24"/>
        </w:rPr>
      </w:pPr>
      <w:r w:rsidRPr="003F491E">
        <w:rPr>
          <w:szCs w:val="24"/>
        </w:rPr>
        <w:t xml:space="preserve">I recommend that Martin Luther King, Jr. Charter School of Excellence (MLK) </w:t>
      </w:r>
      <w:proofErr w:type="gramStart"/>
      <w:r w:rsidRPr="003F491E">
        <w:rPr>
          <w:szCs w:val="24"/>
        </w:rPr>
        <w:t>be removed</w:t>
      </w:r>
      <w:proofErr w:type="gramEnd"/>
      <w:r w:rsidRPr="003F491E">
        <w:rPr>
          <w:szCs w:val="24"/>
        </w:rPr>
        <w:t xml:space="preserve"> fr</w:t>
      </w:r>
      <w:r w:rsidR="00DC6E93">
        <w:rPr>
          <w:szCs w:val="24"/>
        </w:rPr>
        <w:t>om probation</w:t>
      </w:r>
      <w:r w:rsidR="00C53AB2">
        <w:rPr>
          <w:szCs w:val="24"/>
        </w:rPr>
        <w:t xml:space="preserve">. I further recommend that the Board </w:t>
      </w:r>
      <w:r w:rsidR="00C53AB2" w:rsidRPr="003F491E">
        <w:t xml:space="preserve">of Elementary and Secondary Education (Board) </w:t>
      </w:r>
      <w:r w:rsidR="00C53AB2">
        <w:t xml:space="preserve">extend </w:t>
      </w:r>
      <w:r w:rsidR="00C53AB2">
        <w:rPr>
          <w:szCs w:val="24"/>
        </w:rPr>
        <w:t xml:space="preserve">the condition related to the school’s academic performance. While the school’s academic performance has improved once again, the school has been unable to sustain improvements in academic performance over its history and an extension </w:t>
      </w:r>
      <w:proofErr w:type="gramStart"/>
      <w:r w:rsidR="00C53AB2">
        <w:rPr>
          <w:szCs w:val="24"/>
        </w:rPr>
        <w:t>is warranted</w:t>
      </w:r>
      <w:proofErr w:type="gramEnd"/>
      <w:r w:rsidR="00C53AB2">
        <w:rPr>
          <w:szCs w:val="24"/>
        </w:rPr>
        <w:t xml:space="preserve"> </w:t>
      </w:r>
      <w:r w:rsidRPr="003F491E">
        <w:rPr>
          <w:szCs w:val="24"/>
        </w:rPr>
        <w:t xml:space="preserve">to ensure sustained academic progress. </w:t>
      </w:r>
    </w:p>
    <w:p w14:paraId="7A912873" w14:textId="77777777" w:rsidR="003F491E" w:rsidRPr="003F491E" w:rsidRDefault="003F491E" w:rsidP="00DC6E93">
      <w:pPr>
        <w:widowControl/>
        <w:rPr>
          <w:szCs w:val="24"/>
        </w:rPr>
      </w:pPr>
    </w:p>
    <w:p w14:paraId="4852E643" w14:textId="5E7F6267" w:rsidR="003F491E" w:rsidRPr="003F491E" w:rsidRDefault="003F491E" w:rsidP="006F55D2">
      <w:pPr>
        <w:rPr>
          <w:szCs w:val="24"/>
        </w:rPr>
      </w:pPr>
      <w:r w:rsidRPr="003F491E">
        <w:rPr>
          <w:szCs w:val="24"/>
        </w:rPr>
        <w:t xml:space="preserve">As summarized below, MLK has </w:t>
      </w:r>
      <w:r w:rsidR="00DC6E93">
        <w:rPr>
          <w:szCs w:val="24"/>
        </w:rPr>
        <w:t xml:space="preserve">substantially </w:t>
      </w:r>
      <w:r w:rsidRPr="003F491E">
        <w:rPr>
          <w:szCs w:val="24"/>
        </w:rPr>
        <w:t xml:space="preserve">met the conditions </w:t>
      </w:r>
      <w:r w:rsidR="002F0893">
        <w:rPr>
          <w:szCs w:val="24"/>
        </w:rPr>
        <w:t xml:space="preserve">that the Board </w:t>
      </w:r>
      <w:r w:rsidRPr="003F491E">
        <w:rPr>
          <w:szCs w:val="24"/>
        </w:rPr>
        <w:t xml:space="preserve">imposed </w:t>
      </w:r>
      <w:r w:rsidR="008C19F0">
        <w:rPr>
          <w:szCs w:val="24"/>
        </w:rPr>
        <w:t>as part of its probation</w:t>
      </w:r>
      <w:r w:rsidRPr="003F491E">
        <w:rPr>
          <w:szCs w:val="24"/>
        </w:rPr>
        <w:t>. The conditions required MLK to demonstrate significant and sustained academic progress by December 2017. As shown in the data charts below, MLK’s achievement and growth scores have improved since 2011, most notably in mathematics and science and technology/engineering</w:t>
      </w:r>
      <w:r w:rsidR="00FC1A90">
        <w:rPr>
          <w:szCs w:val="24"/>
        </w:rPr>
        <w:t>.</w:t>
      </w:r>
      <w:r w:rsidRPr="003F491E">
        <w:rPr>
          <w:szCs w:val="24"/>
        </w:rPr>
        <w:t xml:space="preserve"> I commend the school for its progress. </w:t>
      </w:r>
      <w:r w:rsidR="00DC6E93">
        <w:rPr>
          <w:szCs w:val="24"/>
        </w:rPr>
        <w:t xml:space="preserve">While MLK has improved its academic performance on every subject covered by state assessments, its results on English language arts lag behind those of mathematics and science. </w:t>
      </w:r>
      <w:r w:rsidR="002F0893">
        <w:rPr>
          <w:szCs w:val="24"/>
        </w:rPr>
        <w:t>F</w:t>
      </w:r>
      <w:r w:rsidR="00DC6E93">
        <w:rPr>
          <w:szCs w:val="24"/>
        </w:rPr>
        <w:t>or that reason</w:t>
      </w:r>
      <w:r w:rsidR="002F0893">
        <w:rPr>
          <w:szCs w:val="24"/>
        </w:rPr>
        <w:t xml:space="preserve">, </w:t>
      </w:r>
      <w:r w:rsidR="00DC6E93">
        <w:rPr>
          <w:szCs w:val="24"/>
        </w:rPr>
        <w:t xml:space="preserve">I recommend extending </w:t>
      </w:r>
      <w:r w:rsidR="00FC1A90">
        <w:rPr>
          <w:szCs w:val="24"/>
        </w:rPr>
        <w:t xml:space="preserve">the </w:t>
      </w:r>
      <w:r w:rsidR="00DC6E93">
        <w:rPr>
          <w:szCs w:val="24"/>
        </w:rPr>
        <w:t xml:space="preserve">condition requiring sustained academic improvement. </w:t>
      </w:r>
    </w:p>
    <w:p w14:paraId="2F586A8A" w14:textId="77777777" w:rsidR="003F491E" w:rsidRDefault="003F491E" w:rsidP="00DC6E93">
      <w:pPr>
        <w:widowControl/>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980"/>
        <w:gridCol w:w="2160"/>
        <w:gridCol w:w="2160"/>
      </w:tblGrid>
      <w:tr w:rsidR="003F491E" w:rsidRPr="003C101A" w14:paraId="74D5F824" w14:textId="77777777" w:rsidTr="000E50AA">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6DFBED92" w14:textId="77777777" w:rsidR="003F491E" w:rsidRPr="00593233" w:rsidRDefault="003F491E" w:rsidP="000E50AA">
            <w:pPr>
              <w:rPr>
                <w:rFonts w:eastAsia="Batang"/>
                <w:b/>
                <w:bCs/>
                <w:i/>
                <w:sz w:val="28"/>
                <w:szCs w:val="28"/>
                <w:lang w:eastAsia="ko-KR"/>
              </w:rPr>
            </w:pPr>
            <w:r>
              <w:rPr>
                <w:b/>
                <w:i/>
                <w:sz w:val="28"/>
                <w:szCs w:val="28"/>
              </w:rPr>
              <w:t>Martin Luther King, Jr. Charter School of Excellence</w:t>
            </w:r>
            <w:r w:rsidRPr="00593233">
              <w:rPr>
                <w:b/>
                <w:i/>
                <w:sz w:val="28"/>
                <w:szCs w:val="28"/>
              </w:rPr>
              <w:t xml:space="preserve"> </w:t>
            </w:r>
          </w:p>
        </w:tc>
      </w:tr>
      <w:tr w:rsidR="003F491E" w:rsidRPr="003C101A" w14:paraId="3302EE41" w14:textId="77777777" w:rsidTr="000E50AA">
        <w:trPr>
          <w:trHeight w:val="693"/>
          <w:jc w:val="center"/>
        </w:trPr>
        <w:tc>
          <w:tcPr>
            <w:tcW w:w="2520" w:type="dxa"/>
            <w:shd w:val="clear" w:color="auto" w:fill="F2F2F2"/>
            <w:tcMar>
              <w:top w:w="0" w:type="dxa"/>
              <w:left w:w="108" w:type="dxa"/>
              <w:bottom w:w="0" w:type="dxa"/>
              <w:right w:w="108" w:type="dxa"/>
            </w:tcMar>
            <w:vAlign w:val="center"/>
          </w:tcPr>
          <w:p w14:paraId="4F9D71E4"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6627188F"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1980" w:type="dxa"/>
            <w:tcMar>
              <w:top w:w="0" w:type="dxa"/>
              <w:left w:w="108" w:type="dxa"/>
              <w:bottom w:w="0" w:type="dxa"/>
              <w:right w:w="108" w:type="dxa"/>
            </w:tcMar>
            <w:vAlign w:val="center"/>
          </w:tcPr>
          <w:p w14:paraId="04E612E6" w14:textId="77777777" w:rsidR="003F491E" w:rsidRPr="003C101A" w:rsidRDefault="003F491E" w:rsidP="000E50AA">
            <w:pPr>
              <w:tabs>
                <w:tab w:val="left" w:pos="1940"/>
              </w:tabs>
              <w:spacing w:before="40"/>
              <w:ind w:left="162" w:hanging="193"/>
              <w:rPr>
                <w:rFonts w:eastAsia="Batang"/>
                <w:sz w:val="20"/>
                <w:lang w:eastAsia="ko-KR"/>
              </w:rPr>
            </w:pPr>
            <w:r>
              <w:rPr>
                <w:rFonts w:eastAsia="Batang"/>
                <w:sz w:val="20"/>
                <w:lang w:eastAsia="ko-KR"/>
              </w:rPr>
              <w:t>Commonwealth</w:t>
            </w:r>
          </w:p>
        </w:tc>
        <w:tc>
          <w:tcPr>
            <w:tcW w:w="2160" w:type="dxa"/>
            <w:shd w:val="clear" w:color="auto" w:fill="F2F2F2"/>
            <w:tcMar>
              <w:top w:w="0" w:type="dxa"/>
              <w:left w:w="108" w:type="dxa"/>
              <w:bottom w:w="0" w:type="dxa"/>
              <w:right w:w="108" w:type="dxa"/>
            </w:tcMar>
            <w:vAlign w:val="center"/>
          </w:tcPr>
          <w:p w14:paraId="096FB915"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160" w:type="dxa"/>
            <w:tcMar>
              <w:top w:w="0" w:type="dxa"/>
              <w:left w:w="108" w:type="dxa"/>
              <w:bottom w:w="0" w:type="dxa"/>
              <w:right w:w="108" w:type="dxa"/>
            </w:tcMar>
            <w:vAlign w:val="center"/>
          </w:tcPr>
          <w:p w14:paraId="1E1BFE99" w14:textId="77777777" w:rsidR="003F491E" w:rsidRPr="003C101A" w:rsidRDefault="003F491E" w:rsidP="000E50AA">
            <w:pPr>
              <w:tabs>
                <w:tab w:val="left" w:pos="1940"/>
              </w:tabs>
              <w:spacing w:before="40" w:after="40"/>
              <w:ind w:left="162" w:hanging="193"/>
              <w:rPr>
                <w:rFonts w:eastAsia="Batang"/>
                <w:sz w:val="20"/>
                <w:lang w:eastAsia="ko-KR"/>
              </w:rPr>
            </w:pPr>
            <w:r>
              <w:rPr>
                <w:rFonts w:eastAsia="Batang"/>
                <w:sz w:val="20"/>
                <w:lang w:eastAsia="ko-KR"/>
              </w:rPr>
              <w:t>Springfield</w:t>
            </w:r>
          </w:p>
        </w:tc>
      </w:tr>
      <w:tr w:rsidR="003F491E" w:rsidRPr="003C101A" w14:paraId="296DB769" w14:textId="77777777" w:rsidTr="000E50AA">
        <w:trPr>
          <w:trHeight w:val="498"/>
          <w:jc w:val="center"/>
        </w:trPr>
        <w:tc>
          <w:tcPr>
            <w:tcW w:w="2520" w:type="dxa"/>
            <w:shd w:val="clear" w:color="auto" w:fill="F2F2F2"/>
            <w:tcMar>
              <w:top w:w="0" w:type="dxa"/>
              <w:left w:w="108" w:type="dxa"/>
              <w:bottom w:w="0" w:type="dxa"/>
              <w:right w:w="108" w:type="dxa"/>
            </w:tcMar>
            <w:vAlign w:val="center"/>
          </w:tcPr>
          <w:p w14:paraId="127AEFB5" w14:textId="77777777" w:rsidR="003F491E" w:rsidRPr="003C101A" w:rsidRDefault="003F491E" w:rsidP="00F00FB7">
            <w:pPr>
              <w:tabs>
                <w:tab w:val="left" w:pos="1940"/>
              </w:tabs>
              <w:spacing w:before="40" w:after="20"/>
              <w:ind w:left="158" w:hanging="187"/>
              <w:rPr>
                <w:rFonts w:eastAsia="Batang"/>
                <w:b/>
                <w:bCs/>
                <w:sz w:val="20"/>
                <w:lang w:eastAsia="ko-KR"/>
              </w:rPr>
            </w:pPr>
            <w:bookmarkStart w:id="4" w:name="_GoBack"/>
            <w:r>
              <w:rPr>
                <w:rFonts w:eastAsia="Batang"/>
                <w:b/>
                <w:sz w:val="20"/>
                <w:lang w:eastAsia="ko-KR"/>
              </w:rPr>
              <w:t>Regional or Non-Regional</w:t>
            </w:r>
            <w:bookmarkEnd w:id="4"/>
          </w:p>
        </w:tc>
        <w:tc>
          <w:tcPr>
            <w:tcW w:w="1980" w:type="dxa"/>
            <w:tcMar>
              <w:top w:w="0" w:type="dxa"/>
              <w:left w:w="108" w:type="dxa"/>
              <w:bottom w:w="0" w:type="dxa"/>
              <w:right w:w="108" w:type="dxa"/>
            </w:tcMar>
            <w:vAlign w:val="center"/>
          </w:tcPr>
          <w:p w14:paraId="114AC028" w14:textId="77777777" w:rsidR="003F491E" w:rsidRPr="003C101A" w:rsidRDefault="003F491E" w:rsidP="000E50AA">
            <w:pPr>
              <w:tabs>
                <w:tab w:val="left" w:pos="1940"/>
              </w:tabs>
              <w:spacing w:before="40"/>
              <w:ind w:left="162" w:hanging="193"/>
              <w:rPr>
                <w:rFonts w:eastAsia="Batang"/>
                <w:b/>
                <w:sz w:val="20"/>
                <w:lang w:eastAsia="ko-KR"/>
              </w:rPr>
            </w:pPr>
            <w:r>
              <w:rPr>
                <w:rFonts w:eastAsia="Batang"/>
                <w:sz w:val="20"/>
                <w:lang w:eastAsia="ko-KR"/>
              </w:rPr>
              <w:t>Non-Regional</w:t>
            </w:r>
          </w:p>
        </w:tc>
        <w:tc>
          <w:tcPr>
            <w:tcW w:w="2160" w:type="dxa"/>
            <w:shd w:val="clear" w:color="auto" w:fill="F2F2F2"/>
            <w:tcMar>
              <w:top w:w="0" w:type="dxa"/>
              <w:left w:w="108" w:type="dxa"/>
              <w:bottom w:w="0" w:type="dxa"/>
              <w:right w:w="108" w:type="dxa"/>
            </w:tcMar>
            <w:vAlign w:val="center"/>
          </w:tcPr>
          <w:p w14:paraId="7BBA8A5B"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3E5ABE5E"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3A45F8FC" w14:textId="77777777" w:rsidR="003F491E" w:rsidRPr="00AB1C99" w:rsidRDefault="003F491E" w:rsidP="000E50AA">
            <w:pPr>
              <w:tabs>
                <w:tab w:val="left" w:pos="1940"/>
              </w:tabs>
              <w:spacing w:before="40" w:after="40"/>
              <w:ind w:left="162" w:hanging="193"/>
              <w:rPr>
                <w:rFonts w:eastAsia="Batang"/>
                <w:sz w:val="20"/>
                <w:lang w:eastAsia="ko-KR"/>
              </w:rPr>
            </w:pPr>
            <w:r w:rsidRPr="00AB1C99">
              <w:rPr>
                <w:rFonts w:eastAsia="Batang"/>
                <w:sz w:val="20"/>
                <w:lang w:eastAsia="ko-KR"/>
              </w:rPr>
              <w:t>N/A</w:t>
            </w:r>
          </w:p>
        </w:tc>
      </w:tr>
      <w:tr w:rsidR="003F491E" w:rsidRPr="003C101A" w14:paraId="76897328" w14:textId="77777777" w:rsidTr="000E50AA">
        <w:trPr>
          <w:trHeight w:val="288"/>
          <w:jc w:val="center"/>
        </w:trPr>
        <w:tc>
          <w:tcPr>
            <w:tcW w:w="2520" w:type="dxa"/>
            <w:shd w:val="clear" w:color="auto" w:fill="F2F2F2"/>
            <w:tcMar>
              <w:top w:w="0" w:type="dxa"/>
              <w:left w:w="108" w:type="dxa"/>
              <w:bottom w:w="0" w:type="dxa"/>
              <w:right w:w="108" w:type="dxa"/>
            </w:tcMar>
            <w:vAlign w:val="center"/>
          </w:tcPr>
          <w:p w14:paraId="71220524"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1980" w:type="dxa"/>
            <w:tcMar>
              <w:top w:w="0" w:type="dxa"/>
              <w:left w:w="108" w:type="dxa"/>
              <w:bottom w:w="0" w:type="dxa"/>
              <w:right w:w="108" w:type="dxa"/>
            </w:tcMar>
            <w:vAlign w:val="center"/>
          </w:tcPr>
          <w:p w14:paraId="412C39A7"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2006</w:t>
            </w:r>
          </w:p>
        </w:tc>
        <w:tc>
          <w:tcPr>
            <w:tcW w:w="2160" w:type="dxa"/>
            <w:shd w:val="clear" w:color="auto" w:fill="F2F2F2"/>
            <w:tcMar>
              <w:top w:w="0" w:type="dxa"/>
              <w:left w:w="108" w:type="dxa"/>
              <w:bottom w:w="0" w:type="dxa"/>
              <w:right w:w="108" w:type="dxa"/>
            </w:tcMar>
            <w:vAlign w:val="center"/>
          </w:tcPr>
          <w:p w14:paraId="58AC9402"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6FB6F07B"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5834A421" w14:textId="77777777" w:rsidR="003F491E" w:rsidRPr="007C1D25" w:rsidRDefault="003F491E" w:rsidP="000E50AA">
            <w:pPr>
              <w:tabs>
                <w:tab w:val="left" w:pos="1940"/>
              </w:tabs>
              <w:spacing w:before="40" w:after="40"/>
              <w:ind w:left="162" w:hanging="193"/>
              <w:rPr>
                <w:rFonts w:eastAsia="Batang"/>
                <w:sz w:val="20"/>
                <w:lang w:eastAsia="ko-KR"/>
              </w:rPr>
            </w:pPr>
            <w:r w:rsidRPr="007C1D25">
              <w:rPr>
                <w:rFonts w:eastAsia="Batang"/>
                <w:sz w:val="20"/>
                <w:lang w:eastAsia="ko-KR"/>
              </w:rPr>
              <w:t>2011, 2016</w:t>
            </w:r>
          </w:p>
        </w:tc>
      </w:tr>
      <w:tr w:rsidR="003F491E" w:rsidRPr="003C101A" w14:paraId="6A10CA21" w14:textId="77777777" w:rsidTr="000E50AA">
        <w:trPr>
          <w:trHeight w:val="354"/>
          <w:jc w:val="center"/>
        </w:trPr>
        <w:tc>
          <w:tcPr>
            <w:tcW w:w="2520" w:type="dxa"/>
            <w:shd w:val="clear" w:color="auto" w:fill="F2F2F2"/>
            <w:tcMar>
              <w:top w:w="0" w:type="dxa"/>
              <w:left w:w="108" w:type="dxa"/>
              <w:bottom w:w="0" w:type="dxa"/>
              <w:right w:w="108" w:type="dxa"/>
            </w:tcMar>
            <w:vAlign w:val="center"/>
          </w:tcPr>
          <w:p w14:paraId="1213B853"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1980" w:type="dxa"/>
            <w:tcMar>
              <w:top w:w="0" w:type="dxa"/>
              <w:left w:w="108" w:type="dxa"/>
              <w:bottom w:w="0" w:type="dxa"/>
              <w:right w:w="108" w:type="dxa"/>
            </w:tcMar>
            <w:vAlign w:val="center"/>
          </w:tcPr>
          <w:p w14:paraId="1993061F"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360</w:t>
            </w:r>
          </w:p>
        </w:tc>
        <w:tc>
          <w:tcPr>
            <w:tcW w:w="2160" w:type="dxa"/>
            <w:shd w:val="clear" w:color="auto" w:fill="F2F2F2"/>
            <w:tcMar>
              <w:top w:w="0" w:type="dxa"/>
              <w:left w:w="108" w:type="dxa"/>
              <w:bottom w:w="0" w:type="dxa"/>
              <w:right w:w="108" w:type="dxa"/>
            </w:tcMar>
            <w:vAlign w:val="center"/>
          </w:tcPr>
          <w:p w14:paraId="385E8F0E"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160" w:type="dxa"/>
            <w:tcMar>
              <w:top w:w="0" w:type="dxa"/>
              <w:left w:w="108" w:type="dxa"/>
              <w:bottom w:w="0" w:type="dxa"/>
              <w:right w:w="108" w:type="dxa"/>
            </w:tcMar>
            <w:vAlign w:val="center"/>
          </w:tcPr>
          <w:p w14:paraId="1EA2E3FB" w14:textId="1AF9ACAC" w:rsidR="003F491E" w:rsidRPr="00361E20" w:rsidRDefault="00053920" w:rsidP="000E50AA">
            <w:pPr>
              <w:tabs>
                <w:tab w:val="left" w:pos="1940"/>
              </w:tabs>
              <w:spacing w:before="40" w:after="40"/>
              <w:ind w:left="162" w:hanging="193"/>
              <w:rPr>
                <w:rFonts w:eastAsia="Batang"/>
                <w:sz w:val="20"/>
                <w:lang w:eastAsia="ko-KR"/>
              </w:rPr>
            </w:pPr>
            <w:r w:rsidRPr="00053920">
              <w:rPr>
                <w:sz w:val="20"/>
              </w:rPr>
              <w:t>363</w:t>
            </w:r>
            <w:r w:rsidRPr="00053920">
              <w:rPr>
                <w:rStyle w:val="FootnoteReference"/>
                <w:vertAlign w:val="superscript"/>
              </w:rPr>
              <w:footnoteReference w:id="1"/>
            </w:r>
          </w:p>
        </w:tc>
      </w:tr>
      <w:tr w:rsidR="003F491E" w:rsidRPr="003C101A" w14:paraId="54946852" w14:textId="77777777" w:rsidTr="000E50AA">
        <w:trPr>
          <w:trHeight w:val="515"/>
          <w:jc w:val="center"/>
        </w:trPr>
        <w:tc>
          <w:tcPr>
            <w:tcW w:w="2520" w:type="dxa"/>
            <w:shd w:val="clear" w:color="auto" w:fill="F2F2F2"/>
            <w:tcMar>
              <w:top w:w="0" w:type="dxa"/>
              <w:left w:w="108" w:type="dxa"/>
              <w:bottom w:w="0" w:type="dxa"/>
              <w:right w:w="108" w:type="dxa"/>
            </w:tcMar>
            <w:vAlign w:val="center"/>
          </w:tcPr>
          <w:p w14:paraId="21274BCD" w14:textId="77777777" w:rsidR="003F491E" w:rsidRPr="003C101A" w:rsidRDefault="003F491E" w:rsidP="000E50AA">
            <w:pPr>
              <w:tabs>
                <w:tab w:val="left" w:pos="1940"/>
              </w:tabs>
              <w:spacing w:before="40"/>
              <w:rPr>
                <w:rFonts w:eastAsia="Batang"/>
                <w:b/>
                <w:bCs/>
                <w:sz w:val="20"/>
                <w:lang w:eastAsia="ko-KR"/>
              </w:rPr>
            </w:pPr>
            <w:r w:rsidRPr="003C101A">
              <w:rPr>
                <w:rFonts w:eastAsia="Batang"/>
                <w:b/>
                <w:sz w:val="20"/>
                <w:lang w:eastAsia="ko-KR"/>
              </w:rPr>
              <w:lastRenderedPageBreak/>
              <w:t>Chartered Grade Span</w:t>
            </w:r>
          </w:p>
        </w:tc>
        <w:tc>
          <w:tcPr>
            <w:tcW w:w="1980" w:type="dxa"/>
            <w:tcMar>
              <w:top w:w="0" w:type="dxa"/>
              <w:left w:w="108" w:type="dxa"/>
              <w:bottom w:w="0" w:type="dxa"/>
              <w:right w:w="108" w:type="dxa"/>
            </w:tcMar>
            <w:vAlign w:val="center"/>
          </w:tcPr>
          <w:p w14:paraId="7B93BBF4"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K-5</w:t>
            </w:r>
          </w:p>
        </w:tc>
        <w:tc>
          <w:tcPr>
            <w:tcW w:w="2160" w:type="dxa"/>
            <w:shd w:val="clear" w:color="auto" w:fill="F2F2F2"/>
            <w:tcMar>
              <w:top w:w="0" w:type="dxa"/>
              <w:left w:w="108" w:type="dxa"/>
              <w:bottom w:w="0" w:type="dxa"/>
              <w:right w:w="108" w:type="dxa"/>
            </w:tcMar>
            <w:vAlign w:val="center"/>
          </w:tcPr>
          <w:p w14:paraId="6D9E8097" w14:textId="77777777" w:rsidR="003F491E" w:rsidRPr="003C101A" w:rsidRDefault="003F491E" w:rsidP="000E50AA">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160" w:type="dxa"/>
            <w:tcMar>
              <w:top w:w="0" w:type="dxa"/>
              <w:left w:w="108" w:type="dxa"/>
              <w:bottom w:w="0" w:type="dxa"/>
              <w:right w:w="108" w:type="dxa"/>
            </w:tcMar>
            <w:vAlign w:val="center"/>
          </w:tcPr>
          <w:p w14:paraId="74B811EB" w14:textId="77777777" w:rsidR="003F491E" w:rsidRPr="007C1D25" w:rsidRDefault="003F491E" w:rsidP="000E50AA">
            <w:pPr>
              <w:tabs>
                <w:tab w:val="left" w:pos="1940"/>
              </w:tabs>
              <w:spacing w:before="40" w:after="40"/>
              <w:ind w:left="162" w:hanging="193"/>
              <w:rPr>
                <w:rFonts w:eastAsia="Batang"/>
                <w:sz w:val="20"/>
                <w:lang w:eastAsia="ko-KR"/>
              </w:rPr>
            </w:pPr>
            <w:r w:rsidRPr="007C1D25">
              <w:rPr>
                <w:rFonts w:eastAsia="Batang"/>
                <w:sz w:val="20"/>
                <w:lang w:eastAsia="ko-KR"/>
              </w:rPr>
              <w:t>K-5</w:t>
            </w:r>
          </w:p>
        </w:tc>
      </w:tr>
      <w:tr w:rsidR="003F491E" w:rsidRPr="003C101A" w14:paraId="7E1CEDC8" w14:textId="77777777" w:rsidTr="000E50AA">
        <w:trPr>
          <w:trHeight w:val="515"/>
          <w:jc w:val="center"/>
        </w:trPr>
        <w:tc>
          <w:tcPr>
            <w:tcW w:w="2520" w:type="dxa"/>
            <w:shd w:val="clear" w:color="auto" w:fill="F2F2F2"/>
            <w:tcMar>
              <w:top w:w="0" w:type="dxa"/>
              <w:left w:w="108" w:type="dxa"/>
              <w:bottom w:w="0" w:type="dxa"/>
              <w:right w:w="108" w:type="dxa"/>
            </w:tcMar>
            <w:vAlign w:val="center"/>
          </w:tcPr>
          <w:p w14:paraId="5C72E6AE" w14:textId="77777777" w:rsidR="003F491E" w:rsidRPr="003C101A" w:rsidRDefault="003F491E" w:rsidP="000E50AA">
            <w:pPr>
              <w:tabs>
                <w:tab w:val="left" w:pos="1940"/>
              </w:tabs>
              <w:spacing w:before="40"/>
              <w:rPr>
                <w:rFonts w:eastAsia="Batang"/>
                <w:b/>
                <w:sz w:val="20"/>
                <w:lang w:eastAsia="ko-KR"/>
              </w:rPr>
            </w:pPr>
            <w:r w:rsidRPr="003C101A">
              <w:rPr>
                <w:rFonts w:eastAsia="Batang"/>
                <w:b/>
                <w:sz w:val="20"/>
                <w:lang w:eastAsia="ko-KR"/>
              </w:rPr>
              <w:t>Students on Waitlist</w:t>
            </w:r>
          </w:p>
        </w:tc>
        <w:tc>
          <w:tcPr>
            <w:tcW w:w="1980" w:type="dxa"/>
            <w:tcMar>
              <w:top w:w="0" w:type="dxa"/>
              <w:left w:w="108" w:type="dxa"/>
              <w:bottom w:w="0" w:type="dxa"/>
              <w:right w:w="108" w:type="dxa"/>
            </w:tcMar>
            <w:vAlign w:val="center"/>
          </w:tcPr>
          <w:p w14:paraId="3F0899B2" w14:textId="7AE71D2C" w:rsidR="003F491E" w:rsidRDefault="00053920" w:rsidP="000E50AA">
            <w:pPr>
              <w:tabs>
                <w:tab w:val="left" w:pos="1940"/>
              </w:tabs>
              <w:spacing w:before="40"/>
              <w:ind w:left="162" w:hanging="193"/>
              <w:rPr>
                <w:rFonts w:eastAsia="Batang"/>
                <w:sz w:val="20"/>
                <w:lang w:eastAsia="ko-KR"/>
              </w:rPr>
            </w:pPr>
            <w:r>
              <w:rPr>
                <w:rFonts w:eastAsia="Batang"/>
                <w:sz w:val="20"/>
                <w:lang w:eastAsia="ko-KR"/>
              </w:rPr>
              <w:t>186</w:t>
            </w:r>
          </w:p>
        </w:tc>
        <w:tc>
          <w:tcPr>
            <w:tcW w:w="2160" w:type="dxa"/>
            <w:shd w:val="clear" w:color="auto" w:fill="F2F2F2"/>
            <w:tcMar>
              <w:top w:w="0" w:type="dxa"/>
              <w:left w:w="108" w:type="dxa"/>
              <w:bottom w:w="0" w:type="dxa"/>
              <w:right w:w="108" w:type="dxa"/>
            </w:tcMar>
            <w:vAlign w:val="center"/>
          </w:tcPr>
          <w:p w14:paraId="47FD1E80" w14:textId="77777777" w:rsidR="003F491E" w:rsidRDefault="003F491E" w:rsidP="000E50AA">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160" w:type="dxa"/>
            <w:tcMar>
              <w:top w:w="0" w:type="dxa"/>
              <w:left w:w="108" w:type="dxa"/>
              <w:bottom w:w="0" w:type="dxa"/>
              <w:right w:w="108" w:type="dxa"/>
            </w:tcMar>
            <w:vAlign w:val="center"/>
          </w:tcPr>
          <w:p w14:paraId="5487F05C" w14:textId="77777777" w:rsidR="003F491E" w:rsidRDefault="003F491E" w:rsidP="000E50AA">
            <w:pPr>
              <w:tabs>
                <w:tab w:val="left" w:pos="1940"/>
              </w:tabs>
              <w:spacing w:before="40" w:after="40"/>
              <w:ind w:left="162" w:hanging="193"/>
              <w:rPr>
                <w:rFonts w:eastAsia="Batang"/>
                <w:sz w:val="20"/>
                <w:lang w:eastAsia="ko-KR"/>
              </w:rPr>
            </w:pPr>
            <w:r>
              <w:rPr>
                <w:rFonts w:eastAsia="Batang"/>
                <w:sz w:val="20"/>
                <w:lang w:eastAsia="ko-KR"/>
              </w:rPr>
              <w:t>12 years</w:t>
            </w:r>
          </w:p>
        </w:tc>
      </w:tr>
      <w:tr w:rsidR="003F491E" w:rsidRPr="003C101A" w14:paraId="25899BB1" w14:textId="77777777" w:rsidTr="000E50AA">
        <w:trPr>
          <w:trHeight w:val="1469"/>
          <w:jc w:val="center"/>
        </w:trPr>
        <w:tc>
          <w:tcPr>
            <w:tcW w:w="8820" w:type="dxa"/>
            <w:gridSpan w:val="4"/>
            <w:shd w:val="clear" w:color="auto" w:fill="F2F2F2"/>
            <w:tcMar>
              <w:top w:w="0" w:type="dxa"/>
              <w:left w:w="108" w:type="dxa"/>
              <w:bottom w:w="0" w:type="dxa"/>
              <w:right w:w="108" w:type="dxa"/>
            </w:tcMar>
          </w:tcPr>
          <w:p w14:paraId="36DB153B" w14:textId="77777777" w:rsidR="003F491E" w:rsidRDefault="003F491E" w:rsidP="000E50AA">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0DCA50C7" w14:textId="77777777" w:rsidR="003F491E" w:rsidRPr="003C101A" w:rsidRDefault="003F491E" w:rsidP="000E50AA">
            <w:pPr>
              <w:tabs>
                <w:tab w:val="left" w:pos="1940"/>
              </w:tabs>
              <w:spacing w:before="120" w:after="40"/>
              <w:ind w:left="-18" w:hanging="13"/>
              <w:rPr>
                <w:rFonts w:eastAsia="Batang"/>
                <w:b/>
                <w:sz w:val="20"/>
                <w:lang w:eastAsia="ko-KR"/>
              </w:rPr>
            </w:pPr>
            <w:r w:rsidRPr="006F37A5">
              <w:rPr>
                <w:rFonts w:eastAsia="Batang"/>
                <w:sz w:val="22"/>
                <w:szCs w:val="22"/>
                <w:lang w:eastAsia="ko-KR"/>
              </w:rPr>
              <w:t>Martin Luther King, Jr. Charter School of Excellence prepares kindergarten through 5</w:t>
            </w:r>
            <w:r w:rsidRPr="006F37A5">
              <w:rPr>
                <w:rFonts w:eastAsia="Batang"/>
                <w:sz w:val="22"/>
                <w:szCs w:val="22"/>
                <w:vertAlign w:val="superscript"/>
                <w:lang w:eastAsia="ko-KR"/>
              </w:rPr>
              <w:t>th</w:t>
            </w:r>
            <w:r>
              <w:rPr>
                <w:rFonts w:eastAsia="Batang"/>
                <w:sz w:val="22"/>
                <w:szCs w:val="22"/>
                <w:lang w:eastAsia="ko-KR"/>
              </w:rPr>
              <w:t xml:space="preserve"> grade students of </w:t>
            </w:r>
            <w:r w:rsidRPr="006F37A5">
              <w:rPr>
                <w:rFonts w:eastAsia="Batang"/>
                <w:sz w:val="22"/>
                <w:szCs w:val="22"/>
                <w:lang w:eastAsia="ko-KR"/>
              </w:rPr>
              <w:t>Springfield for academic success and engaged citizenship through insistence on rigorous, challenging work. The school incorporates Dr. King’s commitment to the highest standards in scholarship, civic participation and the ideal of the beloved community.</w:t>
            </w:r>
          </w:p>
        </w:tc>
      </w:tr>
    </w:tbl>
    <w:p w14:paraId="2B268E06" w14:textId="77777777" w:rsidR="003F491E" w:rsidRDefault="003F491E" w:rsidP="003F491E">
      <w:pPr>
        <w:widowControl/>
      </w:pPr>
    </w:p>
    <w:p w14:paraId="012342EB" w14:textId="5C724CE6" w:rsidR="003F491E" w:rsidRPr="003F491E" w:rsidRDefault="00805AA1" w:rsidP="003F491E">
      <w:pPr>
        <w:pStyle w:val="ListParagraph"/>
        <w:ind w:left="0"/>
      </w:pPr>
      <w:r w:rsidRPr="003F491E">
        <w:t>Martin Luther King, Jr. Charter School of Excellence</w:t>
      </w:r>
      <w:r w:rsidR="003F491E" w:rsidRPr="003F491E">
        <w:t xml:space="preserve"> opened in 2006 and is currently in its twelfth year of operation. In January </w:t>
      </w:r>
      <w:proofErr w:type="gramStart"/>
      <w:r w:rsidR="003F491E" w:rsidRPr="003F491E">
        <w:t>2011</w:t>
      </w:r>
      <w:proofErr w:type="gramEnd"/>
      <w:r w:rsidR="003F491E" w:rsidRPr="003F491E">
        <w:t xml:space="preserve"> the Board </w:t>
      </w:r>
      <w:r w:rsidR="00E74DA7">
        <w:t>renewed</w:t>
      </w:r>
      <w:r w:rsidR="00E74DA7" w:rsidRPr="003F491E">
        <w:t xml:space="preserve"> </w:t>
      </w:r>
      <w:r w:rsidR="003F491E" w:rsidRPr="003F491E">
        <w:t>the school</w:t>
      </w:r>
      <w:r w:rsidR="00E74DA7">
        <w:t xml:space="preserve">’s charter, placed the school on probation, and imposed </w:t>
      </w:r>
      <w:r w:rsidR="003F491E" w:rsidRPr="003F491E">
        <w:t xml:space="preserve">three conditions </w:t>
      </w:r>
      <w:r w:rsidR="00E74DA7">
        <w:t xml:space="preserve">on the school’s charter </w:t>
      </w:r>
      <w:r w:rsidR="003F491E" w:rsidRPr="003F491E">
        <w:t xml:space="preserve">related to program delivery and academic performance. In January 2013, the Board determined that MLK had “sufficiently met conditions related to academic growth, establishing a fully documented curriculum, and evaluating and staffing its leadership structure to remove MLK from probation.” The Board imposed </w:t>
      </w:r>
      <w:r w:rsidR="00C04EDD">
        <w:t>additional</w:t>
      </w:r>
      <w:r w:rsidR="00C04EDD" w:rsidRPr="003F491E">
        <w:t xml:space="preserve"> </w:t>
      </w:r>
      <w:r w:rsidR="003F491E" w:rsidRPr="003F491E">
        <w:t xml:space="preserve">conditions </w:t>
      </w:r>
      <w:r w:rsidR="00C04EDD">
        <w:t xml:space="preserve">requiring the school </w:t>
      </w:r>
      <w:r w:rsidR="003F491E" w:rsidRPr="003F491E">
        <w:t xml:space="preserve">to demonstrate significant and sustained academic improvement by December 2014. </w:t>
      </w:r>
    </w:p>
    <w:p w14:paraId="40CAD077" w14:textId="77777777" w:rsidR="003F491E" w:rsidRPr="003F491E" w:rsidRDefault="003F491E" w:rsidP="003F491E">
      <w:pPr>
        <w:rPr>
          <w:szCs w:val="24"/>
        </w:rPr>
      </w:pPr>
    </w:p>
    <w:p w14:paraId="3FAC4DAF" w14:textId="03360713" w:rsidR="003F491E" w:rsidRDefault="003F491E" w:rsidP="003F491E">
      <w:pPr>
        <w:rPr>
          <w:szCs w:val="24"/>
        </w:rPr>
      </w:pPr>
      <w:r w:rsidRPr="003F491E">
        <w:rPr>
          <w:szCs w:val="24"/>
        </w:rPr>
        <w:t xml:space="preserve">In January 2015, the Board </w:t>
      </w:r>
      <w:r w:rsidR="008C19F0" w:rsidRPr="003F491E">
        <w:rPr>
          <w:szCs w:val="24"/>
        </w:rPr>
        <w:t xml:space="preserve">again </w:t>
      </w:r>
      <w:r w:rsidRPr="003F491E">
        <w:rPr>
          <w:szCs w:val="24"/>
        </w:rPr>
        <w:t>placed the school on probation following a</w:t>
      </w:r>
      <w:r w:rsidR="00296C69">
        <w:rPr>
          <w:szCs w:val="24"/>
        </w:rPr>
        <w:t>nother</w:t>
      </w:r>
      <w:r w:rsidRPr="003F491E">
        <w:rPr>
          <w:szCs w:val="24"/>
        </w:rPr>
        <w:t xml:space="preserve"> decline in student achievement and </w:t>
      </w:r>
      <w:r w:rsidR="008C19F0">
        <w:rPr>
          <w:szCs w:val="22"/>
        </w:rPr>
        <w:t>imposed</w:t>
      </w:r>
      <w:r w:rsidR="008C19F0" w:rsidRPr="007F20DF">
        <w:rPr>
          <w:szCs w:val="22"/>
        </w:rPr>
        <w:t xml:space="preserve"> </w:t>
      </w:r>
      <w:r w:rsidR="00296C69">
        <w:rPr>
          <w:szCs w:val="22"/>
        </w:rPr>
        <w:t xml:space="preserve">additional </w:t>
      </w:r>
      <w:r w:rsidR="008C19F0" w:rsidRPr="007F20DF">
        <w:rPr>
          <w:szCs w:val="22"/>
        </w:rPr>
        <w:t xml:space="preserve">conditions related to </w:t>
      </w:r>
      <w:r w:rsidR="00296C69">
        <w:rPr>
          <w:szCs w:val="22"/>
        </w:rPr>
        <w:t xml:space="preserve">sustained </w:t>
      </w:r>
      <w:r w:rsidR="008C19F0" w:rsidRPr="007F20DF">
        <w:rPr>
          <w:szCs w:val="22"/>
        </w:rPr>
        <w:t>academic improvement</w:t>
      </w:r>
      <w:r w:rsidR="008C19F0">
        <w:rPr>
          <w:szCs w:val="24"/>
        </w:rPr>
        <w:t xml:space="preserve">. The </w:t>
      </w:r>
      <w:r w:rsidR="00953E51">
        <w:rPr>
          <w:szCs w:val="24"/>
        </w:rPr>
        <w:t xml:space="preserve">Board renewed the </w:t>
      </w:r>
      <w:r w:rsidR="008C19F0">
        <w:rPr>
          <w:szCs w:val="24"/>
        </w:rPr>
        <w:t>school</w:t>
      </w:r>
      <w:r w:rsidR="00953E51">
        <w:rPr>
          <w:szCs w:val="24"/>
        </w:rPr>
        <w:t xml:space="preserve">’s charter </w:t>
      </w:r>
      <w:r w:rsidRPr="003F491E">
        <w:rPr>
          <w:szCs w:val="24"/>
        </w:rPr>
        <w:t xml:space="preserve">in 2016 </w:t>
      </w:r>
      <w:r w:rsidR="00953E51">
        <w:rPr>
          <w:szCs w:val="24"/>
        </w:rPr>
        <w:t xml:space="preserve">and placed the school on probation </w:t>
      </w:r>
      <w:r w:rsidRPr="003F491E">
        <w:rPr>
          <w:szCs w:val="24"/>
        </w:rPr>
        <w:t xml:space="preserve">because, while the school had met the three conditions imposed in January 2015, the school’s performance </w:t>
      </w:r>
      <w:r w:rsidR="00953E51">
        <w:rPr>
          <w:szCs w:val="24"/>
        </w:rPr>
        <w:t>had</w:t>
      </w:r>
      <w:r w:rsidR="00953E51" w:rsidRPr="003F491E">
        <w:rPr>
          <w:szCs w:val="24"/>
        </w:rPr>
        <w:t xml:space="preserve"> </w:t>
      </w:r>
      <w:r w:rsidRPr="003F491E">
        <w:rPr>
          <w:szCs w:val="24"/>
        </w:rPr>
        <w:t xml:space="preserve">not met state standards. The Board </w:t>
      </w:r>
      <w:r w:rsidR="00BA1E9F">
        <w:rPr>
          <w:szCs w:val="24"/>
        </w:rPr>
        <w:t>imposed</w:t>
      </w:r>
      <w:r w:rsidRPr="003F491E">
        <w:rPr>
          <w:szCs w:val="24"/>
        </w:rPr>
        <w:t xml:space="preserve"> four conditions</w:t>
      </w:r>
      <w:r w:rsidR="00BA1E9F">
        <w:rPr>
          <w:szCs w:val="24"/>
        </w:rPr>
        <w:t xml:space="preserve"> on the school’s charter</w:t>
      </w:r>
      <w:r w:rsidRPr="003F491E">
        <w:rPr>
          <w:szCs w:val="24"/>
        </w:rPr>
        <w:t xml:space="preserve">. </w:t>
      </w:r>
      <w:r w:rsidR="00207F80">
        <w:rPr>
          <w:szCs w:val="24"/>
        </w:rPr>
        <w:t xml:space="preserve">A report on the school’s </w:t>
      </w:r>
      <w:r w:rsidRPr="003F491E">
        <w:rPr>
          <w:szCs w:val="24"/>
        </w:rPr>
        <w:t xml:space="preserve">progress </w:t>
      </w:r>
      <w:r w:rsidR="00207F80">
        <w:rPr>
          <w:szCs w:val="24"/>
        </w:rPr>
        <w:t>in meeting</w:t>
      </w:r>
      <w:r w:rsidR="00207F80" w:rsidRPr="003F491E">
        <w:rPr>
          <w:szCs w:val="24"/>
        </w:rPr>
        <w:t xml:space="preserve"> </w:t>
      </w:r>
      <w:r w:rsidRPr="003F491E">
        <w:rPr>
          <w:szCs w:val="24"/>
        </w:rPr>
        <w:t xml:space="preserve">these conditions </w:t>
      </w:r>
      <w:r w:rsidR="00207F80">
        <w:rPr>
          <w:szCs w:val="24"/>
        </w:rPr>
        <w:t>follows</w:t>
      </w:r>
      <w:r w:rsidRPr="003F491E">
        <w:rPr>
          <w:szCs w:val="24"/>
        </w:rPr>
        <w:t xml:space="preserve">. </w:t>
      </w:r>
    </w:p>
    <w:p w14:paraId="2A2781F6" w14:textId="51434842" w:rsidR="008C19F0" w:rsidRPr="007F20DF" w:rsidRDefault="008C19F0" w:rsidP="008C19F0">
      <w:pPr>
        <w:jc w:val="both"/>
        <w:rPr>
          <w:szCs w:val="22"/>
        </w:rPr>
      </w:pPr>
    </w:p>
    <w:p w14:paraId="721581CB" w14:textId="4D5C5396" w:rsidR="008C19F0" w:rsidRPr="003F491E" w:rsidRDefault="00BF06AD" w:rsidP="008C19F0">
      <w:pPr>
        <w:rPr>
          <w:szCs w:val="24"/>
        </w:rPr>
      </w:pPr>
      <w:r w:rsidRPr="003F491E">
        <w:rPr>
          <w:szCs w:val="24"/>
        </w:rPr>
        <w:t>The conditions required MLK to demonstrate significant and sustained academic progress by December 2017.</w:t>
      </w:r>
      <w:r>
        <w:rPr>
          <w:szCs w:val="24"/>
        </w:rPr>
        <w:t xml:space="preserve"> </w:t>
      </w:r>
      <w:r w:rsidR="008C19F0" w:rsidRPr="003F491E">
        <w:rPr>
          <w:szCs w:val="24"/>
        </w:rPr>
        <w:t xml:space="preserve">As summarized below, MLK has </w:t>
      </w:r>
      <w:r w:rsidR="008C19F0">
        <w:rPr>
          <w:szCs w:val="24"/>
        </w:rPr>
        <w:t xml:space="preserve">substantially </w:t>
      </w:r>
      <w:r w:rsidR="008C19F0" w:rsidRPr="003F491E">
        <w:rPr>
          <w:szCs w:val="24"/>
        </w:rPr>
        <w:t xml:space="preserve">met the conditions imposed by the Board. </w:t>
      </w:r>
    </w:p>
    <w:p w14:paraId="502CF975" w14:textId="77777777" w:rsidR="003F491E" w:rsidRPr="003F491E" w:rsidRDefault="003F491E" w:rsidP="003F491E">
      <w:pPr>
        <w:pStyle w:val="FootnoteText"/>
        <w:widowControl/>
        <w:rPr>
          <w:sz w:val="24"/>
          <w:szCs w:val="24"/>
        </w:rPr>
      </w:pPr>
    </w:p>
    <w:p w14:paraId="686AD0E6" w14:textId="77777777" w:rsidR="003F491E" w:rsidRPr="003F491E" w:rsidRDefault="003F491E" w:rsidP="003F491E">
      <w:pPr>
        <w:pStyle w:val="Default"/>
        <w:rPr>
          <w:b/>
          <w:u w:val="single"/>
        </w:rPr>
      </w:pPr>
      <w:r w:rsidRPr="003F491E">
        <w:rPr>
          <w:b/>
          <w:u w:val="single"/>
        </w:rPr>
        <w:t xml:space="preserve">Progress </w:t>
      </w:r>
      <w:proofErr w:type="gramStart"/>
      <w:r w:rsidRPr="003F491E">
        <w:rPr>
          <w:b/>
          <w:u w:val="single"/>
        </w:rPr>
        <w:t>Toward</w:t>
      </w:r>
      <w:proofErr w:type="gramEnd"/>
      <w:r w:rsidRPr="003F491E">
        <w:rPr>
          <w:b/>
          <w:u w:val="single"/>
        </w:rPr>
        <w:t xml:space="preserve"> Meeting Conditions </w:t>
      </w:r>
    </w:p>
    <w:p w14:paraId="64DCE7C3" w14:textId="77777777" w:rsidR="003F491E" w:rsidRPr="003F491E" w:rsidRDefault="003F491E" w:rsidP="003F491E">
      <w:pPr>
        <w:pStyle w:val="Default"/>
        <w:rPr>
          <w:b/>
          <w:u w:val="single"/>
        </w:rPr>
      </w:pPr>
    </w:p>
    <w:p w14:paraId="09B40660" w14:textId="77777777" w:rsidR="003F491E" w:rsidRPr="003F491E" w:rsidRDefault="003F491E" w:rsidP="003F491E">
      <w:pPr>
        <w:pStyle w:val="ListParagraph"/>
        <w:ind w:left="0"/>
        <w:contextualSpacing/>
      </w:pPr>
      <w:r w:rsidRPr="003F491E">
        <w:rPr>
          <w:b/>
        </w:rPr>
        <w:t xml:space="preserve">Condition 1: </w:t>
      </w:r>
      <w:r w:rsidRPr="003F491E">
        <w:t xml:space="preserve">Until further notice, Martin Luther King, Jr. Charter School of Excellence must submit to the Department, at </w:t>
      </w:r>
      <w:hyperlink r:id="rId14" w:history="1">
        <w:r w:rsidRPr="003F491E">
          <w:rPr>
            <w:rStyle w:val="Hyperlink"/>
          </w:rPr>
          <w:t>charterschools@doe.mass.edu</w:t>
        </w:r>
      </w:hyperlink>
      <w:r w:rsidRPr="003F491E">
        <w:t xml:space="preserve">, board meeting agendas, materials, and minutes prior to each board meeting at the same time that these items </w:t>
      </w:r>
      <w:proofErr w:type="gramStart"/>
      <w:r w:rsidRPr="003F491E">
        <w:t>are sent</w:t>
      </w:r>
      <w:proofErr w:type="gramEnd"/>
      <w:r w:rsidRPr="003F491E">
        <w:t xml:space="preserve"> to the school's board members. Additionally, if board materials do not already include this information, the school must also submit monthly financial statements.</w:t>
      </w:r>
    </w:p>
    <w:p w14:paraId="5A653EE1" w14:textId="77777777" w:rsidR="003F491E" w:rsidRPr="003F491E" w:rsidRDefault="003F491E" w:rsidP="003F491E">
      <w:pPr>
        <w:pStyle w:val="ListParagraph"/>
        <w:ind w:left="0"/>
        <w:contextualSpacing/>
      </w:pPr>
    </w:p>
    <w:p w14:paraId="792A2BCE" w14:textId="77777777" w:rsidR="003F491E" w:rsidRPr="003F491E" w:rsidRDefault="003F491E" w:rsidP="003F491E">
      <w:pPr>
        <w:pStyle w:val="ListParagraph"/>
        <w:ind w:left="0"/>
        <w:contextualSpacing/>
        <w:rPr>
          <w:b/>
        </w:rPr>
      </w:pPr>
      <w:r w:rsidRPr="003F491E">
        <w:tab/>
      </w:r>
      <w:r w:rsidRPr="003F491E">
        <w:rPr>
          <w:b/>
        </w:rPr>
        <w:t>Status: Met</w:t>
      </w:r>
    </w:p>
    <w:p w14:paraId="61DF7785" w14:textId="2C8992DE" w:rsidR="003F491E" w:rsidRPr="003F491E" w:rsidRDefault="003F491E" w:rsidP="003F491E">
      <w:pPr>
        <w:ind w:left="720"/>
        <w:rPr>
          <w:snapToGrid/>
          <w:szCs w:val="24"/>
        </w:rPr>
      </w:pPr>
      <w:r w:rsidRPr="003F491E">
        <w:rPr>
          <w:snapToGrid/>
          <w:szCs w:val="24"/>
        </w:rPr>
        <w:t xml:space="preserve">MLK has submitted board packages </w:t>
      </w:r>
      <w:r w:rsidR="00B717C2">
        <w:rPr>
          <w:snapToGrid/>
          <w:szCs w:val="24"/>
        </w:rPr>
        <w:t>as directed by the condition</w:t>
      </w:r>
      <w:r w:rsidRPr="003F491E">
        <w:rPr>
          <w:snapToGrid/>
          <w:szCs w:val="24"/>
        </w:rPr>
        <w:t xml:space="preserve">. Board packages contain board committee minutes, reports on academic data, financial updates and projections, budget documents, policy documents, and compliance documents. </w:t>
      </w:r>
    </w:p>
    <w:p w14:paraId="54F9028E" w14:textId="77777777" w:rsidR="003F491E" w:rsidRPr="003F491E" w:rsidRDefault="003F491E" w:rsidP="003F491E">
      <w:pPr>
        <w:pStyle w:val="ListParagraph"/>
        <w:ind w:left="0"/>
        <w:contextualSpacing/>
        <w:rPr>
          <w:b/>
        </w:rPr>
      </w:pPr>
    </w:p>
    <w:p w14:paraId="6FE3E83C" w14:textId="77777777" w:rsidR="003F491E" w:rsidRPr="003F491E" w:rsidRDefault="003F491E" w:rsidP="003F491E">
      <w:pPr>
        <w:pStyle w:val="ListParagraph"/>
        <w:ind w:left="0"/>
        <w:contextualSpacing/>
      </w:pPr>
      <w:r w:rsidRPr="003F491E">
        <w:rPr>
          <w:b/>
          <w:snapToGrid w:val="0"/>
        </w:rPr>
        <w:lastRenderedPageBreak/>
        <w:t>Condition 2:</w:t>
      </w:r>
      <w:r w:rsidRPr="003F491E">
        <w:rPr>
          <w:snapToGrid w:val="0"/>
        </w:rPr>
        <w:t xml:space="preserve"> </w:t>
      </w:r>
      <w:r w:rsidRPr="003F491E">
        <w:t>The school must maintain the established escrow account to pay for any potential closing, legal, and audit expenses associated with closure, should that occur.</w:t>
      </w:r>
    </w:p>
    <w:p w14:paraId="15514028" w14:textId="77777777" w:rsidR="003F491E" w:rsidRPr="003F491E" w:rsidRDefault="003F491E" w:rsidP="003F491E">
      <w:pPr>
        <w:pStyle w:val="ListParagraph"/>
        <w:ind w:left="0"/>
        <w:contextualSpacing/>
      </w:pPr>
    </w:p>
    <w:p w14:paraId="691709D5" w14:textId="77777777" w:rsidR="003F491E" w:rsidRPr="003F491E" w:rsidRDefault="003F491E" w:rsidP="003F491E">
      <w:pPr>
        <w:pStyle w:val="ListParagraph"/>
        <w:ind w:left="0"/>
        <w:contextualSpacing/>
        <w:rPr>
          <w:b/>
        </w:rPr>
      </w:pPr>
      <w:r w:rsidRPr="003F491E">
        <w:tab/>
      </w:r>
      <w:r w:rsidRPr="003F491E">
        <w:rPr>
          <w:b/>
        </w:rPr>
        <w:t>Status: Met</w:t>
      </w:r>
    </w:p>
    <w:p w14:paraId="33E11F46" w14:textId="4FC66330" w:rsidR="003F491E" w:rsidRPr="003F491E" w:rsidRDefault="003F491E" w:rsidP="003F491E">
      <w:pPr>
        <w:ind w:left="720"/>
        <w:rPr>
          <w:snapToGrid/>
          <w:szCs w:val="24"/>
        </w:rPr>
      </w:pPr>
      <w:r w:rsidRPr="003F491E">
        <w:rPr>
          <w:snapToGrid/>
          <w:szCs w:val="24"/>
        </w:rPr>
        <w:t>The school opened an account at the Berkshire Bank by March 25, 2015. The account currently holds approximately $17,500 set aside for potential closing costs, should that occur. During the site visit</w:t>
      </w:r>
      <w:r w:rsidR="00DD7C39">
        <w:rPr>
          <w:snapToGrid/>
          <w:szCs w:val="24"/>
        </w:rPr>
        <w:t xml:space="preserve"> on </w:t>
      </w:r>
      <w:r w:rsidR="00DD7C39" w:rsidRPr="003F491E">
        <w:rPr>
          <w:snapToGrid/>
          <w:szCs w:val="24"/>
        </w:rPr>
        <w:t>March 27, 2018</w:t>
      </w:r>
      <w:r w:rsidRPr="003F491E">
        <w:rPr>
          <w:snapToGrid/>
          <w:szCs w:val="24"/>
        </w:rPr>
        <w:t xml:space="preserve">, </w:t>
      </w:r>
      <w:r w:rsidR="00F619D3">
        <w:rPr>
          <w:snapToGrid/>
          <w:szCs w:val="24"/>
        </w:rPr>
        <w:t xml:space="preserve">MLK’s </w:t>
      </w:r>
      <w:r w:rsidRPr="003F491E">
        <w:rPr>
          <w:snapToGrid/>
          <w:szCs w:val="24"/>
        </w:rPr>
        <w:t>board reported that they continue to maintain this account.</w:t>
      </w:r>
      <w:r w:rsidRPr="003F491E">
        <w:rPr>
          <w:szCs w:val="24"/>
        </w:rPr>
        <w:t xml:space="preserve"> </w:t>
      </w:r>
    </w:p>
    <w:p w14:paraId="5E7993AC" w14:textId="77777777" w:rsidR="003F491E" w:rsidRPr="003F491E" w:rsidRDefault="003F491E" w:rsidP="003F491E">
      <w:pPr>
        <w:pStyle w:val="ListParagraph"/>
        <w:ind w:left="0"/>
        <w:contextualSpacing/>
        <w:rPr>
          <w:b/>
        </w:rPr>
      </w:pPr>
    </w:p>
    <w:p w14:paraId="7923261E" w14:textId="77777777" w:rsidR="003F491E" w:rsidRPr="003F491E" w:rsidRDefault="003F491E" w:rsidP="003F491E">
      <w:pPr>
        <w:pStyle w:val="ListParagraph"/>
        <w:ind w:left="0"/>
        <w:contextualSpacing/>
      </w:pPr>
      <w:r w:rsidRPr="003F491E">
        <w:rPr>
          <w:b/>
        </w:rPr>
        <w:t xml:space="preserve">Condition 3: </w:t>
      </w:r>
      <w:r w:rsidRPr="003F491E">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14:paraId="547A37AC" w14:textId="77777777" w:rsidR="003F491E" w:rsidRPr="003F491E" w:rsidRDefault="003F491E" w:rsidP="003F491E">
      <w:pPr>
        <w:pStyle w:val="ListParagraph"/>
        <w:ind w:left="0"/>
        <w:contextualSpacing/>
      </w:pPr>
    </w:p>
    <w:p w14:paraId="6FB6952D" w14:textId="77777777" w:rsidR="003F491E" w:rsidRPr="003F491E" w:rsidRDefault="003F491E" w:rsidP="003F491E">
      <w:pPr>
        <w:pStyle w:val="ListParagraph"/>
        <w:ind w:left="0"/>
        <w:contextualSpacing/>
        <w:rPr>
          <w:b/>
        </w:rPr>
      </w:pPr>
      <w:r w:rsidRPr="003F491E">
        <w:tab/>
      </w:r>
      <w:r w:rsidRPr="003F491E">
        <w:rPr>
          <w:b/>
        </w:rPr>
        <w:t>Status: Met</w:t>
      </w:r>
    </w:p>
    <w:p w14:paraId="68F3624B" w14:textId="497D96CE" w:rsidR="00BF06AD" w:rsidRDefault="00BF06AD" w:rsidP="00EA1A94">
      <w:pPr>
        <w:ind w:left="720"/>
        <w:rPr>
          <w:szCs w:val="22"/>
        </w:rPr>
      </w:pPr>
      <w:r w:rsidRPr="00C403B7">
        <w:rPr>
          <w:szCs w:val="22"/>
        </w:rPr>
        <w:t xml:space="preserve">In 2012, 2013, 2014, and 2015, </w:t>
      </w:r>
      <w:r>
        <w:rPr>
          <w:szCs w:val="22"/>
        </w:rPr>
        <w:t>MLK</w:t>
      </w:r>
      <w:r w:rsidRPr="00C403B7">
        <w:rPr>
          <w:szCs w:val="22"/>
        </w:rPr>
        <w:t>’s MCAS scores placed the school in Level 3. The school’s percentile, when compared to other elementary schools</w:t>
      </w:r>
      <w:r>
        <w:rPr>
          <w:szCs w:val="22"/>
        </w:rPr>
        <w:t xml:space="preserve"> state</w:t>
      </w:r>
      <w:r w:rsidRPr="00C403B7">
        <w:rPr>
          <w:szCs w:val="22"/>
        </w:rPr>
        <w:t xml:space="preserve">wide, </w:t>
      </w:r>
      <w:r>
        <w:rPr>
          <w:szCs w:val="22"/>
        </w:rPr>
        <w:t>improved in 2015 and 2016</w:t>
      </w:r>
      <w:r w:rsidRPr="00C403B7">
        <w:rPr>
          <w:szCs w:val="22"/>
        </w:rPr>
        <w:t xml:space="preserve">. In 2012, </w:t>
      </w:r>
      <w:r>
        <w:rPr>
          <w:szCs w:val="22"/>
        </w:rPr>
        <w:t>MLK</w:t>
      </w:r>
      <w:r w:rsidRPr="00C403B7">
        <w:rPr>
          <w:szCs w:val="22"/>
        </w:rPr>
        <w:t xml:space="preserve"> was in the 12th percentile; in 2013, the 11th percentile; and in 2014, the </w:t>
      </w:r>
      <w:proofErr w:type="gramStart"/>
      <w:r w:rsidRPr="00C403B7">
        <w:rPr>
          <w:szCs w:val="22"/>
        </w:rPr>
        <w:t>9th</w:t>
      </w:r>
      <w:proofErr w:type="gramEnd"/>
      <w:r w:rsidRPr="00C403B7">
        <w:rPr>
          <w:szCs w:val="22"/>
        </w:rPr>
        <w:t xml:space="preserve"> percentile. In 2015, the school was in the 16th percentile. In 2016, the school </w:t>
      </w:r>
      <w:r>
        <w:rPr>
          <w:szCs w:val="22"/>
        </w:rPr>
        <w:t xml:space="preserve">was </w:t>
      </w:r>
      <w:r w:rsidRPr="00C403B7">
        <w:rPr>
          <w:szCs w:val="22"/>
        </w:rPr>
        <w:t>in the 33rd percentile</w:t>
      </w:r>
      <w:r>
        <w:rPr>
          <w:szCs w:val="22"/>
        </w:rPr>
        <w:t xml:space="preserve">. </w:t>
      </w:r>
      <w:r w:rsidRPr="00C403B7">
        <w:rPr>
          <w:szCs w:val="22"/>
        </w:rPr>
        <w:t xml:space="preserve">In 2016, </w:t>
      </w:r>
      <w:r>
        <w:rPr>
          <w:szCs w:val="22"/>
        </w:rPr>
        <w:t>MLK</w:t>
      </w:r>
      <w:r w:rsidRPr="00C403B7">
        <w:rPr>
          <w:szCs w:val="22"/>
        </w:rPr>
        <w:t>’s PARCC and MCAS scores placed the school in Level 1.</w:t>
      </w:r>
    </w:p>
    <w:p w14:paraId="720F37A5" w14:textId="77777777" w:rsidR="00EA1A94" w:rsidRPr="00C403B7" w:rsidRDefault="00EA1A94" w:rsidP="00EA1A94">
      <w:pPr>
        <w:ind w:left="720"/>
        <w:rPr>
          <w:szCs w:val="22"/>
        </w:rPr>
      </w:pPr>
    </w:p>
    <w:p w14:paraId="04550995" w14:textId="2D2587D9" w:rsidR="003F491E" w:rsidRDefault="00BF06AD" w:rsidP="00EA1A94">
      <w:pPr>
        <w:pStyle w:val="ListParagraph"/>
        <w:contextualSpacing/>
        <w:rPr>
          <w:szCs w:val="22"/>
        </w:rPr>
      </w:pPr>
      <w:r>
        <w:t xml:space="preserve">In 2016, MLK administered the Partnership for the Assessment of Readiness for College and Career (PARCC) and the Massachusetts Comprehensive Assessment System (MCAS) assessments in grades </w:t>
      </w:r>
      <w:r w:rsidR="00F619D3">
        <w:t xml:space="preserve">3 </w:t>
      </w:r>
      <w:r>
        <w:t>through</w:t>
      </w:r>
      <w:r w:rsidR="00F619D3">
        <w:t xml:space="preserve"> 5</w:t>
      </w:r>
      <w:r>
        <w:t>.</w:t>
      </w:r>
      <w:r w:rsidRPr="00A774C9">
        <w:rPr>
          <w:szCs w:val="22"/>
        </w:rPr>
        <w:t xml:space="preserve"> </w:t>
      </w:r>
      <w:r w:rsidRPr="00C403B7">
        <w:rPr>
          <w:szCs w:val="22"/>
        </w:rPr>
        <w:t>In 2016, the school ha</w:t>
      </w:r>
      <w:r>
        <w:rPr>
          <w:szCs w:val="22"/>
        </w:rPr>
        <w:t>d</w:t>
      </w:r>
      <w:r w:rsidRPr="00C403B7">
        <w:rPr>
          <w:szCs w:val="22"/>
        </w:rPr>
        <w:t xml:space="preserve"> a cumulative Progress and Performance Index (PPI) of 88 for all students and 86 for the high</w:t>
      </w:r>
      <w:r>
        <w:rPr>
          <w:szCs w:val="22"/>
        </w:rPr>
        <w:t>-</w:t>
      </w:r>
      <w:r w:rsidRPr="00C403B7">
        <w:rPr>
          <w:szCs w:val="22"/>
        </w:rPr>
        <w:t>needs subgroup. In 2016, the school met gap</w:t>
      </w:r>
      <w:r w:rsidR="00F619D3">
        <w:rPr>
          <w:szCs w:val="22"/>
        </w:rPr>
        <w:t>-</w:t>
      </w:r>
      <w:r w:rsidRPr="00C403B7">
        <w:rPr>
          <w:szCs w:val="22"/>
        </w:rPr>
        <w:t>narrowing targets for both all students and the high</w:t>
      </w:r>
      <w:r>
        <w:rPr>
          <w:szCs w:val="22"/>
        </w:rPr>
        <w:t>-</w:t>
      </w:r>
      <w:r w:rsidRPr="00C403B7">
        <w:rPr>
          <w:szCs w:val="22"/>
        </w:rPr>
        <w:t xml:space="preserve">needs subgroup. </w:t>
      </w:r>
      <w:proofErr w:type="gramStart"/>
      <w:r w:rsidRPr="00C403B7">
        <w:rPr>
          <w:szCs w:val="22"/>
        </w:rPr>
        <w:t>PARCC scores are designated by Levels, with Levels 4 and 5 meeting and exceeding expectations respectively</w:t>
      </w:r>
      <w:proofErr w:type="gramEnd"/>
      <w:r w:rsidRPr="00C403B7">
        <w:rPr>
          <w:szCs w:val="22"/>
        </w:rPr>
        <w:t xml:space="preserve">. In 2016, 42 percent of </w:t>
      </w:r>
      <w:r>
        <w:rPr>
          <w:szCs w:val="22"/>
        </w:rPr>
        <w:t>MLK</w:t>
      </w:r>
      <w:r w:rsidRPr="00C403B7">
        <w:rPr>
          <w:szCs w:val="22"/>
        </w:rPr>
        <w:t xml:space="preserve"> students scored in Level 4 and 5 on </w:t>
      </w:r>
      <w:r w:rsidR="00F619D3">
        <w:rPr>
          <w:szCs w:val="22"/>
        </w:rPr>
        <w:t xml:space="preserve">the </w:t>
      </w:r>
      <w:r w:rsidRPr="00C403B7">
        <w:rPr>
          <w:szCs w:val="22"/>
        </w:rPr>
        <w:t>PARCC assessment</w:t>
      </w:r>
      <w:r w:rsidR="00E01EFF">
        <w:rPr>
          <w:szCs w:val="22"/>
        </w:rPr>
        <w:t xml:space="preserve"> for English language arts (</w:t>
      </w:r>
      <w:r w:rsidR="00E01EFF" w:rsidRPr="00C403B7">
        <w:rPr>
          <w:szCs w:val="22"/>
        </w:rPr>
        <w:t>ELA</w:t>
      </w:r>
      <w:r w:rsidR="00E01EFF">
        <w:rPr>
          <w:szCs w:val="22"/>
        </w:rPr>
        <w:t>)</w:t>
      </w:r>
      <w:r w:rsidRPr="00C403B7">
        <w:rPr>
          <w:szCs w:val="22"/>
        </w:rPr>
        <w:t xml:space="preserve">. In mathematics, 60 percent scored in Level 4 and 5. </w:t>
      </w:r>
      <w:r>
        <w:rPr>
          <w:szCs w:val="22"/>
        </w:rPr>
        <w:t xml:space="preserve">Forty </w:t>
      </w:r>
      <w:r w:rsidRPr="00C403B7">
        <w:rPr>
          <w:szCs w:val="22"/>
        </w:rPr>
        <w:t>percent</w:t>
      </w:r>
      <w:r>
        <w:rPr>
          <w:szCs w:val="22"/>
        </w:rPr>
        <w:t xml:space="preserve"> of grade 5 students</w:t>
      </w:r>
      <w:r w:rsidRPr="00C403B7">
        <w:rPr>
          <w:szCs w:val="22"/>
        </w:rPr>
        <w:t xml:space="preserve"> scored </w:t>
      </w:r>
      <w:r w:rsidR="00E01EFF">
        <w:rPr>
          <w:szCs w:val="22"/>
        </w:rPr>
        <w:t>p</w:t>
      </w:r>
      <w:r w:rsidRPr="00C403B7">
        <w:rPr>
          <w:szCs w:val="22"/>
        </w:rPr>
        <w:t xml:space="preserve">roficient and </w:t>
      </w:r>
      <w:r w:rsidR="00E01EFF">
        <w:rPr>
          <w:szCs w:val="22"/>
        </w:rPr>
        <w:t>a</w:t>
      </w:r>
      <w:r w:rsidRPr="00C403B7">
        <w:rPr>
          <w:szCs w:val="22"/>
        </w:rPr>
        <w:t>dvanced on the MCAS assessment</w:t>
      </w:r>
      <w:r w:rsidR="00BA4FF2">
        <w:rPr>
          <w:szCs w:val="22"/>
        </w:rPr>
        <w:t xml:space="preserve"> for </w:t>
      </w:r>
      <w:r w:rsidR="00805AA1">
        <w:rPr>
          <w:szCs w:val="22"/>
        </w:rPr>
        <w:t xml:space="preserve">science and </w:t>
      </w:r>
      <w:r w:rsidR="00BA4FF2" w:rsidRPr="00C403B7">
        <w:rPr>
          <w:szCs w:val="22"/>
        </w:rPr>
        <w:t>technology/engineering</w:t>
      </w:r>
      <w:r w:rsidRPr="00C403B7">
        <w:rPr>
          <w:szCs w:val="22"/>
        </w:rPr>
        <w:t xml:space="preserve">, below the </w:t>
      </w:r>
      <w:r>
        <w:rPr>
          <w:szCs w:val="22"/>
        </w:rPr>
        <w:t>state</w:t>
      </w:r>
      <w:r w:rsidRPr="00C403B7">
        <w:rPr>
          <w:szCs w:val="22"/>
        </w:rPr>
        <w:t xml:space="preserve"> average of 47 percent. The school’s SGP for all students in 2016 was 64.0 in ELA</w:t>
      </w:r>
      <w:r w:rsidR="00BA4FF2">
        <w:rPr>
          <w:szCs w:val="22"/>
        </w:rPr>
        <w:t>,</w:t>
      </w:r>
      <w:r w:rsidRPr="00C403B7">
        <w:rPr>
          <w:szCs w:val="22"/>
        </w:rPr>
        <w:t xml:space="preserve"> above target growth</w:t>
      </w:r>
      <w:r w:rsidR="00BA4FF2">
        <w:rPr>
          <w:szCs w:val="22"/>
        </w:rPr>
        <w:t>,</w:t>
      </w:r>
      <w:r>
        <w:rPr>
          <w:szCs w:val="22"/>
        </w:rPr>
        <w:t xml:space="preserve"> </w:t>
      </w:r>
      <w:r w:rsidRPr="00C403B7">
        <w:rPr>
          <w:szCs w:val="22"/>
        </w:rPr>
        <w:t>and 76.0 in mathematics</w:t>
      </w:r>
      <w:r w:rsidR="00BA4FF2">
        <w:rPr>
          <w:szCs w:val="22"/>
        </w:rPr>
        <w:t>,</w:t>
      </w:r>
      <w:r w:rsidRPr="00C403B7">
        <w:rPr>
          <w:szCs w:val="22"/>
        </w:rPr>
        <w:t xml:space="preserve"> above target growth.</w:t>
      </w:r>
    </w:p>
    <w:p w14:paraId="7F607181" w14:textId="3FAB5A23" w:rsidR="00BF06AD" w:rsidRDefault="00BF06AD" w:rsidP="00EA1A94">
      <w:pPr>
        <w:pStyle w:val="ListParagraph"/>
        <w:contextualSpacing/>
        <w:rPr>
          <w:szCs w:val="22"/>
        </w:rPr>
      </w:pPr>
    </w:p>
    <w:p w14:paraId="2BADB43A" w14:textId="68FEB299" w:rsidR="00BF06AD" w:rsidRDefault="00BF06AD" w:rsidP="00EA1A94">
      <w:pPr>
        <w:pStyle w:val="ListParagraph"/>
        <w:contextualSpacing/>
      </w:pPr>
      <w:r>
        <w:rPr>
          <w:szCs w:val="22"/>
        </w:rPr>
        <w:t xml:space="preserve">Below, please see MLK’s Composite Performance Index results for the ELA, mathematics, and science from 2008 until 2016. In each subject area, MLK has demonstrated improvements, some of which are significant, from 2014 to 2016.  </w:t>
      </w:r>
    </w:p>
    <w:p w14:paraId="4D5D3F6B" w14:textId="77777777" w:rsidR="003F491E" w:rsidRPr="00550AFD" w:rsidRDefault="003F491E" w:rsidP="003F491E">
      <w:pPr>
        <w:pStyle w:val="ListParagraph"/>
        <w:contextualSpacing/>
      </w:pPr>
      <w:r>
        <w:rPr>
          <w:noProof/>
        </w:rPr>
        <w:lastRenderedPageBreak/>
        <w:t xml:space="preserve">    </w:t>
      </w:r>
      <w:r w:rsidRPr="0041501D">
        <w:rPr>
          <w:noProof/>
          <w:lang w:eastAsia="zh-CN"/>
        </w:rPr>
        <w:drawing>
          <wp:inline distT="0" distB="0" distL="0" distR="0" wp14:anchorId="1E1D4440" wp14:editId="1857BA73">
            <wp:extent cx="4740275" cy="3006090"/>
            <wp:effectExtent l="0" t="0" r="3175" b="3810"/>
            <wp:docPr id="5" name="Chart 5" descr="MLK ELA progress over tim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56BEBF" w14:textId="77777777" w:rsidR="003F491E" w:rsidRDefault="003F491E" w:rsidP="003F491E">
      <w:pPr>
        <w:pStyle w:val="ListParagraph"/>
        <w:ind w:left="0"/>
        <w:contextualSpacing/>
        <w:rPr>
          <w:b/>
        </w:rPr>
      </w:pPr>
    </w:p>
    <w:p w14:paraId="53E054D1" w14:textId="77777777" w:rsidR="003F491E" w:rsidRDefault="003F491E" w:rsidP="003F491E">
      <w:pPr>
        <w:pStyle w:val="ListParagraph"/>
        <w:ind w:left="0"/>
        <w:contextualSpacing/>
        <w:jc w:val="center"/>
        <w:rPr>
          <w:noProof/>
        </w:rPr>
      </w:pPr>
      <w:r w:rsidRPr="0041501D">
        <w:rPr>
          <w:noProof/>
          <w:lang w:eastAsia="zh-CN"/>
        </w:rPr>
        <w:drawing>
          <wp:inline distT="0" distB="0" distL="0" distR="0" wp14:anchorId="402957B0" wp14:editId="38B24996">
            <wp:extent cx="4777740" cy="2999105"/>
            <wp:effectExtent l="0" t="0" r="3810" b="10795"/>
            <wp:docPr id="4" name="Chart 4" descr="MLK Math progress over tim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22AEF0" w14:textId="77777777" w:rsidR="003F491E" w:rsidRDefault="003F491E" w:rsidP="003F491E">
      <w:pPr>
        <w:pStyle w:val="ListParagraph"/>
        <w:ind w:left="0"/>
        <w:contextualSpacing/>
        <w:rPr>
          <w:noProof/>
        </w:rPr>
      </w:pPr>
    </w:p>
    <w:p w14:paraId="2D9E254D" w14:textId="77777777" w:rsidR="003F491E" w:rsidRPr="00406851" w:rsidRDefault="003F491E" w:rsidP="003F491E">
      <w:pPr>
        <w:pStyle w:val="ListParagraph"/>
        <w:ind w:left="0"/>
        <w:contextualSpacing/>
        <w:jc w:val="center"/>
        <w:rPr>
          <w:b/>
        </w:rPr>
      </w:pPr>
      <w:r w:rsidRPr="0041501D">
        <w:rPr>
          <w:noProof/>
          <w:lang w:eastAsia="zh-CN"/>
        </w:rPr>
        <w:lastRenderedPageBreak/>
        <w:drawing>
          <wp:inline distT="0" distB="0" distL="0" distR="0" wp14:anchorId="1848F6B6" wp14:editId="17065D8F">
            <wp:extent cx="4744720" cy="2999105"/>
            <wp:effectExtent l="0" t="0" r="17780" b="10795"/>
            <wp:docPr id="3" name="Chart 3" descr="MLK Science progress over tim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09B4F8" w14:textId="77777777" w:rsidR="003F491E" w:rsidRDefault="003F491E" w:rsidP="003F491E">
      <w:pPr>
        <w:pStyle w:val="ListParagraph"/>
      </w:pPr>
    </w:p>
    <w:p w14:paraId="3A705833" w14:textId="77777777" w:rsidR="003F491E" w:rsidRPr="003F491E" w:rsidRDefault="003F491E" w:rsidP="003F491E">
      <w:pPr>
        <w:pStyle w:val="ListParagraph"/>
        <w:ind w:left="0"/>
        <w:contextualSpacing/>
      </w:pPr>
      <w:r w:rsidRPr="003F491E">
        <w:rPr>
          <w:b/>
        </w:rPr>
        <w:t>Condition 4:</w:t>
      </w:r>
      <w:r w:rsidRPr="003F491E">
        <w:t xml:space="preserve"> By December 31, 2017, the school must demonstrate continued significant and sustained academic improvement in mathematics, English language arts, and science. </w:t>
      </w:r>
      <w:proofErr w:type="gramStart"/>
      <w:r w:rsidRPr="003F491E">
        <w:t>Should the school fail to do so, the Commissioner and the Board of Elementary and Secondary Education will consider revoking the school’s charter based on failure to meet this condition.</w:t>
      </w:r>
      <w:proofErr w:type="gramEnd"/>
    </w:p>
    <w:p w14:paraId="02F468A9" w14:textId="77777777" w:rsidR="003F491E" w:rsidRPr="003F491E" w:rsidRDefault="003F491E" w:rsidP="003F491E">
      <w:pPr>
        <w:pStyle w:val="ListParagraph"/>
        <w:ind w:left="0"/>
        <w:contextualSpacing/>
      </w:pPr>
    </w:p>
    <w:p w14:paraId="755FBD7C" w14:textId="77777777" w:rsidR="003F491E" w:rsidRPr="003F491E" w:rsidRDefault="003F491E" w:rsidP="003F491E">
      <w:pPr>
        <w:pStyle w:val="ListParagraph"/>
        <w:ind w:left="0"/>
        <w:contextualSpacing/>
        <w:rPr>
          <w:b/>
        </w:rPr>
      </w:pPr>
      <w:r w:rsidRPr="003F491E">
        <w:tab/>
      </w:r>
      <w:r w:rsidRPr="003F491E">
        <w:rPr>
          <w:b/>
        </w:rPr>
        <w:t>Status: Met</w:t>
      </w:r>
    </w:p>
    <w:p w14:paraId="1F66B46D" w14:textId="77777777" w:rsidR="0075404A" w:rsidRDefault="003F491E" w:rsidP="003F491E">
      <w:pPr>
        <w:ind w:left="720"/>
        <w:rPr>
          <w:szCs w:val="24"/>
        </w:rPr>
      </w:pPr>
      <w:r w:rsidRPr="003F491E">
        <w:rPr>
          <w:szCs w:val="24"/>
        </w:rPr>
        <w:t xml:space="preserve">The school’s academic results continued to show significant and sustained improvement in 2017. </w:t>
      </w:r>
    </w:p>
    <w:p w14:paraId="33CF122A" w14:textId="77777777" w:rsidR="0075404A" w:rsidRDefault="0075404A" w:rsidP="003F491E">
      <w:pPr>
        <w:ind w:left="720"/>
        <w:rPr>
          <w:szCs w:val="24"/>
        </w:rPr>
      </w:pPr>
    </w:p>
    <w:p w14:paraId="6345346B" w14:textId="16E4D0B7" w:rsidR="0075404A" w:rsidRPr="00C901DD" w:rsidRDefault="0075404A" w:rsidP="0075404A">
      <w:pPr>
        <w:ind w:left="720"/>
        <w:rPr>
          <w:szCs w:val="22"/>
        </w:rPr>
      </w:pPr>
      <w:r w:rsidRPr="00C901DD">
        <w:rPr>
          <w:szCs w:val="22"/>
        </w:rPr>
        <w:t>In 2017, the Next</w:t>
      </w:r>
      <w:r w:rsidR="00F619D3">
        <w:rPr>
          <w:szCs w:val="22"/>
        </w:rPr>
        <w:t>-</w:t>
      </w:r>
      <w:r w:rsidRPr="00C901DD">
        <w:rPr>
          <w:szCs w:val="22"/>
        </w:rPr>
        <w:t xml:space="preserve">Generation MCAS </w:t>
      </w:r>
      <w:proofErr w:type="gramStart"/>
      <w:r w:rsidRPr="00C901DD">
        <w:rPr>
          <w:szCs w:val="22"/>
        </w:rPr>
        <w:t>was administered</w:t>
      </w:r>
      <w:proofErr w:type="gramEnd"/>
      <w:r w:rsidRPr="00C901DD">
        <w:rPr>
          <w:szCs w:val="22"/>
        </w:rPr>
        <w:t xml:space="preserve"> statewide for the first time. As such, a majority of schools did not receive Accountability Levels. In 2017, </w:t>
      </w:r>
      <w:r>
        <w:rPr>
          <w:szCs w:val="22"/>
        </w:rPr>
        <w:t xml:space="preserve">MLK </w:t>
      </w:r>
      <w:r w:rsidRPr="00C901DD">
        <w:rPr>
          <w:szCs w:val="22"/>
        </w:rPr>
        <w:t>administered the Next</w:t>
      </w:r>
      <w:r w:rsidR="00F619D3">
        <w:rPr>
          <w:szCs w:val="22"/>
        </w:rPr>
        <w:t>-</w:t>
      </w:r>
      <w:r w:rsidRPr="00C901DD">
        <w:rPr>
          <w:szCs w:val="22"/>
        </w:rPr>
        <w:t xml:space="preserve">Generation MCAS in ELA and mathematics. The school </w:t>
      </w:r>
      <w:r>
        <w:rPr>
          <w:szCs w:val="22"/>
        </w:rPr>
        <w:t>also</w:t>
      </w:r>
      <w:r w:rsidRPr="00C901DD">
        <w:rPr>
          <w:szCs w:val="22"/>
        </w:rPr>
        <w:t xml:space="preserve"> administered the legacy </w:t>
      </w:r>
      <w:r>
        <w:rPr>
          <w:szCs w:val="22"/>
        </w:rPr>
        <w:t xml:space="preserve">MCAS </w:t>
      </w:r>
      <w:r w:rsidRPr="00C901DD">
        <w:rPr>
          <w:szCs w:val="22"/>
        </w:rPr>
        <w:t xml:space="preserve">science and technology/engineering assessment </w:t>
      </w:r>
      <w:r>
        <w:rPr>
          <w:szCs w:val="22"/>
        </w:rPr>
        <w:t>for grade 5.</w:t>
      </w:r>
      <w:r w:rsidRPr="00C901DD">
        <w:rPr>
          <w:szCs w:val="22"/>
        </w:rPr>
        <w:t xml:space="preserve">  </w:t>
      </w:r>
    </w:p>
    <w:p w14:paraId="7D59BD68" w14:textId="77777777" w:rsidR="003F491E" w:rsidRPr="003F491E" w:rsidRDefault="003F491E" w:rsidP="003F491E">
      <w:pPr>
        <w:ind w:left="720"/>
        <w:rPr>
          <w:szCs w:val="24"/>
        </w:rPr>
      </w:pPr>
    </w:p>
    <w:p w14:paraId="76C42727" w14:textId="47C65CDD" w:rsidR="003F491E" w:rsidRDefault="003F491E" w:rsidP="003F491E">
      <w:pPr>
        <w:ind w:left="720"/>
        <w:rPr>
          <w:szCs w:val="24"/>
        </w:rPr>
      </w:pPr>
      <w:r w:rsidRPr="003F491E">
        <w:rPr>
          <w:szCs w:val="24"/>
        </w:rPr>
        <w:t>In grades 3 through 5, 33 percent of students met or exceed expectations on the Next</w:t>
      </w:r>
      <w:r w:rsidR="00F619D3">
        <w:rPr>
          <w:szCs w:val="24"/>
        </w:rPr>
        <w:t>-</w:t>
      </w:r>
      <w:r w:rsidRPr="003F491E">
        <w:rPr>
          <w:szCs w:val="24"/>
        </w:rPr>
        <w:t xml:space="preserve">Generation MCAS assessment in ELA, below the statewide average of 49 percent but above Springfield Public Schools (SPS), the </w:t>
      </w:r>
      <w:proofErr w:type="gramStart"/>
      <w:r w:rsidRPr="003F491E">
        <w:rPr>
          <w:szCs w:val="24"/>
        </w:rPr>
        <w:t>school’s</w:t>
      </w:r>
      <w:proofErr w:type="gramEnd"/>
      <w:r w:rsidRPr="003F491E">
        <w:rPr>
          <w:szCs w:val="24"/>
        </w:rPr>
        <w:t xml:space="preserve"> sending district, at 26 percent. In mathematics in grades 3 through 5, 48 percent of students met or exceeded expectations on the Next</w:t>
      </w:r>
      <w:r w:rsidR="00F619D3">
        <w:rPr>
          <w:szCs w:val="24"/>
        </w:rPr>
        <w:t>-</w:t>
      </w:r>
      <w:r w:rsidRPr="003F491E">
        <w:rPr>
          <w:szCs w:val="24"/>
        </w:rPr>
        <w:t>Generation MCAS assessment, equal to the statewide average and double SPS at 23 percent. In grade 5, 42 percent of students received proficient or advanced on the MCAS</w:t>
      </w:r>
      <w:r w:rsidR="00DA7BBB">
        <w:rPr>
          <w:szCs w:val="24"/>
        </w:rPr>
        <w:t xml:space="preserve"> for </w:t>
      </w:r>
      <w:r w:rsidR="00DA7BBB" w:rsidRPr="003F491E">
        <w:rPr>
          <w:szCs w:val="24"/>
        </w:rPr>
        <w:t>science and technology/engineering</w:t>
      </w:r>
      <w:r w:rsidRPr="003F491E">
        <w:rPr>
          <w:szCs w:val="24"/>
        </w:rPr>
        <w:t xml:space="preserve">, below the statewide average of 46 percent, but above the SPS average of 30 percent. </w:t>
      </w:r>
    </w:p>
    <w:p w14:paraId="37C6A197" w14:textId="0AA18424" w:rsidR="0075404A" w:rsidRDefault="0075404A" w:rsidP="0075404A">
      <w:pPr>
        <w:rPr>
          <w:szCs w:val="22"/>
        </w:rPr>
      </w:pPr>
    </w:p>
    <w:p w14:paraId="461B3C98" w14:textId="5A31F49F" w:rsidR="0075404A" w:rsidRPr="003F491E" w:rsidRDefault="0075404A" w:rsidP="0075404A">
      <w:pPr>
        <w:ind w:left="720"/>
        <w:rPr>
          <w:szCs w:val="24"/>
        </w:rPr>
      </w:pPr>
      <w:r>
        <w:rPr>
          <w:szCs w:val="22"/>
        </w:rPr>
        <w:t>In 2017, student growth percentiles were 48.5 for ELA and 59.5 in mathematics.</w:t>
      </w:r>
    </w:p>
    <w:p w14:paraId="5E1F046B" w14:textId="77777777" w:rsidR="003F491E" w:rsidRDefault="003F491E" w:rsidP="003F491E">
      <w:pPr>
        <w:ind w:left="720"/>
        <w:rPr>
          <w:noProof/>
          <w:snapToGrid/>
          <w:szCs w:val="24"/>
        </w:rPr>
      </w:pPr>
    </w:p>
    <w:p w14:paraId="66F96372" w14:textId="77777777" w:rsidR="003F491E" w:rsidRPr="003F491E" w:rsidRDefault="003F491E" w:rsidP="003F491E">
      <w:pPr>
        <w:widowControl/>
        <w:rPr>
          <w:b/>
          <w:szCs w:val="24"/>
          <w:u w:val="single"/>
        </w:rPr>
      </w:pPr>
      <w:r w:rsidRPr="003F491E">
        <w:rPr>
          <w:b/>
          <w:szCs w:val="24"/>
          <w:u w:val="single"/>
        </w:rPr>
        <w:lastRenderedPageBreak/>
        <w:t>Additional Evidence</w:t>
      </w:r>
    </w:p>
    <w:p w14:paraId="0868FFCF" w14:textId="77777777" w:rsidR="003F491E" w:rsidRPr="003F491E" w:rsidRDefault="003F491E" w:rsidP="003F491E">
      <w:pPr>
        <w:widowControl/>
        <w:rPr>
          <w:b/>
          <w:szCs w:val="24"/>
          <w:u w:val="single"/>
        </w:rPr>
      </w:pPr>
    </w:p>
    <w:p w14:paraId="3F2A512F" w14:textId="2BDECE92" w:rsidR="003F491E" w:rsidRDefault="003F491E" w:rsidP="003F491E">
      <w:pPr>
        <w:widowControl/>
        <w:rPr>
          <w:szCs w:val="24"/>
        </w:rPr>
      </w:pPr>
      <w:r w:rsidRPr="000D43FF">
        <w:rPr>
          <w:szCs w:val="24"/>
        </w:rPr>
        <w:t xml:space="preserve">On March 27, 2018, the Department conducted a site visit </w:t>
      </w:r>
      <w:r w:rsidR="0038757E">
        <w:rPr>
          <w:szCs w:val="24"/>
        </w:rPr>
        <w:t>at</w:t>
      </w:r>
      <w:r w:rsidR="0038757E" w:rsidRPr="000D43FF">
        <w:rPr>
          <w:szCs w:val="24"/>
        </w:rPr>
        <w:t xml:space="preserve"> </w:t>
      </w:r>
      <w:r w:rsidRPr="000D43FF">
        <w:rPr>
          <w:szCs w:val="24"/>
        </w:rPr>
        <w:t xml:space="preserve">MLK. </w:t>
      </w:r>
      <w:r w:rsidR="00EA0EAA">
        <w:rPr>
          <w:szCs w:val="24"/>
        </w:rPr>
        <w:t xml:space="preserve">The full site visit report </w:t>
      </w:r>
      <w:proofErr w:type="gramStart"/>
      <w:r w:rsidR="00EA0EAA">
        <w:rPr>
          <w:szCs w:val="24"/>
        </w:rPr>
        <w:t>is attached</w:t>
      </w:r>
      <w:proofErr w:type="gramEnd"/>
      <w:r w:rsidR="00EA0EAA">
        <w:rPr>
          <w:szCs w:val="24"/>
        </w:rPr>
        <w:t xml:space="preserve"> to this memorandum. Below, are the findings in the areas of faithfulness to charter, academic success, and organizational </w:t>
      </w:r>
      <w:proofErr w:type="gramStart"/>
      <w:r w:rsidR="00EA0EAA">
        <w:rPr>
          <w:szCs w:val="24"/>
        </w:rPr>
        <w:t>viability.</w:t>
      </w:r>
      <w:proofErr w:type="gramEnd"/>
      <w:r w:rsidR="00EA0EAA">
        <w:rPr>
          <w:szCs w:val="24"/>
        </w:rPr>
        <w:t xml:space="preserve"> </w:t>
      </w:r>
    </w:p>
    <w:p w14:paraId="742B8A75" w14:textId="616C6CA6" w:rsidR="00EA0EAA" w:rsidRDefault="00EA0EAA" w:rsidP="003F491E">
      <w:pPr>
        <w:widowControl/>
        <w:rPr>
          <w:szCs w:val="24"/>
        </w:rPr>
      </w:pPr>
    </w:p>
    <w:p w14:paraId="55795FA0" w14:textId="158012C8" w:rsidR="003F491E" w:rsidRDefault="00EA0EAA" w:rsidP="00EA1A94">
      <w:pPr>
        <w:widowControl/>
        <w:ind w:firstLine="360"/>
        <w:rPr>
          <w:szCs w:val="24"/>
        </w:rPr>
      </w:pPr>
      <w:r w:rsidRPr="00EA1A94">
        <w:rPr>
          <w:szCs w:val="24"/>
          <w:u w:val="single"/>
        </w:rPr>
        <w:t>Faithfulness to Charter</w:t>
      </w:r>
    </w:p>
    <w:p w14:paraId="354D8074" w14:textId="77777777" w:rsidR="00EA0EAA" w:rsidRPr="000D43FF" w:rsidRDefault="00EA0EAA" w:rsidP="003F491E">
      <w:pPr>
        <w:widowControl/>
        <w:rPr>
          <w:szCs w:val="24"/>
        </w:rPr>
      </w:pPr>
    </w:p>
    <w:p w14:paraId="18C0C3ED" w14:textId="0E3ABE27" w:rsidR="006F55D2" w:rsidRPr="000D43FF" w:rsidRDefault="006F55D2" w:rsidP="003F491E">
      <w:pPr>
        <w:numPr>
          <w:ilvl w:val="0"/>
          <w:numId w:val="2"/>
        </w:numPr>
        <w:rPr>
          <w:szCs w:val="24"/>
        </w:rPr>
      </w:pPr>
      <w:r w:rsidRPr="000D43FF">
        <w:rPr>
          <w:bCs/>
        </w:rPr>
        <w:t>In Yea</w:t>
      </w:r>
      <w:r w:rsidR="00EA0EAA">
        <w:rPr>
          <w:bCs/>
        </w:rPr>
        <w:t>r 12, all stakeholders at MLK</w:t>
      </w:r>
      <w:r w:rsidRPr="000D43FF">
        <w:rPr>
          <w:bCs/>
        </w:rPr>
        <w:t xml:space="preserve"> share a common and consistent understanding of the school’s mission to provide students with rigorous academics, character development, and Dr. King’s </w:t>
      </w:r>
      <w:r w:rsidR="00415888">
        <w:rPr>
          <w:bCs/>
        </w:rPr>
        <w:t>“</w:t>
      </w:r>
      <w:r w:rsidRPr="000D43FF">
        <w:rPr>
          <w:bCs/>
        </w:rPr>
        <w:t>beloved community.</w:t>
      </w:r>
      <w:r w:rsidR="00415888">
        <w:rPr>
          <w:bCs/>
        </w:rPr>
        <w:t>”</w:t>
      </w:r>
      <w:r w:rsidRPr="000D43FF">
        <w:rPr>
          <w:bCs/>
        </w:rPr>
        <w:t xml:space="preserve"> The school has systems and structures to support its mission and all of its related key design elements; the school continues to work toward fully realizing its mission to provide a rigorous</w:t>
      </w:r>
      <w:r w:rsidR="00F619D3">
        <w:rPr>
          <w:bCs/>
        </w:rPr>
        <w:t>,</w:t>
      </w:r>
      <w:r w:rsidRPr="000D43FF">
        <w:rPr>
          <w:bCs/>
        </w:rPr>
        <w:t xml:space="preserve"> challenging academic program. </w:t>
      </w:r>
    </w:p>
    <w:p w14:paraId="42D71568" w14:textId="55BB4B7F" w:rsidR="006F55D2" w:rsidRPr="00EA0EAA" w:rsidRDefault="00805AA1" w:rsidP="003F491E">
      <w:pPr>
        <w:numPr>
          <w:ilvl w:val="0"/>
          <w:numId w:val="2"/>
        </w:numPr>
        <w:rPr>
          <w:szCs w:val="24"/>
        </w:rPr>
      </w:pPr>
      <w:r w:rsidRPr="003F491E">
        <w:rPr>
          <w:szCs w:val="24"/>
        </w:rPr>
        <w:t xml:space="preserve">Martin Luther King, Jr. Charter School of Excellence </w:t>
      </w:r>
      <w:r w:rsidR="006F55D2" w:rsidRPr="000D43FF">
        <w:rPr>
          <w:szCs w:val="22"/>
        </w:rPr>
        <w:t xml:space="preserve">has an approved </w:t>
      </w:r>
      <w:r w:rsidR="00415888">
        <w:rPr>
          <w:szCs w:val="22"/>
        </w:rPr>
        <w:t>r</w:t>
      </w:r>
      <w:r w:rsidR="006F55D2" w:rsidRPr="000D43FF">
        <w:rPr>
          <w:szCs w:val="22"/>
        </w:rPr>
        <w:t>ecrui</w:t>
      </w:r>
      <w:r w:rsidR="00EA0EAA">
        <w:rPr>
          <w:szCs w:val="22"/>
        </w:rPr>
        <w:t xml:space="preserve">tment and </w:t>
      </w:r>
      <w:r w:rsidR="00415888">
        <w:rPr>
          <w:szCs w:val="22"/>
        </w:rPr>
        <w:t>r</w:t>
      </w:r>
      <w:r w:rsidR="00EA0EAA">
        <w:rPr>
          <w:szCs w:val="22"/>
        </w:rPr>
        <w:t xml:space="preserve">etention </w:t>
      </w:r>
      <w:r w:rsidR="00415888">
        <w:rPr>
          <w:szCs w:val="22"/>
        </w:rPr>
        <w:t>p</w:t>
      </w:r>
      <w:r w:rsidR="00EA0EAA">
        <w:rPr>
          <w:szCs w:val="22"/>
        </w:rPr>
        <w:t xml:space="preserve">lan. </w:t>
      </w:r>
      <w:r w:rsidRPr="003F491E">
        <w:rPr>
          <w:szCs w:val="24"/>
        </w:rPr>
        <w:t>Martin Luther King, Jr. Charter School of Excellence</w:t>
      </w:r>
      <w:r w:rsidR="006F55D2" w:rsidRPr="000D43FF">
        <w:rPr>
          <w:szCs w:val="22"/>
        </w:rPr>
        <w:t xml:space="preserve"> has lower attrition rates </w:t>
      </w:r>
      <w:r w:rsidR="002439DD">
        <w:rPr>
          <w:szCs w:val="22"/>
        </w:rPr>
        <w:t>for</w:t>
      </w:r>
      <w:r w:rsidR="002439DD" w:rsidRPr="000D43FF">
        <w:rPr>
          <w:szCs w:val="22"/>
        </w:rPr>
        <w:t xml:space="preserve"> </w:t>
      </w:r>
      <w:r w:rsidR="006F55D2" w:rsidRPr="000D43FF">
        <w:rPr>
          <w:szCs w:val="22"/>
        </w:rPr>
        <w:t xml:space="preserve">all students and all student subgroups than </w:t>
      </w:r>
      <w:r w:rsidR="002439DD">
        <w:rPr>
          <w:szCs w:val="22"/>
        </w:rPr>
        <w:t xml:space="preserve">at </w:t>
      </w:r>
      <w:r w:rsidR="006F55D2" w:rsidRPr="000D43FF">
        <w:rPr>
          <w:szCs w:val="22"/>
        </w:rPr>
        <w:t xml:space="preserve">comparison schools. </w:t>
      </w:r>
      <w:proofErr w:type="gramStart"/>
      <w:r w:rsidR="006F55D2" w:rsidRPr="000D43FF">
        <w:rPr>
          <w:szCs w:val="22"/>
        </w:rPr>
        <w:t>Additionally, the school’s stability rate is higher than the median of comparison schools and has remained above the</w:t>
      </w:r>
      <w:r w:rsidR="00EA0EAA">
        <w:rPr>
          <w:szCs w:val="22"/>
        </w:rPr>
        <w:t xml:space="preserve"> median for all subgroups.</w:t>
      </w:r>
      <w:proofErr w:type="gramEnd"/>
      <w:r w:rsidR="00EA0EAA">
        <w:rPr>
          <w:szCs w:val="22"/>
        </w:rPr>
        <w:t xml:space="preserve"> </w:t>
      </w:r>
      <w:r w:rsidRPr="003F491E">
        <w:rPr>
          <w:szCs w:val="24"/>
        </w:rPr>
        <w:t>Martin Luther King, Jr. Charter School of Excellence</w:t>
      </w:r>
      <w:r w:rsidR="006F55D2" w:rsidRPr="000D43FF">
        <w:rPr>
          <w:szCs w:val="22"/>
        </w:rPr>
        <w:t xml:space="preserve"> has consistently enrolled populations of all subgroups of students at greater rates than </w:t>
      </w:r>
      <w:r w:rsidR="00440666">
        <w:rPr>
          <w:szCs w:val="22"/>
        </w:rPr>
        <w:t xml:space="preserve">have </w:t>
      </w:r>
      <w:r w:rsidR="006F55D2" w:rsidRPr="000D43FF">
        <w:rPr>
          <w:szCs w:val="22"/>
        </w:rPr>
        <w:t>comparison schools.</w:t>
      </w:r>
    </w:p>
    <w:p w14:paraId="66047F9C" w14:textId="3E52F95D" w:rsidR="00EA0EAA" w:rsidRDefault="00EA0EAA" w:rsidP="00EA0EAA">
      <w:pPr>
        <w:rPr>
          <w:szCs w:val="22"/>
        </w:rPr>
      </w:pPr>
    </w:p>
    <w:p w14:paraId="10354C1D" w14:textId="15ECE8FC" w:rsidR="00EA0EAA" w:rsidRPr="00EA1A94" w:rsidRDefault="00EA0EAA" w:rsidP="00EA1A94">
      <w:pPr>
        <w:ind w:firstLine="360"/>
        <w:rPr>
          <w:szCs w:val="22"/>
          <w:u w:val="single"/>
        </w:rPr>
      </w:pPr>
      <w:r w:rsidRPr="00EA1A94">
        <w:rPr>
          <w:szCs w:val="22"/>
          <w:u w:val="single"/>
        </w:rPr>
        <w:t>Academic Program Success</w:t>
      </w:r>
    </w:p>
    <w:p w14:paraId="1393B130" w14:textId="77777777" w:rsidR="00EA0EAA" w:rsidRPr="000D43FF" w:rsidRDefault="00EA0EAA" w:rsidP="00EA0EAA">
      <w:pPr>
        <w:rPr>
          <w:szCs w:val="24"/>
        </w:rPr>
      </w:pPr>
    </w:p>
    <w:p w14:paraId="62B6C6DD" w14:textId="396FC166" w:rsidR="006F55D2" w:rsidRPr="000D43FF" w:rsidRDefault="006F55D2" w:rsidP="003F491E">
      <w:pPr>
        <w:numPr>
          <w:ilvl w:val="0"/>
          <w:numId w:val="2"/>
        </w:numPr>
        <w:rPr>
          <w:szCs w:val="24"/>
        </w:rPr>
      </w:pPr>
      <w:r w:rsidRPr="000D43FF">
        <w:rPr>
          <w:szCs w:val="22"/>
        </w:rPr>
        <w:t xml:space="preserve">The school’s </w:t>
      </w:r>
      <w:r w:rsidR="00136616">
        <w:rPr>
          <w:szCs w:val="22"/>
        </w:rPr>
        <w:t>ELA</w:t>
      </w:r>
      <w:r w:rsidRPr="000D43FF">
        <w:rPr>
          <w:szCs w:val="22"/>
        </w:rPr>
        <w:t xml:space="preserve"> and math curricul</w:t>
      </w:r>
      <w:r w:rsidR="00932A9A">
        <w:rPr>
          <w:szCs w:val="22"/>
        </w:rPr>
        <w:t>a</w:t>
      </w:r>
      <w:r w:rsidRPr="000D43FF">
        <w:rPr>
          <w:szCs w:val="22"/>
        </w:rPr>
        <w:t xml:space="preserve"> </w:t>
      </w:r>
      <w:proofErr w:type="gramStart"/>
      <w:r w:rsidR="00932A9A">
        <w:rPr>
          <w:szCs w:val="22"/>
        </w:rPr>
        <w:t>are</w:t>
      </w:r>
      <w:r w:rsidR="00932A9A" w:rsidRPr="000D43FF">
        <w:rPr>
          <w:szCs w:val="22"/>
        </w:rPr>
        <w:t xml:space="preserve"> </w:t>
      </w:r>
      <w:r w:rsidRPr="000D43FF">
        <w:rPr>
          <w:szCs w:val="22"/>
        </w:rPr>
        <w:t>aligned</w:t>
      </w:r>
      <w:proofErr w:type="gramEnd"/>
      <w:r w:rsidRPr="000D43FF">
        <w:rPr>
          <w:szCs w:val="22"/>
        </w:rPr>
        <w:t xml:space="preserve"> to state curriculum frameworks; </w:t>
      </w:r>
      <w:r w:rsidR="00932A9A">
        <w:rPr>
          <w:szCs w:val="22"/>
        </w:rPr>
        <w:t>they are</w:t>
      </w:r>
      <w:r w:rsidRPr="000D43FF">
        <w:rPr>
          <w:szCs w:val="22"/>
        </w:rPr>
        <w:t xml:space="preserve"> aligned horizontally across classrooms and vertically between grades; </w:t>
      </w:r>
      <w:r w:rsidR="00A85738">
        <w:rPr>
          <w:szCs w:val="22"/>
        </w:rPr>
        <w:t>they are</w:t>
      </w:r>
      <w:r w:rsidRPr="000D43FF">
        <w:rPr>
          <w:szCs w:val="22"/>
        </w:rPr>
        <w:t xml:space="preserve"> regularly reviewed and revised. The school does not have fully aligned science and English Language Development (ELD) curricula. The school is working to ensure that the existing curricula support all students, including diverse learners.</w:t>
      </w:r>
    </w:p>
    <w:p w14:paraId="526EBCF4" w14:textId="359F494C" w:rsidR="006F55D2" w:rsidRPr="000D43FF" w:rsidRDefault="006F55D2" w:rsidP="003F491E">
      <w:pPr>
        <w:numPr>
          <w:ilvl w:val="0"/>
          <w:numId w:val="2"/>
        </w:numPr>
        <w:rPr>
          <w:szCs w:val="24"/>
        </w:rPr>
      </w:pPr>
      <w:r w:rsidRPr="000D43FF">
        <w:t xml:space="preserve">The school demonstrates a common understanding of high-quality instruction. </w:t>
      </w:r>
      <w:r w:rsidRPr="000D43FF">
        <w:rPr>
          <w:bCs/>
        </w:rPr>
        <w:t>The majority of the classrooms reflected high expectations for students. Almost all observed classrooms reflected high levels of student engagement and were conducive to learning.</w:t>
      </w:r>
    </w:p>
    <w:p w14:paraId="299CDEAA" w14:textId="3BCA226C" w:rsidR="006F55D2" w:rsidRPr="000D43FF" w:rsidRDefault="006F55D2" w:rsidP="003F491E">
      <w:pPr>
        <w:numPr>
          <w:ilvl w:val="0"/>
          <w:numId w:val="2"/>
        </w:numPr>
        <w:rPr>
          <w:szCs w:val="24"/>
        </w:rPr>
      </w:pPr>
      <w:r w:rsidRPr="000D43FF">
        <w:rPr>
          <w:bCs/>
          <w:szCs w:val="22"/>
        </w:rPr>
        <w:t xml:space="preserve">The school uses qualitative and quantitative data to improve student outcomes and </w:t>
      </w:r>
      <w:r w:rsidR="0016620D">
        <w:rPr>
          <w:bCs/>
          <w:szCs w:val="22"/>
        </w:rPr>
        <w:t xml:space="preserve">to </w:t>
      </w:r>
      <w:r w:rsidRPr="000D43FF">
        <w:rPr>
          <w:bCs/>
          <w:szCs w:val="22"/>
        </w:rPr>
        <w:t>evaluate the effectiveness of its programs.</w:t>
      </w:r>
    </w:p>
    <w:p w14:paraId="37919F93" w14:textId="56901EE5" w:rsidR="006F55D2" w:rsidRPr="000D43FF" w:rsidRDefault="006F55D2" w:rsidP="003F491E">
      <w:pPr>
        <w:numPr>
          <w:ilvl w:val="0"/>
          <w:numId w:val="2"/>
        </w:numPr>
        <w:rPr>
          <w:szCs w:val="24"/>
        </w:rPr>
      </w:pPr>
      <w:r w:rsidRPr="000D43FF">
        <w:t xml:space="preserve">The school has systems and structures </w:t>
      </w:r>
      <w:r w:rsidR="00CD0495">
        <w:t xml:space="preserve">in place </w:t>
      </w:r>
      <w:r w:rsidRPr="000D43FF">
        <w:t>to meet the academic nee</w:t>
      </w:r>
      <w:r w:rsidR="00EA0EAA">
        <w:t xml:space="preserve">ds </w:t>
      </w:r>
      <w:r w:rsidR="00CD0495">
        <w:t xml:space="preserve">of </w:t>
      </w:r>
      <w:r w:rsidR="00EA0EAA">
        <w:t>all students, including, but not limited to,</w:t>
      </w:r>
      <w:r w:rsidRPr="000D43FF">
        <w:t xml:space="preserve"> students with disabilities and English learners. </w:t>
      </w:r>
    </w:p>
    <w:p w14:paraId="047F9F36" w14:textId="3CB6DD00" w:rsidR="006F55D2" w:rsidRPr="00EA0EAA" w:rsidRDefault="006F55D2" w:rsidP="003F491E">
      <w:pPr>
        <w:numPr>
          <w:ilvl w:val="0"/>
          <w:numId w:val="2"/>
        </w:numPr>
        <w:rPr>
          <w:szCs w:val="24"/>
        </w:rPr>
      </w:pPr>
      <w:r w:rsidRPr="000D43FF">
        <w:rPr>
          <w:szCs w:val="22"/>
        </w:rPr>
        <w:t xml:space="preserve">The school </w:t>
      </w:r>
      <w:r w:rsidR="00CD0495">
        <w:rPr>
          <w:szCs w:val="22"/>
        </w:rPr>
        <w:t>has</w:t>
      </w:r>
      <w:r w:rsidR="00CD0495" w:rsidRPr="000D43FF">
        <w:rPr>
          <w:szCs w:val="22"/>
        </w:rPr>
        <w:t xml:space="preserve"> </w:t>
      </w:r>
      <w:r w:rsidRPr="000D43FF">
        <w:rPr>
          <w:szCs w:val="22"/>
        </w:rPr>
        <w:t>a safe and respectful environment and addresses the physical, social, emotional, and health needs of its students.</w:t>
      </w:r>
    </w:p>
    <w:p w14:paraId="06CB38A7" w14:textId="683A807B" w:rsidR="00EA0EAA" w:rsidRDefault="00EA0EAA" w:rsidP="00EA0EAA">
      <w:pPr>
        <w:rPr>
          <w:szCs w:val="22"/>
        </w:rPr>
      </w:pPr>
    </w:p>
    <w:p w14:paraId="275FE78B" w14:textId="6E6E8D06" w:rsidR="00EA0EAA" w:rsidRDefault="00EA0EAA" w:rsidP="00EA0EAA">
      <w:pPr>
        <w:rPr>
          <w:szCs w:val="22"/>
        </w:rPr>
      </w:pPr>
      <w:r>
        <w:rPr>
          <w:szCs w:val="22"/>
        </w:rPr>
        <w:t>Organizational Viability</w:t>
      </w:r>
    </w:p>
    <w:p w14:paraId="222511BF" w14:textId="77777777" w:rsidR="00EA0EAA" w:rsidRPr="000D43FF" w:rsidRDefault="00EA0EAA" w:rsidP="00EA0EAA">
      <w:pPr>
        <w:rPr>
          <w:szCs w:val="24"/>
        </w:rPr>
      </w:pPr>
    </w:p>
    <w:p w14:paraId="28291ED7" w14:textId="2538C8F9" w:rsidR="006F55D2" w:rsidRPr="000D43FF" w:rsidRDefault="006F55D2" w:rsidP="003F491E">
      <w:pPr>
        <w:numPr>
          <w:ilvl w:val="0"/>
          <w:numId w:val="2"/>
        </w:numPr>
        <w:rPr>
          <w:szCs w:val="24"/>
        </w:rPr>
      </w:pPr>
      <w:r w:rsidRPr="000D43FF">
        <w:rPr>
          <w:szCs w:val="22"/>
        </w:rPr>
        <w:t xml:space="preserve">The school </w:t>
      </w:r>
      <w:r w:rsidR="00EE61C5">
        <w:rPr>
          <w:szCs w:val="22"/>
        </w:rPr>
        <w:t>has</w:t>
      </w:r>
      <w:r w:rsidRPr="000D43FF">
        <w:rPr>
          <w:szCs w:val="22"/>
        </w:rPr>
        <w:t xml:space="preserve"> </w:t>
      </w:r>
      <w:r w:rsidR="009C6C73">
        <w:rPr>
          <w:szCs w:val="22"/>
        </w:rPr>
        <w:t>a</w:t>
      </w:r>
      <w:r w:rsidR="009C6C73" w:rsidRPr="000D43FF">
        <w:rPr>
          <w:szCs w:val="22"/>
        </w:rPr>
        <w:t xml:space="preserve"> </w:t>
      </w:r>
      <w:r w:rsidRPr="000D43FF">
        <w:rPr>
          <w:szCs w:val="22"/>
        </w:rPr>
        <w:t>leadership team to implement its mission</w:t>
      </w:r>
      <w:r w:rsidR="007214D6">
        <w:rPr>
          <w:szCs w:val="22"/>
        </w:rPr>
        <w:t>,</w:t>
      </w:r>
      <w:r w:rsidRPr="000D43FF">
        <w:rPr>
          <w:szCs w:val="22"/>
        </w:rPr>
        <w:t xml:space="preserve"> to define clear roles and responsibilities</w:t>
      </w:r>
      <w:r w:rsidR="007214D6">
        <w:rPr>
          <w:szCs w:val="22"/>
        </w:rPr>
        <w:t>,</w:t>
      </w:r>
      <w:r w:rsidRPr="000D43FF">
        <w:rPr>
          <w:szCs w:val="22"/>
        </w:rPr>
        <w:t xml:space="preserve"> and to develop a shared decision-making model.</w:t>
      </w:r>
    </w:p>
    <w:p w14:paraId="2C565804" w14:textId="75933B18" w:rsidR="003F491E" w:rsidRPr="000D43FF" w:rsidRDefault="006F55D2" w:rsidP="003F491E">
      <w:pPr>
        <w:numPr>
          <w:ilvl w:val="0"/>
          <w:numId w:val="2"/>
        </w:numPr>
        <w:rPr>
          <w:szCs w:val="24"/>
        </w:rPr>
      </w:pPr>
      <w:r w:rsidRPr="000D43FF">
        <w:rPr>
          <w:szCs w:val="22"/>
        </w:rPr>
        <w:t xml:space="preserve">The school has consistent structures for collaboration, professional development, and supervision. </w:t>
      </w:r>
      <w:r w:rsidR="003F491E" w:rsidRPr="000D43FF">
        <w:rPr>
          <w:szCs w:val="24"/>
        </w:rPr>
        <w:t>Instructional leadership</w:t>
      </w:r>
      <w:r w:rsidR="00110714">
        <w:rPr>
          <w:szCs w:val="24"/>
        </w:rPr>
        <w:t>, however,</w:t>
      </w:r>
      <w:r w:rsidR="003F491E" w:rsidRPr="000D43FF">
        <w:rPr>
          <w:szCs w:val="24"/>
        </w:rPr>
        <w:t xml:space="preserve"> has been inconsistent throughout the </w:t>
      </w:r>
      <w:r w:rsidR="003F491E" w:rsidRPr="000D43FF">
        <w:rPr>
          <w:szCs w:val="24"/>
        </w:rPr>
        <w:lastRenderedPageBreak/>
        <w:t>school’s existence. During the previous charter term, the school employed three different individuals as the principal. Following the departure of the m</w:t>
      </w:r>
      <w:r w:rsidR="00EA0EAA">
        <w:rPr>
          <w:szCs w:val="24"/>
        </w:rPr>
        <w:t xml:space="preserve">ost recent principal in June </w:t>
      </w:r>
      <w:r w:rsidR="003F491E" w:rsidRPr="000D43FF">
        <w:rPr>
          <w:szCs w:val="24"/>
        </w:rPr>
        <w:t xml:space="preserve">2017, </w:t>
      </w:r>
      <w:r w:rsidR="00EE61C5">
        <w:rPr>
          <w:szCs w:val="24"/>
        </w:rPr>
        <w:t>the school employed a part time director of teaching who assisted the executive director in fulfilling the principal role. T</w:t>
      </w:r>
      <w:r w:rsidR="003F491E" w:rsidRPr="000D43FF">
        <w:rPr>
          <w:szCs w:val="24"/>
        </w:rPr>
        <w:t xml:space="preserve">he school </w:t>
      </w:r>
      <w:r w:rsidR="00EE61C5">
        <w:rPr>
          <w:szCs w:val="24"/>
        </w:rPr>
        <w:t>plans to hire a new principal for the next school year (2018-2019)</w:t>
      </w:r>
      <w:r w:rsidR="003F491E" w:rsidRPr="000D43FF">
        <w:rPr>
          <w:szCs w:val="24"/>
        </w:rPr>
        <w:t xml:space="preserve">. While the executive director had remained the same since the </w:t>
      </w:r>
      <w:proofErr w:type="gramStart"/>
      <w:r w:rsidR="003F491E" w:rsidRPr="000D43FF">
        <w:rPr>
          <w:szCs w:val="24"/>
        </w:rPr>
        <w:t>school’s</w:t>
      </w:r>
      <w:proofErr w:type="gramEnd"/>
      <w:r w:rsidR="003F491E" w:rsidRPr="000D43FF">
        <w:rPr>
          <w:szCs w:val="24"/>
        </w:rPr>
        <w:t xml:space="preserve"> founding, the school has also recently hired a new executive director. </w:t>
      </w:r>
    </w:p>
    <w:p w14:paraId="077B5198" w14:textId="7032575E" w:rsidR="003F491E" w:rsidRPr="000D43FF" w:rsidRDefault="00EA0EAA" w:rsidP="003F491E">
      <w:pPr>
        <w:widowControl/>
        <w:numPr>
          <w:ilvl w:val="0"/>
          <w:numId w:val="2"/>
        </w:numPr>
        <w:rPr>
          <w:szCs w:val="24"/>
        </w:rPr>
      </w:pPr>
      <w:r>
        <w:t xml:space="preserve">The </w:t>
      </w:r>
      <w:r w:rsidR="006F55D2" w:rsidRPr="000D43FF">
        <w:t xml:space="preserve">board of trustees </w:t>
      </w:r>
      <w:r w:rsidR="00110714">
        <w:t xml:space="preserve">of MLK </w:t>
      </w:r>
      <w:r w:rsidR="006F55D2" w:rsidRPr="000D43FF">
        <w:t xml:space="preserve">provides appropriate governance </w:t>
      </w:r>
      <w:r w:rsidR="00110714">
        <w:t xml:space="preserve">for </w:t>
      </w:r>
      <w:r w:rsidR="006F55D2" w:rsidRPr="000D43FF">
        <w:t>the school.</w:t>
      </w:r>
    </w:p>
    <w:p w14:paraId="20F5FA47" w14:textId="77777777" w:rsidR="003F491E" w:rsidRPr="003F491E" w:rsidRDefault="003F491E" w:rsidP="003F491E">
      <w:pPr>
        <w:widowControl/>
        <w:rPr>
          <w:szCs w:val="24"/>
        </w:rPr>
      </w:pPr>
    </w:p>
    <w:p w14:paraId="178F4944" w14:textId="77777777" w:rsidR="003F491E" w:rsidRPr="003F491E" w:rsidRDefault="003F491E" w:rsidP="003F491E">
      <w:pPr>
        <w:widowControl/>
        <w:rPr>
          <w:b/>
          <w:szCs w:val="24"/>
          <w:u w:val="single"/>
        </w:rPr>
      </w:pPr>
      <w:r w:rsidRPr="003F491E">
        <w:rPr>
          <w:b/>
          <w:szCs w:val="24"/>
          <w:u w:val="single"/>
        </w:rPr>
        <w:t>Recommendation</w:t>
      </w:r>
    </w:p>
    <w:p w14:paraId="6EFA7683" w14:textId="77777777" w:rsidR="003F491E" w:rsidRPr="003F491E" w:rsidRDefault="003F491E" w:rsidP="003F491E">
      <w:pPr>
        <w:widowControl/>
        <w:rPr>
          <w:szCs w:val="24"/>
        </w:rPr>
      </w:pPr>
    </w:p>
    <w:p w14:paraId="19A1845E" w14:textId="4B623EA5" w:rsidR="003F491E" w:rsidRPr="003F491E" w:rsidRDefault="003F491E" w:rsidP="003F491E">
      <w:pPr>
        <w:widowControl/>
        <w:rPr>
          <w:szCs w:val="24"/>
        </w:rPr>
      </w:pPr>
      <w:r w:rsidRPr="003F491E">
        <w:rPr>
          <w:szCs w:val="24"/>
        </w:rPr>
        <w:t xml:space="preserve">Given this evidence, further detailed in the attached Site Visit Report, I recommend that the Board remove the school from probation. I further recommend that the Board keep the condition </w:t>
      </w:r>
      <w:r w:rsidR="002F6BEF">
        <w:rPr>
          <w:szCs w:val="24"/>
        </w:rPr>
        <w:t xml:space="preserve">that follows </w:t>
      </w:r>
      <w:r w:rsidRPr="003F491E">
        <w:rPr>
          <w:szCs w:val="24"/>
        </w:rPr>
        <w:t>in place, extending the timeline</w:t>
      </w:r>
      <w:r w:rsidR="00EA0EAA">
        <w:rPr>
          <w:szCs w:val="24"/>
        </w:rPr>
        <w:t xml:space="preserve"> </w:t>
      </w:r>
      <w:r w:rsidR="00F619D3">
        <w:rPr>
          <w:szCs w:val="24"/>
        </w:rPr>
        <w:t xml:space="preserve">for the school </w:t>
      </w:r>
      <w:r w:rsidR="00EA0EAA">
        <w:rPr>
          <w:szCs w:val="24"/>
        </w:rPr>
        <w:t>to demonstrate sustained academic success</w:t>
      </w:r>
      <w:r w:rsidR="002F6BEF">
        <w:rPr>
          <w:szCs w:val="24"/>
        </w:rPr>
        <w:t>.</w:t>
      </w:r>
    </w:p>
    <w:p w14:paraId="645FB887" w14:textId="77777777" w:rsidR="003F491E" w:rsidRPr="003F491E" w:rsidRDefault="003F491E" w:rsidP="003F491E">
      <w:pPr>
        <w:widowControl/>
        <w:rPr>
          <w:szCs w:val="24"/>
        </w:rPr>
      </w:pPr>
    </w:p>
    <w:p w14:paraId="4736FD97" w14:textId="3D4FECDA" w:rsidR="003F491E" w:rsidRPr="003F491E" w:rsidRDefault="003F491E" w:rsidP="003F491E">
      <w:pPr>
        <w:pStyle w:val="ListParagraph"/>
        <w:contextualSpacing/>
      </w:pPr>
      <w:r w:rsidRPr="003F491E">
        <w:rPr>
          <w:color w:val="000000"/>
        </w:rPr>
        <w:t>Martin Luther King, Jr. Charter School of Excellence must demonstrate that it is an acade</w:t>
      </w:r>
      <w:r w:rsidR="006F55D2">
        <w:rPr>
          <w:color w:val="000000"/>
        </w:rPr>
        <w:t>mic success by December 31, 2019</w:t>
      </w:r>
      <w:r w:rsidR="00234FDF">
        <w:rPr>
          <w:color w:val="000000"/>
        </w:rPr>
        <w:t>,</w:t>
      </w:r>
      <w:r w:rsidRPr="003F491E">
        <w:rPr>
          <w:color w:val="000000"/>
        </w:rPr>
        <w:t xml:space="preserve"> by demonstrating significant and sustained academic improvement in English language arts</w:t>
      </w:r>
      <w:r w:rsidR="00BF06AD">
        <w:rPr>
          <w:color w:val="000000"/>
        </w:rPr>
        <w:t xml:space="preserve"> </w:t>
      </w:r>
      <w:r w:rsidR="00234FDF">
        <w:rPr>
          <w:color w:val="000000"/>
        </w:rPr>
        <w:t>and by</w:t>
      </w:r>
      <w:r w:rsidR="00BF06AD">
        <w:rPr>
          <w:color w:val="000000"/>
        </w:rPr>
        <w:t xml:space="preserve"> maintaining sustained academic success in mathematics</w:t>
      </w:r>
      <w:r w:rsidRPr="003F491E">
        <w:rPr>
          <w:color w:val="000000"/>
        </w:rPr>
        <w:t>.</w:t>
      </w:r>
    </w:p>
    <w:p w14:paraId="23AB6EF0" w14:textId="77777777" w:rsidR="003F491E" w:rsidRPr="003F491E" w:rsidRDefault="003F491E" w:rsidP="003F491E">
      <w:pPr>
        <w:widowControl/>
        <w:rPr>
          <w:szCs w:val="24"/>
        </w:rPr>
      </w:pPr>
    </w:p>
    <w:p w14:paraId="02CBA1F1" w14:textId="77777777" w:rsidR="003F491E" w:rsidRPr="003F491E" w:rsidRDefault="003F491E" w:rsidP="003F491E">
      <w:pPr>
        <w:widowControl/>
        <w:jc w:val="center"/>
        <w:rPr>
          <w:szCs w:val="24"/>
        </w:rPr>
      </w:pPr>
      <w:r w:rsidRPr="003F491E">
        <w:rPr>
          <w:szCs w:val="24"/>
        </w:rPr>
        <w:t>**********************</w:t>
      </w:r>
    </w:p>
    <w:p w14:paraId="5910493B" w14:textId="77777777" w:rsidR="003F491E" w:rsidRPr="003F491E" w:rsidRDefault="003F491E" w:rsidP="003F491E">
      <w:pPr>
        <w:widowControl/>
        <w:rPr>
          <w:b/>
          <w:szCs w:val="24"/>
        </w:rPr>
      </w:pPr>
    </w:p>
    <w:p w14:paraId="60D63C7E" w14:textId="77777777" w:rsidR="003F491E" w:rsidRPr="003F491E" w:rsidRDefault="003F491E" w:rsidP="003F491E">
      <w:pPr>
        <w:widowControl/>
        <w:rPr>
          <w:snapToGrid/>
          <w:color w:val="000000"/>
          <w:szCs w:val="24"/>
        </w:rPr>
      </w:pPr>
      <w:r w:rsidRPr="003F491E">
        <w:rPr>
          <w:color w:val="000000"/>
          <w:szCs w:val="24"/>
        </w:rPr>
        <w:t xml:space="preserve">If you have any questions regarding this recommendation or require additional information, please contact Alison Bagg, Director of the Office of Charter Schools and School Redesign (781-338-3218); Cliff Chuang, </w:t>
      </w:r>
      <w:r>
        <w:rPr>
          <w:color w:val="000000"/>
          <w:szCs w:val="24"/>
        </w:rPr>
        <w:t xml:space="preserve">Senior </w:t>
      </w:r>
      <w:r w:rsidRPr="003F491E">
        <w:rPr>
          <w:color w:val="000000"/>
          <w:szCs w:val="24"/>
        </w:rPr>
        <w:t>Associate Commissioner (781-338-3222); or me.</w:t>
      </w:r>
    </w:p>
    <w:p w14:paraId="15DB9960" w14:textId="77777777" w:rsidR="003F491E" w:rsidRPr="003F491E" w:rsidRDefault="003F491E" w:rsidP="003F491E">
      <w:pPr>
        <w:widowControl/>
        <w:rPr>
          <w:szCs w:val="24"/>
        </w:rPr>
      </w:pPr>
    </w:p>
    <w:p w14:paraId="2497A50F" w14:textId="67C3BE04" w:rsidR="003F491E" w:rsidRDefault="003F491E" w:rsidP="003F491E">
      <w:pPr>
        <w:widowControl/>
        <w:rPr>
          <w:szCs w:val="24"/>
        </w:rPr>
      </w:pPr>
      <w:r w:rsidRPr="003F491E">
        <w:rPr>
          <w:szCs w:val="24"/>
        </w:rPr>
        <w:t>Attachments:</w:t>
      </w:r>
      <w:r w:rsidRPr="003F491E">
        <w:rPr>
          <w:szCs w:val="24"/>
        </w:rPr>
        <w:tab/>
        <w:t>Year 12 Site Visit Report</w:t>
      </w:r>
    </w:p>
    <w:p w14:paraId="68A3F83A" w14:textId="732D2696" w:rsidR="003F491E" w:rsidRPr="003F491E" w:rsidRDefault="003F491E" w:rsidP="00805AA1">
      <w:pPr>
        <w:widowControl/>
        <w:ind w:left="720" w:firstLine="720"/>
        <w:rPr>
          <w:szCs w:val="24"/>
        </w:rPr>
      </w:pPr>
      <w:r w:rsidRPr="003F491E">
        <w:rPr>
          <w:szCs w:val="24"/>
        </w:rPr>
        <w:t>Motion</w:t>
      </w:r>
    </w:p>
    <w:p w14:paraId="7576C9B8" w14:textId="77777777" w:rsidR="00201172" w:rsidRPr="003F491E" w:rsidRDefault="00201172">
      <w:pPr>
        <w:rPr>
          <w:szCs w:val="24"/>
        </w:rPr>
      </w:pPr>
    </w:p>
    <w:sectPr w:rsidR="00201172" w:rsidRPr="003F491E" w:rsidSect="00805AA1">
      <w:footerReference w:type="default" r:id="rId18"/>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C29C" w14:textId="77777777" w:rsidR="00F9212B" w:rsidRDefault="00F9212B" w:rsidP="003F491E">
      <w:r>
        <w:separator/>
      </w:r>
    </w:p>
  </w:endnote>
  <w:endnote w:type="continuationSeparator" w:id="0">
    <w:p w14:paraId="776C1171" w14:textId="77777777" w:rsidR="00F9212B" w:rsidRDefault="00F9212B" w:rsidP="003F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862496"/>
      <w:docPartObj>
        <w:docPartGallery w:val="Page Numbers (Bottom of Page)"/>
        <w:docPartUnique/>
      </w:docPartObj>
    </w:sdtPr>
    <w:sdtEndPr>
      <w:rPr>
        <w:noProof/>
      </w:rPr>
    </w:sdtEndPr>
    <w:sdtContent>
      <w:p w14:paraId="488FDCD5" w14:textId="0101E7B7" w:rsidR="00805AA1" w:rsidRDefault="00F9212B">
        <w:pPr>
          <w:pStyle w:val="Footer"/>
          <w:jc w:val="right"/>
        </w:pPr>
      </w:p>
    </w:sdtContent>
  </w:sdt>
  <w:p w14:paraId="140CE4E0" w14:textId="77777777" w:rsidR="003F491E" w:rsidRDefault="003F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660"/>
      <w:docPartObj>
        <w:docPartGallery w:val="Page Numbers (Bottom of Page)"/>
        <w:docPartUnique/>
      </w:docPartObj>
    </w:sdtPr>
    <w:sdtEndPr>
      <w:rPr>
        <w:noProof/>
      </w:rPr>
    </w:sdtEndPr>
    <w:sdtContent>
      <w:p w14:paraId="6A85F092" w14:textId="3E84DB6A" w:rsidR="00805AA1" w:rsidRDefault="00805AA1">
        <w:pPr>
          <w:pStyle w:val="Footer"/>
          <w:jc w:val="right"/>
        </w:pPr>
        <w:r>
          <w:fldChar w:fldCharType="begin"/>
        </w:r>
        <w:r>
          <w:instrText xml:space="preserve"> PAGE   \* MERGEFORMAT </w:instrText>
        </w:r>
        <w:r>
          <w:fldChar w:fldCharType="separate"/>
        </w:r>
        <w:r w:rsidR="00F00FB7">
          <w:rPr>
            <w:noProof/>
          </w:rPr>
          <w:t>7</w:t>
        </w:r>
        <w:r>
          <w:rPr>
            <w:noProof/>
          </w:rPr>
          <w:fldChar w:fldCharType="end"/>
        </w:r>
      </w:p>
    </w:sdtContent>
  </w:sdt>
  <w:p w14:paraId="7ABADCC8" w14:textId="77777777" w:rsidR="00805AA1" w:rsidRDefault="0080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7A8D" w14:textId="77777777" w:rsidR="00F9212B" w:rsidRDefault="00F9212B" w:rsidP="003F491E">
      <w:r>
        <w:separator/>
      </w:r>
    </w:p>
  </w:footnote>
  <w:footnote w:type="continuationSeparator" w:id="0">
    <w:p w14:paraId="63EFC2A5" w14:textId="77777777" w:rsidR="00F9212B" w:rsidRDefault="00F9212B" w:rsidP="003F491E">
      <w:r>
        <w:continuationSeparator/>
      </w:r>
    </w:p>
  </w:footnote>
  <w:footnote w:id="1">
    <w:p w14:paraId="7761FB5A" w14:textId="2035AAFE" w:rsidR="00053920" w:rsidRDefault="00053920" w:rsidP="00053920">
      <w:pPr>
        <w:pStyle w:val="FootnoteText"/>
      </w:pPr>
      <w:r w:rsidRPr="00053920">
        <w:rPr>
          <w:rStyle w:val="FootnoteReference"/>
          <w:vertAlign w:val="superscript"/>
        </w:rPr>
        <w:footnoteRef/>
      </w:r>
      <w:r w:rsidRPr="00053920">
        <w:rPr>
          <w:vertAlign w:val="superscript"/>
        </w:rPr>
        <w:t xml:space="preserve"> </w:t>
      </w:r>
      <w:r>
        <w:t>According to the October 1, 2017, SIMS data, MLK is over-enrolled by 3 students, in violation of the school’s charter terms. Charter schools do not receive tuition for over-enrolled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265E4A"/>
    <w:multiLevelType w:val="hybridMultilevel"/>
    <w:tmpl w:val="EC8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CB"/>
    <w:rsid w:val="0001218E"/>
    <w:rsid w:val="00025507"/>
    <w:rsid w:val="00041CA1"/>
    <w:rsid w:val="00053920"/>
    <w:rsid w:val="0008132F"/>
    <w:rsid w:val="000D43FF"/>
    <w:rsid w:val="000E0994"/>
    <w:rsid w:val="00110714"/>
    <w:rsid w:val="00136616"/>
    <w:rsid w:val="00154CA8"/>
    <w:rsid w:val="0016620D"/>
    <w:rsid w:val="00201172"/>
    <w:rsid w:val="00207F80"/>
    <w:rsid w:val="00234FDF"/>
    <w:rsid w:val="002439DD"/>
    <w:rsid w:val="00257C6A"/>
    <w:rsid w:val="00296C69"/>
    <w:rsid w:val="00297F36"/>
    <w:rsid w:val="002A3E22"/>
    <w:rsid w:val="002A6C37"/>
    <w:rsid w:val="002B4B10"/>
    <w:rsid w:val="002C0CF9"/>
    <w:rsid w:val="002F0893"/>
    <w:rsid w:val="002F5424"/>
    <w:rsid w:val="002F6BEF"/>
    <w:rsid w:val="00302CF4"/>
    <w:rsid w:val="0038757E"/>
    <w:rsid w:val="003953C8"/>
    <w:rsid w:val="003F491E"/>
    <w:rsid w:val="0041210C"/>
    <w:rsid w:val="00413ECB"/>
    <w:rsid w:val="00415888"/>
    <w:rsid w:val="00440666"/>
    <w:rsid w:val="00454FC4"/>
    <w:rsid w:val="004A7F39"/>
    <w:rsid w:val="004E5697"/>
    <w:rsid w:val="004F6B98"/>
    <w:rsid w:val="005430E2"/>
    <w:rsid w:val="00571666"/>
    <w:rsid w:val="0059178C"/>
    <w:rsid w:val="005A05B4"/>
    <w:rsid w:val="005B22FF"/>
    <w:rsid w:val="005C1013"/>
    <w:rsid w:val="005E3535"/>
    <w:rsid w:val="00635070"/>
    <w:rsid w:val="006F55D2"/>
    <w:rsid w:val="007042A3"/>
    <w:rsid w:val="007214D6"/>
    <w:rsid w:val="00745ECF"/>
    <w:rsid w:val="0075404A"/>
    <w:rsid w:val="00761FD8"/>
    <w:rsid w:val="007732FB"/>
    <w:rsid w:val="0080569C"/>
    <w:rsid w:val="00805AA1"/>
    <w:rsid w:val="008B21CB"/>
    <w:rsid w:val="008C19F0"/>
    <w:rsid w:val="008C238A"/>
    <w:rsid w:val="00910426"/>
    <w:rsid w:val="00932A9A"/>
    <w:rsid w:val="00953E51"/>
    <w:rsid w:val="009A2BF2"/>
    <w:rsid w:val="009C6C73"/>
    <w:rsid w:val="00A15B58"/>
    <w:rsid w:val="00A20194"/>
    <w:rsid w:val="00A70FE3"/>
    <w:rsid w:val="00A7681B"/>
    <w:rsid w:val="00A85738"/>
    <w:rsid w:val="00B0064D"/>
    <w:rsid w:val="00B15E7C"/>
    <w:rsid w:val="00B34968"/>
    <w:rsid w:val="00B717C2"/>
    <w:rsid w:val="00B82A6D"/>
    <w:rsid w:val="00BA1E9F"/>
    <w:rsid w:val="00BA4FF2"/>
    <w:rsid w:val="00BD1D97"/>
    <w:rsid w:val="00BF06AD"/>
    <w:rsid w:val="00C04EDD"/>
    <w:rsid w:val="00C15269"/>
    <w:rsid w:val="00C44877"/>
    <w:rsid w:val="00C53AB2"/>
    <w:rsid w:val="00C974A6"/>
    <w:rsid w:val="00CD0495"/>
    <w:rsid w:val="00D1782C"/>
    <w:rsid w:val="00D3062B"/>
    <w:rsid w:val="00D456B8"/>
    <w:rsid w:val="00D73B50"/>
    <w:rsid w:val="00DA7BBB"/>
    <w:rsid w:val="00DB3CC7"/>
    <w:rsid w:val="00DC6E93"/>
    <w:rsid w:val="00DD7C39"/>
    <w:rsid w:val="00DE66A4"/>
    <w:rsid w:val="00E01EFF"/>
    <w:rsid w:val="00E26C9A"/>
    <w:rsid w:val="00E6362D"/>
    <w:rsid w:val="00E74DA7"/>
    <w:rsid w:val="00E762F0"/>
    <w:rsid w:val="00E77FAD"/>
    <w:rsid w:val="00EA0EAA"/>
    <w:rsid w:val="00EA1A94"/>
    <w:rsid w:val="00EE0A55"/>
    <w:rsid w:val="00EE61C5"/>
    <w:rsid w:val="00F00FB7"/>
    <w:rsid w:val="00F25840"/>
    <w:rsid w:val="00F616A3"/>
    <w:rsid w:val="00F619D3"/>
    <w:rsid w:val="00F76E32"/>
    <w:rsid w:val="00F878C5"/>
    <w:rsid w:val="00F9212B"/>
    <w:rsid w:val="00FB5279"/>
    <w:rsid w:val="00FC1A90"/>
    <w:rsid w:val="00FC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74ED"/>
  <w15:docId w15:val="{187B38E2-4542-49C2-ABBE-B6D63C9F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rsid w:val="003F491E"/>
    <w:rPr>
      <w:sz w:val="20"/>
      <w:lang w:val="x-none" w:eastAsia="x-none"/>
    </w:rPr>
  </w:style>
  <w:style w:type="character" w:customStyle="1" w:styleId="FootnoteTextChar">
    <w:name w:val="Footnote Text Char"/>
    <w:basedOn w:val="DefaultParagraphFont"/>
    <w:link w:val="FootnoteText"/>
    <w:rsid w:val="003F491E"/>
    <w:rPr>
      <w:snapToGrid w:val="0"/>
      <w:lang w:val="x-none" w:eastAsia="x-none"/>
    </w:rPr>
  </w:style>
  <w:style w:type="character" w:styleId="CommentReference">
    <w:name w:val="annotation reference"/>
    <w:rsid w:val="003F491E"/>
    <w:rPr>
      <w:sz w:val="16"/>
      <w:szCs w:val="16"/>
    </w:rPr>
  </w:style>
  <w:style w:type="paragraph" w:styleId="CommentText">
    <w:name w:val="annotation text"/>
    <w:basedOn w:val="Normal"/>
    <w:link w:val="CommentTextChar"/>
    <w:rsid w:val="003F491E"/>
    <w:rPr>
      <w:sz w:val="20"/>
      <w:lang w:val="x-none" w:eastAsia="x-none"/>
    </w:rPr>
  </w:style>
  <w:style w:type="character" w:customStyle="1" w:styleId="CommentTextChar">
    <w:name w:val="Comment Text Char"/>
    <w:basedOn w:val="DefaultParagraphFont"/>
    <w:link w:val="CommentText"/>
    <w:rsid w:val="003F491E"/>
    <w:rPr>
      <w:snapToGrid w:val="0"/>
      <w:lang w:val="x-none" w:eastAsia="x-none"/>
    </w:rPr>
  </w:style>
  <w:style w:type="paragraph" w:customStyle="1" w:styleId="Default">
    <w:name w:val="Default"/>
    <w:rsid w:val="003F491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F491E"/>
    <w:pPr>
      <w:widowControl/>
      <w:ind w:left="720"/>
    </w:pPr>
    <w:rPr>
      <w:snapToGrid/>
      <w:szCs w:val="24"/>
    </w:rPr>
  </w:style>
  <w:style w:type="character" w:styleId="Hyperlink">
    <w:name w:val="Hyperlink"/>
    <w:uiPriority w:val="99"/>
    <w:unhideWhenUsed/>
    <w:rsid w:val="003F491E"/>
    <w:rPr>
      <w:color w:val="0000FF"/>
      <w:u w:val="single"/>
    </w:rPr>
  </w:style>
  <w:style w:type="character" w:customStyle="1" w:styleId="ListParagraphChar">
    <w:name w:val="List Paragraph Char"/>
    <w:link w:val="ListParagraph"/>
    <w:uiPriority w:val="34"/>
    <w:locked/>
    <w:rsid w:val="003F491E"/>
    <w:rPr>
      <w:sz w:val="24"/>
      <w:szCs w:val="24"/>
    </w:rPr>
  </w:style>
  <w:style w:type="paragraph" w:styleId="Header">
    <w:name w:val="header"/>
    <w:basedOn w:val="Normal"/>
    <w:link w:val="HeaderChar"/>
    <w:unhideWhenUsed/>
    <w:rsid w:val="003F491E"/>
    <w:pPr>
      <w:tabs>
        <w:tab w:val="center" w:pos="4680"/>
        <w:tab w:val="right" w:pos="9360"/>
      </w:tabs>
    </w:pPr>
  </w:style>
  <w:style w:type="character" w:customStyle="1" w:styleId="HeaderChar">
    <w:name w:val="Header Char"/>
    <w:basedOn w:val="DefaultParagraphFont"/>
    <w:link w:val="Header"/>
    <w:rsid w:val="003F491E"/>
    <w:rPr>
      <w:snapToGrid w:val="0"/>
      <w:sz w:val="24"/>
    </w:rPr>
  </w:style>
  <w:style w:type="paragraph" w:styleId="CommentSubject">
    <w:name w:val="annotation subject"/>
    <w:basedOn w:val="CommentText"/>
    <w:next w:val="CommentText"/>
    <w:link w:val="CommentSubjectChar"/>
    <w:semiHidden/>
    <w:unhideWhenUsed/>
    <w:rsid w:val="006F55D2"/>
    <w:rPr>
      <w:b/>
      <w:bCs/>
      <w:lang w:val="en-US" w:eastAsia="en-US"/>
    </w:rPr>
  </w:style>
  <w:style w:type="character" w:customStyle="1" w:styleId="CommentSubjectChar">
    <w:name w:val="Comment Subject Char"/>
    <w:basedOn w:val="CommentTextChar"/>
    <w:link w:val="CommentSubject"/>
    <w:semiHidden/>
    <w:rsid w:val="006F55D2"/>
    <w:rPr>
      <w:b/>
      <w:bCs/>
      <w:snapToGrid w:val="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displays.xlsx]Pivot!PivotTable9</c:name>
    <c:fmtId val="-1"/>
  </c:pivotSource>
  <c:chart>
    <c:title>
      <c:tx>
        <c:strRef>
          <c:f>Pivot!$B$1</c:f>
          <c:strCache>
            <c:ptCount val="1"/>
            <c:pt idx="0">
              <c:v>Martin Luther King Jr. Charter School of Excellence</c:v>
            </c:pt>
          </c:strCache>
        </c:strRef>
      </c:tx>
      <c:overlay val="0"/>
      <c:txPr>
        <a:bodyPr/>
        <a:lstStyle/>
        <a:p>
          <a:pPr>
            <a:defRPr sz="1100"/>
          </a:pPr>
          <a:endParaRPr lang="en-US"/>
        </a:p>
      </c:txPr>
    </c:title>
    <c:autoTitleDeleted val="0"/>
    <c:pivotFmts>
      <c:pivotFmt>
        <c:idx val="0"/>
        <c:spPr>
          <a:ln w="19050"/>
        </c:spPr>
        <c:marker>
          <c:symbol val="none"/>
        </c:marker>
      </c:pivotFmt>
      <c:pivotFmt>
        <c:idx val="1"/>
        <c:spPr>
          <a:ln w="19050"/>
        </c:spPr>
        <c:marker>
          <c:symbol val="none"/>
        </c:marker>
      </c:pivotFmt>
      <c:pivotFmt>
        <c:idx val="2"/>
        <c:marker>
          <c:symbol val="none"/>
        </c:marker>
        <c:dLbl>
          <c:idx val="0"/>
          <c:delete val="1"/>
          <c:extLst>
            <c:ext xmlns:c15="http://schemas.microsoft.com/office/drawing/2012/chart" uri="{CE6537A1-D6FC-4f65-9D91-7224C49458BB}"/>
          </c:extLst>
        </c:dLbl>
      </c:pivotFmt>
      <c:pivotFmt>
        <c:idx val="3"/>
        <c:marker>
          <c:symbol val="none"/>
        </c:marker>
        <c:dLbl>
          <c:idx val="0"/>
          <c:delete val="1"/>
          <c:extLst>
            <c:ext xmlns:c15="http://schemas.microsoft.com/office/drawing/2012/chart" uri="{CE6537A1-D6FC-4f65-9D91-7224C49458BB}"/>
          </c:extLst>
        </c:dLbl>
      </c:pivotFmt>
      <c:pivotFmt>
        <c:idx val="4"/>
        <c:marker>
          <c:symbol val="none"/>
        </c:marker>
        <c:dLbl>
          <c:idx val="0"/>
          <c:delete val="1"/>
          <c:extLst>
            <c:ext xmlns:c15="http://schemas.microsoft.com/office/drawing/2012/chart" uri="{CE6537A1-D6FC-4f65-9D91-7224C49458BB}"/>
          </c:extLst>
        </c:dLbl>
      </c:pivotFmt>
      <c:pivotFmt>
        <c:idx val="5"/>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6"/>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7"/>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8"/>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0"/>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Pivot!$B$1</c:f>
              <c:strCache>
                <c:ptCount val="1"/>
                <c:pt idx="0">
                  <c:v>ELA Progress Over Time</c:v>
                </c:pt>
              </c:strCache>
            </c:strRef>
          </c:tx>
          <c:marker>
            <c:symbol val="none"/>
          </c:marker>
          <c:dLbls>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Pivot!$B$1</c:f>
              <c:numCache>
                <c:formatCode>0.0</c:formatCode>
                <c:ptCount val="10"/>
                <c:pt idx="0">
                  <c:v>78.8</c:v>
                </c:pt>
                <c:pt idx="1">
                  <c:v>71.099999999999994</c:v>
                </c:pt>
                <c:pt idx="2">
                  <c:v>72.599999999999994</c:v>
                </c:pt>
                <c:pt idx="3">
                  <c:v>67.2</c:v>
                </c:pt>
                <c:pt idx="4">
                  <c:v>66.2</c:v>
                </c:pt>
                <c:pt idx="5">
                  <c:v>63.5</c:v>
                </c:pt>
                <c:pt idx="6">
                  <c:v>60.2</c:v>
                </c:pt>
                <c:pt idx="7">
                  <c:v>66.7</c:v>
                </c:pt>
                <c:pt idx="8">
                  <c:v>78.599999999999994</c:v>
                </c:pt>
              </c:numCache>
            </c:numRef>
          </c:val>
          <c:smooth val="1"/>
          <c:extLst>
            <c:ext xmlns:c16="http://schemas.microsoft.com/office/drawing/2014/chart" uri="{C3380CC4-5D6E-409C-BE32-E72D297353CC}">
              <c16:uniqueId val="{00000000-D963-4679-894A-FE82EB84C8EB}"/>
            </c:ext>
          </c:extLst>
        </c:ser>
        <c:ser>
          <c:idx val="1"/>
          <c:order val="1"/>
          <c:tx>
            <c:strRef>
              <c:f>Pivot!$B$1</c:f>
              <c:strCache>
                <c:ptCount val="1"/>
                <c:pt idx="0">
                  <c:v>ELA Gap-Narrowing Targets</c:v>
                </c:pt>
              </c:strCache>
            </c:strRef>
          </c:tx>
          <c:spPr>
            <a:ln>
              <a:prstDash val="sysDash"/>
            </a:ln>
          </c:spPr>
          <c:marker>
            <c:symbol val="none"/>
          </c:marker>
          <c:dLbls>
            <c:spPr>
              <a:noFill/>
              <a:ln>
                <a:noFill/>
              </a:ln>
              <a:effectLst/>
            </c:spPr>
            <c:txPr>
              <a:bodyPr/>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Pivot!$B$1</c:f>
              <c:numCache>
                <c:formatCode>General</c:formatCode>
                <c:ptCount val="10"/>
                <c:pt idx="4" formatCode="0.0">
                  <c:v>69.900000000000006</c:v>
                </c:pt>
                <c:pt idx="5" formatCode="0.0">
                  <c:v>72.7</c:v>
                </c:pt>
                <c:pt idx="6" formatCode="0.0">
                  <c:v>75.400000000000006</c:v>
                </c:pt>
                <c:pt idx="7" formatCode="0.0">
                  <c:v>78.099999999999994</c:v>
                </c:pt>
                <c:pt idx="8" formatCode="0.0">
                  <c:v>80.900000000000006</c:v>
                </c:pt>
                <c:pt idx="9" formatCode="0.0">
                  <c:v>83.6</c:v>
                </c:pt>
              </c:numCache>
            </c:numRef>
          </c:val>
          <c:smooth val="1"/>
          <c:extLst>
            <c:ext xmlns:c16="http://schemas.microsoft.com/office/drawing/2014/chart" uri="{C3380CC4-5D6E-409C-BE32-E72D297353CC}">
              <c16:uniqueId val="{00000001-D963-4679-894A-FE82EB84C8EB}"/>
            </c:ext>
          </c:extLst>
        </c:ser>
        <c:dLbls>
          <c:showLegendKey val="0"/>
          <c:showVal val="0"/>
          <c:showCatName val="0"/>
          <c:showSerName val="0"/>
          <c:showPercent val="0"/>
          <c:showBubbleSize val="0"/>
        </c:dLbls>
        <c:hiLowLines>
          <c:spPr>
            <a:ln>
              <a:noFill/>
            </a:ln>
          </c:spPr>
        </c:hiLowLines>
        <c:smooth val="0"/>
        <c:axId val="70174976"/>
        <c:axId val="70184960"/>
      </c:lineChart>
      <c:catAx>
        <c:axId val="70174976"/>
        <c:scaling>
          <c:orientation val="minMax"/>
        </c:scaling>
        <c:delete val="0"/>
        <c:axPos val="b"/>
        <c:numFmt formatCode="General" sourceLinked="0"/>
        <c:majorTickMark val="none"/>
        <c:minorTickMark val="none"/>
        <c:tickLblPos val="nextTo"/>
        <c:txPr>
          <a:bodyPr rot="-1260000" vert="horz"/>
          <a:lstStyle/>
          <a:p>
            <a:pPr>
              <a:defRPr/>
            </a:pPr>
            <a:endParaRPr lang="en-US"/>
          </a:p>
        </c:txPr>
        <c:crossAx val="70184960"/>
        <c:crosses val="autoZero"/>
        <c:auto val="1"/>
        <c:lblAlgn val="ctr"/>
        <c:lblOffset val="100"/>
        <c:noMultiLvlLbl val="0"/>
      </c:catAx>
      <c:valAx>
        <c:axId val="70184960"/>
        <c:scaling>
          <c:orientation val="minMax"/>
          <c:max val="100"/>
          <c:min val="30"/>
        </c:scaling>
        <c:delete val="0"/>
        <c:axPos val="l"/>
        <c:majorGridlines>
          <c:spPr>
            <a:ln>
              <a:solidFill>
                <a:schemeClr val="bg1">
                  <a:lumMod val="85000"/>
                </a:schemeClr>
              </a:solidFill>
            </a:ln>
          </c:spPr>
        </c:majorGridlines>
        <c:title>
          <c:tx>
            <c:rich>
              <a:bodyPr/>
              <a:lstStyle/>
              <a:p>
                <a:pPr>
                  <a:defRPr sz="1100"/>
                </a:pPr>
                <a:r>
                  <a:rPr lang="en-US" sz="1100"/>
                  <a:t>CPI</a:t>
                </a:r>
              </a:p>
            </c:rich>
          </c:tx>
          <c:overlay val="0"/>
        </c:title>
        <c:numFmt formatCode="0" sourceLinked="0"/>
        <c:majorTickMark val="none"/>
        <c:minorTickMark val="none"/>
        <c:tickLblPos val="nextTo"/>
        <c:spPr>
          <a:ln>
            <a:solidFill>
              <a:schemeClr val="tx1"/>
            </a:solidFill>
          </a:ln>
        </c:spPr>
        <c:crossAx val="70174976"/>
        <c:crossesAt val="1"/>
        <c:crossBetween val="between"/>
        <c:majorUnit val="10"/>
      </c:valAx>
      <c:spPr>
        <a:noFill/>
        <a:ln w="25400">
          <a:noFill/>
        </a:ln>
      </c:spPr>
    </c:plotArea>
    <c:legend>
      <c:legendPos val="b"/>
      <c:legendEntry>
        <c:idx val="1"/>
        <c:delete val="1"/>
      </c:legendEntry>
      <c:overlay val="0"/>
      <c:txPr>
        <a:bodyPr/>
        <a:lstStyle/>
        <a:p>
          <a:pPr>
            <a:defRPr sz="1000"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displays.xlsx]Pivot!PivotTable10</c:name>
    <c:fmtId val="-1"/>
  </c:pivotSource>
  <c:chart>
    <c:title>
      <c:tx>
        <c:strRef>
          <c:f>Pivot!$B$19</c:f>
          <c:strCache>
            <c:ptCount val="1"/>
            <c:pt idx="0">
              <c:v>Martin Luther King Jr. Charter School of Excellence</c:v>
            </c:pt>
          </c:strCache>
        </c:strRef>
      </c:tx>
      <c:overlay val="0"/>
      <c:txPr>
        <a:bodyPr/>
        <a:lstStyle/>
        <a:p>
          <a:pPr>
            <a:defRPr sz="1100"/>
          </a:pPr>
          <a:endParaRPr lang="en-US"/>
        </a:p>
      </c:txPr>
    </c:title>
    <c:autoTitleDeleted val="0"/>
    <c:pivotFmts>
      <c:pivotFmt>
        <c:idx val="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3"/>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5"/>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Pivot!$B$19</c:f>
              <c:strCache>
                <c:ptCount val="1"/>
                <c:pt idx="0">
                  <c:v>Math Progress Over Time</c:v>
                </c:pt>
              </c:strCache>
            </c:strRef>
          </c:tx>
          <c:marker>
            <c:symbol val="none"/>
          </c:marker>
          <c:dLbls>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Pivot!$B$19</c:f>
              <c:strCache>
                <c:ptCount val="9"/>
                <c:pt idx="0">
                  <c:v>2009</c:v>
                </c:pt>
                <c:pt idx="1">
                  <c:v>2010</c:v>
                </c:pt>
                <c:pt idx="2">
                  <c:v>2011</c:v>
                </c:pt>
                <c:pt idx="3">
                  <c:v>2012</c:v>
                </c:pt>
                <c:pt idx="4">
                  <c:v>2013</c:v>
                </c:pt>
                <c:pt idx="5">
                  <c:v>2014</c:v>
                </c:pt>
                <c:pt idx="6">
                  <c:v>2015</c:v>
                </c:pt>
                <c:pt idx="7">
                  <c:v>2016</c:v>
                </c:pt>
                <c:pt idx="8">
                  <c:v>2017</c:v>
                </c:pt>
              </c:strCache>
            </c:strRef>
          </c:cat>
          <c:val>
            <c:numRef>
              <c:f>Pivot!$B$19</c:f>
              <c:numCache>
                <c:formatCode>0.0</c:formatCode>
                <c:ptCount val="9"/>
                <c:pt idx="0">
                  <c:v>59.8</c:v>
                </c:pt>
                <c:pt idx="1">
                  <c:v>54.3</c:v>
                </c:pt>
                <c:pt idx="2">
                  <c:v>62.9</c:v>
                </c:pt>
                <c:pt idx="3">
                  <c:v>68.7</c:v>
                </c:pt>
                <c:pt idx="4">
                  <c:v>72</c:v>
                </c:pt>
                <c:pt idx="5">
                  <c:v>68.7</c:v>
                </c:pt>
                <c:pt idx="6">
                  <c:v>73.900000000000006</c:v>
                </c:pt>
                <c:pt idx="7">
                  <c:v>86.6</c:v>
                </c:pt>
              </c:numCache>
            </c:numRef>
          </c:val>
          <c:smooth val="1"/>
          <c:extLst>
            <c:ext xmlns:c16="http://schemas.microsoft.com/office/drawing/2014/chart" uri="{C3380CC4-5D6E-409C-BE32-E72D297353CC}">
              <c16:uniqueId val="{00000000-A5DC-4481-80B9-30E94F78EEA2}"/>
            </c:ext>
          </c:extLst>
        </c:ser>
        <c:ser>
          <c:idx val="1"/>
          <c:order val="1"/>
          <c:tx>
            <c:strRef>
              <c:f>Pivot!$B$19</c:f>
              <c:strCache>
                <c:ptCount val="1"/>
                <c:pt idx="0">
                  <c:v>Math Gap-Narrowing Targets</c:v>
                </c:pt>
              </c:strCache>
            </c:strRef>
          </c:tx>
          <c:spPr>
            <a:ln>
              <a:prstDash val="sysDash"/>
            </a:ln>
          </c:spPr>
          <c:marker>
            <c:symbol val="none"/>
          </c:marker>
          <c:dLbls>
            <c:spPr>
              <a:noFill/>
              <a:ln>
                <a:noFill/>
              </a:ln>
              <a:effectLst/>
            </c:spPr>
            <c:txPr>
              <a:bodyPr/>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Pivot!$B$19</c:f>
              <c:strCache>
                <c:ptCount val="9"/>
                <c:pt idx="0">
                  <c:v>2009</c:v>
                </c:pt>
                <c:pt idx="1">
                  <c:v>2010</c:v>
                </c:pt>
                <c:pt idx="2">
                  <c:v>2011</c:v>
                </c:pt>
                <c:pt idx="3">
                  <c:v>2012</c:v>
                </c:pt>
                <c:pt idx="4">
                  <c:v>2013</c:v>
                </c:pt>
                <c:pt idx="5">
                  <c:v>2014</c:v>
                </c:pt>
                <c:pt idx="6">
                  <c:v>2015</c:v>
                </c:pt>
                <c:pt idx="7">
                  <c:v>2016</c:v>
                </c:pt>
                <c:pt idx="8">
                  <c:v>2017</c:v>
                </c:pt>
              </c:strCache>
            </c:strRef>
          </c:cat>
          <c:val>
            <c:numRef>
              <c:f>Pivot!$B$19</c:f>
              <c:numCache>
                <c:formatCode>General</c:formatCode>
                <c:ptCount val="9"/>
                <c:pt idx="3" formatCode="0.0">
                  <c:v>66</c:v>
                </c:pt>
                <c:pt idx="4" formatCode="0.0">
                  <c:v>69.099999999999994</c:v>
                </c:pt>
                <c:pt idx="5" formatCode="0.0">
                  <c:v>72.2</c:v>
                </c:pt>
                <c:pt idx="6" formatCode="0.0">
                  <c:v>75.3</c:v>
                </c:pt>
                <c:pt idx="7" formatCode="0.0">
                  <c:v>78.400000000000006</c:v>
                </c:pt>
                <c:pt idx="8" formatCode="0.0">
                  <c:v>81.5</c:v>
                </c:pt>
              </c:numCache>
            </c:numRef>
          </c:val>
          <c:smooth val="1"/>
          <c:extLst>
            <c:ext xmlns:c16="http://schemas.microsoft.com/office/drawing/2014/chart" uri="{C3380CC4-5D6E-409C-BE32-E72D297353CC}">
              <c16:uniqueId val="{00000001-A5DC-4481-80B9-30E94F78EEA2}"/>
            </c:ext>
          </c:extLst>
        </c:ser>
        <c:dLbls>
          <c:showLegendKey val="0"/>
          <c:showVal val="0"/>
          <c:showCatName val="0"/>
          <c:showSerName val="0"/>
          <c:showPercent val="0"/>
          <c:showBubbleSize val="0"/>
        </c:dLbls>
        <c:smooth val="0"/>
        <c:axId val="69958656"/>
        <c:axId val="69968640"/>
      </c:lineChart>
      <c:catAx>
        <c:axId val="69958656"/>
        <c:scaling>
          <c:orientation val="minMax"/>
        </c:scaling>
        <c:delete val="0"/>
        <c:axPos val="b"/>
        <c:numFmt formatCode="General" sourceLinked="0"/>
        <c:majorTickMark val="none"/>
        <c:minorTickMark val="none"/>
        <c:tickLblPos val="nextTo"/>
        <c:txPr>
          <a:bodyPr rot="-1260000"/>
          <a:lstStyle/>
          <a:p>
            <a:pPr>
              <a:defRPr/>
            </a:pPr>
            <a:endParaRPr lang="en-US"/>
          </a:p>
        </c:txPr>
        <c:crossAx val="69968640"/>
        <c:crosses val="autoZero"/>
        <c:auto val="1"/>
        <c:lblAlgn val="ctr"/>
        <c:lblOffset val="100"/>
        <c:noMultiLvlLbl val="0"/>
      </c:catAx>
      <c:valAx>
        <c:axId val="69968640"/>
        <c:scaling>
          <c:orientation val="minMax"/>
          <c:max val="100"/>
          <c:min val="30"/>
        </c:scaling>
        <c:delete val="0"/>
        <c:axPos val="l"/>
        <c:majorGridlines>
          <c:spPr>
            <a:ln>
              <a:solidFill>
                <a:schemeClr val="bg1">
                  <a:lumMod val="85000"/>
                </a:schemeClr>
              </a:solidFill>
            </a:ln>
          </c:spPr>
        </c:majorGridlines>
        <c:title>
          <c:tx>
            <c:rich>
              <a:bodyPr rot="-5400000" vert="horz"/>
              <a:lstStyle/>
              <a:p>
                <a:pPr>
                  <a:defRPr sz="1100"/>
                </a:pPr>
                <a:r>
                  <a:rPr lang="en-US" sz="1100"/>
                  <a:t>CPI</a:t>
                </a:r>
              </a:p>
            </c:rich>
          </c:tx>
          <c:overlay val="0"/>
        </c:title>
        <c:numFmt formatCode="0" sourceLinked="0"/>
        <c:majorTickMark val="none"/>
        <c:minorTickMark val="none"/>
        <c:tickLblPos val="nextTo"/>
        <c:spPr>
          <a:ln w="9525">
            <a:solidFill>
              <a:schemeClr val="tx1"/>
            </a:solidFill>
          </a:ln>
        </c:spPr>
        <c:crossAx val="69958656"/>
        <c:crosses val="autoZero"/>
        <c:crossBetween val="between"/>
        <c:majorUnit val="10"/>
      </c:valAx>
    </c:plotArea>
    <c:legend>
      <c:legendPos val="b"/>
      <c:legendEntry>
        <c:idx val="1"/>
        <c:delete val="1"/>
      </c:legendEntry>
      <c:overlay val="0"/>
      <c:txPr>
        <a:bodyPr/>
        <a:lstStyle/>
        <a:p>
          <a:pPr>
            <a:defRPr sz="1000"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displays.xlsx]Pivot!PivotTable11</c:name>
    <c:fmtId val="-1"/>
  </c:pivotSource>
  <c:chart>
    <c:title>
      <c:tx>
        <c:strRef>
          <c:f>Pivot!$B$37</c:f>
          <c:strCache>
            <c:ptCount val="1"/>
            <c:pt idx="0">
              <c:v>Martin Luther King Jr. Charter School of Excellence</c:v>
            </c:pt>
          </c:strCache>
        </c:strRef>
      </c:tx>
      <c:overlay val="0"/>
      <c:txPr>
        <a:bodyPr/>
        <a:lstStyle/>
        <a:p>
          <a:pPr>
            <a:defRPr sz="1100"/>
          </a:pPr>
          <a:endParaRPr lang="en-US"/>
        </a:p>
      </c:txPr>
    </c:title>
    <c:autoTitleDeleted val="0"/>
    <c:pivotFmts>
      <c:pivotFmt>
        <c:idx val="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6"/>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7"/>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9"/>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1"/>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2"/>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3"/>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4"/>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5"/>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6"/>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7"/>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8"/>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9"/>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21"/>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2"/>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3"/>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4"/>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5"/>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6"/>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7"/>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8"/>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9"/>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Pivot!$B$37</c:f>
              <c:strCache>
                <c:ptCount val="1"/>
                <c:pt idx="0">
                  <c:v>Science Progress Over Time</c:v>
                </c:pt>
              </c:strCache>
            </c:strRef>
          </c:tx>
          <c:marker>
            <c:symbol val="none"/>
          </c:marker>
          <c:dLbls>
            <c:dLbl>
              <c:idx val="5"/>
              <c:layout>
                <c:manualLayout>
                  <c:x val="-4.3081189792056891E-2"/>
                  <c:y val="7.3948201327775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89-4202-964A-7A46F4B21FCB}"/>
                </c:ext>
              </c:extLst>
            </c:dLbl>
            <c:dLbl>
              <c:idx val="6"/>
              <c:layout>
                <c:manualLayout>
                  <c:x val="-4.5884575133707126E-2"/>
                  <c:y val="5.3523043075497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9-4202-964A-7A46F4B21FCB}"/>
                </c:ext>
              </c:extLst>
            </c:dLbl>
            <c:dLbl>
              <c:idx val="7"/>
              <c:layout>
                <c:manualLayout>
                  <c:x val="-3.747463984776081E-2"/>
                  <c:y val="4.943839740620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89-4202-964A-7A46F4B21FCB}"/>
                </c:ext>
              </c:extLst>
            </c:dLbl>
            <c:dLbl>
              <c:idx val="8"/>
              <c:layout>
                <c:manualLayout>
                  <c:x val="-3.4671033767107652E-2"/>
                  <c:y val="5.35233647264680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9-4202-964A-7A46F4B21FCB}"/>
                </c:ext>
              </c:extLst>
            </c:dLbl>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Pivot!$B$37</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Pivot!$B$37</c:f>
              <c:numCache>
                <c:formatCode>General</c:formatCode>
                <c:ptCount val="10"/>
                <c:pt idx="2" formatCode="0.0">
                  <c:v>60.8</c:v>
                </c:pt>
                <c:pt idx="3" formatCode="0.0">
                  <c:v>59</c:v>
                </c:pt>
                <c:pt idx="4" formatCode="0.0">
                  <c:v>58.5</c:v>
                </c:pt>
                <c:pt idx="5" formatCode="0.0">
                  <c:v>73.8</c:v>
                </c:pt>
                <c:pt idx="6" formatCode="0.0">
                  <c:v>71</c:v>
                </c:pt>
                <c:pt idx="7" formatCode="0.0">
                  <c:v>77.5</c:v>
                </c:pt>
                <c:pt idx="8" formatCode="0.0">
                  <c:v>75.900000000000006</c:v>
                </c:pt>
              </c:numCache>
            </c:numRef>
          </c:val>
          <c:smooth val="1"/>
          <c:extLst>
            <c:ext xmlns:c16="http://schemas.microsoft.com/office/drawing/2014/chart" uri="{C3380CC4-5D6E-409C-BE32-E72D297353CC}">
              <c16:uniqueId val="{00000004-1789-4202-964A-7A46F4B21FCB}"/>
            </c:ext>
          </c:extLst>
        </c:ser>
        <c:ser>
          <c:idx val="1"/>
          <c:order val="1"/>
          <c:tx>
            <c:strRef>
              <c:f>Pivot!$B$37</c:f>
              <c:strCache>
                <c:ptCount val="1"/>
                <c:pt idx="0">
                  <c:v>Science Gap-Narrowing Targets</c:v>
                </c:pt>
              </c:strCache>
            </c:strRef>
          </c:tx>
          <c:spPr>
            <a:ln>
              <a:prstDash val="sysDash"/>
            </a:ln>
          </c:spPr>
          <c:marker>
            <c:symbol val="none"/>
          </c:marker>
          <c:dLbls>
            <c:dLbl>
              <c:idx val="6"/>
              <c:layout>
                <c:manualLayout>
                  <c:x val="-5.4294731158657225E-2"/>
                  <c:y val="-5.3523686377438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89-4202-964A-7A46F4B21FCB}"/>
                </c:ext>
              </c:extLst>
            </c:dLbl>
            <c:dLbl>
              <c:idx val="7"/>
              <c:layout>
                <c:manualLayout>
                  <c:x val="-4.5884795872710424E-2"/>
                  <c:y val="-5.7608975348669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89-4202-964A-7A46F4B21FCB}"/>
                </c:ext>
              </c:extLst>
            </c:dLbl>
            <c:dLbl>
              <c:idx val="8"/>
              <c:layout>
                <c:manualLayout>
                  <c:x val="-4.5884575133707126E-2"/>
                  <c:y val="-6.1693299366990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89-4202-964A-7A46F4B21FCB}"/>
                </c:ext>
              </c:extLst>
            </c:dLbl>
            <c:dLbl>
              <c:idx val="9"/>
              <c:layout>
                <c:manualLayout>
                  <c:x val="-3.1867869164460952E-2"/>
                  <c:y val="-4.53534300859456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89-4202-964A-7A46F4B21FCB}"/>
                </c:ext>
              </c:extLst>
            </c:dLbl>
            <c:spPr>
              <a:noFill/>
              <a:ln>
                <a:noFill/>
              </a:ln>
              <a:effectLst/>
            </c:spPr>
            <c:txPr>
              <a:bodyPr/>
              <a:lstStyle/>
              <a:p>
                <a:pPr>
                  <a:defRPr>
                    <a:solidFill>
                      <a:schemeClr val="tx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Pivot!$B$37</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Pivot!$B$37</c:f>
              <c:numCache>
                <c:formatCode>General</c:formatCode>
                <c:ptCount val="10"/>
                <c:pt idx="4" formatCode="0.0">
                  <c:v>62.4</c:v>
                </c:pt>
                <c:pt idx="5" formatCode="0.0">
                  <c:v>65.8</c:v>
                </c:pt>
                <c:pt idx="6" formatCode="0.0">
                  <c:v>69.3</c:v>
                </c:pt>
                <c:pt idx="7" formatCode="0.0">
                  <c:v>72.7</c:v>
                </c:pt>
                <c:pt idx="8" formatCode="0.0">
                  <c:v>76.099999999999994</c:v>
                </c:pt>
                <c:pt idx="9" formatCode="0.0">
                  <c:v>79.5</c:v>
                </c:pt>
              </c:numCache>
            </c:numRef>
          </c:val>
          <c:smooth val="0"/>
          <c:extLst>
            <c:ext xmlns:c16="http://schemas.microsoft.com/office/drawing/2014/chart" uri="{C3380CC4-5D6E-409C-BE32-E72D297353CC}">
              <c16:uniqueId val="{00000009-1789-4202-964A-7A46F4B21FCB}"/>
            </c:ext>
          </c:extLst>
        </c:ser>
        <c:dLbls>
          <c:showLegendKey val="0"/>
          <c:showVal val="0"/>
          <c:showCatName val="0"/>
          <c:showSerName val="0"/>
          <c:showPercent val="0"/>
          <c:showBubbleSize val="0"/>
        </c:dLbls>
        <c:smooth val="0"/>
        <c:axId val="70701056"/>
        <c:axId val="70702592"/>
      </c:lineChart>
      <c:catAx>
        <c:axId val="70701056"/>
        <c:scaling>
          <c:orientation val="minMax"/>
        </c:scaling>
        <c:delete val="0"/>
        <c:axPos val="b"/>
        <c:numFmt formatCode="General" sourceLinked="0"/>
        <c:majorTickMark val="none"/>
        <c:minorTickMark val="none"/>
        <c:tickLblPos val="nextTo"/>
        <c:txPr>
          <a:bodyPr rot="-1260000"/>
          <a:lstStyle/>
          <a:p>
            <a:pPr>
              <a:defRPr/>
            </a:pPr>
            <a:endParaRPr lang="en-US"/>
          </a:p>
        </c:txPr>
        <c:crossAx val="70702592"/>
        <c:crosses val="autoZero"/>
        <c:auto val="1"/>
        <c:lblAlgn val="ctr"/>
        <c:lblOffset val="100"/>
        <c:noMultiLvlLbl val="0"/>
      </c:catAx>
      <c:valAx>
        <c:axId val="70702592"/>
        <c:scaling>
          <c:orientation val="minMax"/>
          <c:max val="100"/>
          <c:min val="30"/>
        </c:scaling>
        <c:delete val="0"/>
        <c:axPos val="l"/>
        <c:majorGridlines>
          <c:spPr>
            <a:ln>
              <a:solidFill>
                <a:schemeClr val="bg1">
                  <a:lumMod val="85000"/>
                </a:schemeClr>
              </a:solidFill>
            </a:ln>
          </c:spPr>
        </c:majorGridlines>
        <c:title>
          <c:tx>
            <c:rich>
              <a:bodyPr/>
              <a:lstStyle/>
              <a:p>
                <a:pPr>
                  <a:defRPr sz="1100"/>
                </a:pPr>
                <a:r>
                  <a:rPr lang="en-US" sz="1100"/>
                  <a:t>CPI</a:t>
                </a:r>
              </a:p>
            </c:rich>
          </c:tx>
          <c:overlay val="0"/>
        </c:title>
        <c:numFmt formatCode="0" sourceLinked="0"/>
        <c:majorTickMark val="none"/>
        <c:minorTickMark val="none"/>
        <c:tickLblPos val="nextTo"/>
        <c:crossAx val="70701056"/>
        <c:crosses val="autoZero"/>
        <c:crossBetween val="between"/>
        <c:majorUnit val="10"/>
      </c:valAx>
    </c:plotArea>
    <c:legend>
      <c:legendPos val="b"/>
      <c:legendEntry>
        <c:idx val="1"/>
        <c:delete val="1"/>
      </c:legendEntry>
      <c:overlay val="0"/>
      <c:txPr>
        <a:bodyPr/>
        <a:lstStyle/>
        <a:p>
          <a:pPr>
            <a:defRPr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DESE-231-43333</_dlc_DocId>
    <_dlc_DocIdUrl xmlns="733efe1c-5bbe-4968-87dc-d400e65c879f">
      <Url>https://sharepoint.doemass.org/ese/webteam/cps/_layouts/DocIdRedir.aspx?ID=DESE-231-43333</Url>
      <Description>DESE-231-43333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00A9-FD9B-49E4-BD7E-DEBA94045E13}">
  <ds:schemaRefs>
    <ds:schemaRef ds:uri="http://schemas.microsoft.com/sharepoint/v3/contenttype/forms"/>
  </ds:schemaRefs>
</ds:datastoreItem>
</file>

<file path=customXml/itemProps2.xml><?xml version="1.0" encoding="utf-8"?>
<ds:datastoreItem xmlns:ds="http://schemas.openxmlformats.org/officeDocument/2006/customXml" ds:itemID="{C509C9DE-BBE9-4604-A0D1-07571466F8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E66E21-E57D-4F6E-8CF9-5A0D1797F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0F1FD-87F6-413D-BDC6-8015AB75F5F4}">
  <ds:schemaRefs>
    <ds:schemaRef ds:uri="http://schemas.microsoft.com/sharepoint/events"/>
  </ds:schemaRefs>
</ds:datastoreItem>
</file>

<file path=customXml/itemProps5.xml><?xml version="1.0" encoding="utf-8"?>
<ds:datastoreItem xmlns:ds="http://schemas.openxmlformats.org/officeDocument/2006/customXml" ds:itemID="{10D6DD14-5B60-40C2-9318-7C3DA41F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MLK report on probation BESE memo</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MLK report on probation BESE memo</dc:title>
  <dc:creator>DESE</dc:creator>
  <cp:lastModifiedBy>Zou, Dong (EOE)</cp:lastModifiedBy>
  <cp:revision>2</cp:revision>
  <cp:lastPrinted>2008-03-05T18:17:00Z</cp:lastPrinted>
  <dcterms:created xsi:type="dcterms:W3CDTF">2018-07-12T20:11:00Z</dcterms:created>
  <dcterms:modified xsi:type="dcterms:W3CDTF">2018-07-16T16:20:00Z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2018</vt:lpwstr>
  </property>
</Properties>
</file>