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E1CC8" w14:textId="77777777" w:rsidR="00CA19B4" w:rsidRPr="00200779" w:rsidRDefault="0091198A"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2F62C5F7" w14:textId="77777777" w:rsidR="00CA19B4" w:rsidRDefault="00AA34ED" w:rsidP="00CA19B4">
      <w:pPr>
        <w:jc w:val="center"/>
        <w:rPr>
          <w:rFonts w:ascii="Times New Roman" w:hAnsi="Times New Roman" w:cs="Times New Roman"/>
          <w:sz w:val="24"/>
          <w:szCs w:val="24"/>
        </w:rPr>
      </w:pPr>
    </w:p>
    <w:p w14:paraId="7B515162" w14:textId="77777777" w:rsidR="00CA19B4" w:rsidRDefault="0091198A"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79AC0B15" w14:textId="77777777" w:rsidR="00CA19B4" w:rsidRDefault="00AA34ED" w:rsidP="00CA19B4">
      <w:pPr>
        <w:rPr>
          <w:rFonts w:ascii="Times New Roman" w:hAnsi="Times New Roman" w:cs="Times New Roman"/>
          <w:sz w:val="20"/>
          <w:szCs w:val="20"/>
        </w:rPr>
      </w:pPr>
    </w:p>
    <w:p w14:paraId="58320B34" w14:textId="77777777" w:rsidR="00CA19B4" w:rsidRDefault="00AA34ED" w:rsidP="00CA19B4">
      <w:pPr>
        <w:rPr>
          <w:rFonts w:ascii="Times New Roman" w:hAnsi="Times New Roman" w:cs="Times New Roman"/>
          <w:sz w:val="20"/>
          <w:szCs w:val="20"/>
        </w:rPr>
      </w:pPr>
    </w:p>
    <w:p w14:paraId="12E4BD5C" w14:textId="77777777" w:rsidR="00CA19B4" w:rsidRPr="00B63138" w:rsidRDefault="0091198A"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Medway School Committee</w:t>
      </w:r>
      <w:bookmarkEnd w:id="0"/>
    </w:p>
    <w:p w14:paraId="6C412260" w14:textId="77777777" w:rsidR="00CA19B4" w:rsidRDefault="00AA34ED" w:rsidP="00CA19B4">
      <w:pPr>
        <w:rPr>
          <w:rFonts w:ascii="Times New Roman" w:hAnsi="Times New Roman" w:cs="Times New Roman"/>
          <w:sz w:val="20"/>
          <w:szCs w:val="20"/>
        </w:rPr>
      </w:pPr>
    </w:p>
    <w:p w14:paraId="19D0A04F" w14:textId="77777777" w:rsidR="00CA19B4" w:rsidRDefault="0091198A"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02/08/2022</w:t>
      </w:r>
      <w:bookmarkEnd w:id="1"/>
    </w:p>
    <w:p w14:paraId="73A2ABAC" w14:textId="77777777" w:rsidR="00CA19B4" w:rsidRDefault="00AA34ED" w:rsidP="00CA19B4">
      <w:pPr>
        <w:rPr>
          <w:rFonts w:ascii="Times New Roman" w:hAnsi="Times New Roman" w:cs="Times New Roman"/>
          <w:sz w:val="20"/>
          <w:szCs w:val="20"/>
        </w:rPr>
      </w:pPr>
    </w:p>
    <w:p w14:paraId="42A0CF6F" w14:textId="77777777" w:rsidR="00CA19B4" w:rsidRDefault="0091198A"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02/08/2022</w:t>
      </w:r>
      <w:bookmarkEnd w:id="2"/>
    </w:p>
    <w:p w14:paraId="2E42A92C" w14:textId="77777777" w:rsidR="00CA19B4" w:rsidRDefault="0091198A"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4E60BA46" w14:textId="77777777" w:rsidR="00CA19B4" w:rsidRDefault="00AA34ED" w:rsidP="00CA19B4">
      <w:pPr>
        <w:pBdr>
          <w:bottom w:val="single" w:sz="12" w:space="1" w:color="auto"/>
        </w:pBdr>
        <w:rPr>
          <w:rFonts w:ascii="Times New Roman" w:hAnsi="Times New Roman" w:cs="Times New Roman"/>
          <w:sz w:val="20"/>
          <w:szCs w:val="20"/>
        </w:rPr>
      </w:pPr>
    </w:p>
    <w:p w14:paraId="6FD6FF98" w14:textId="77777777" w:rsidR="00CA19B4" w:rsidRDefault="0091198A"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26186733" w14:textId="77777777" w:rsidR="00CA19B4" w:rsidRDefault="00AA34ED" w:rsidP="00CA19B4">
      <w:pPr>
        <w:rPr>
          <w:rFonts w:ascii="Times New Roman" w:hAnsi="Times New Roman" w:cs="Times New Roman"/>
          <w:sz w:val="20"/>
          <w:szCs w:val="20"/>
        </w:rPr>
      </w:pPr>
    </w:p>
    <w:p w14:paraId="113BE878" w14:textId="77777777" w:rsidR="00CA19B4" w:rsidRPr="00223718" w:rsidRDefault="0091198A"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42520E5F" w14:textId="77777777" w:rsidR="00CA19B4" w:rsidRDefault="00AA34ED" w:rsidP="00CA19B4">
      <w:pPr>
        <w:rPr>
          <w:rFonts w:ascii="Times New Roman" w:hAnsi="Times New Roman" w:cs="Times New Roman"/>
          <w:sz w:val="20"/>
          <w:szCs w:val="20"/>
        </w:rPr>
      </w:pPr>
    </w:p>
    <w:p w14:paraId="60FE36FD" w14:textId="77777777" w:rsidR="00CA19B4" w:rsidRDefault="0091198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13907802" w14:textId="77777777" w:rsidR="00CA19B4" w:rsidRDefault="00AA34ED" w:rsidP="00CA19B4">
      <w:pPr>
        <w:ind w:left="720"/>
        <w:rPr>
          <w:rFonts w:ascii="Times New Roman" w:hAnsi="Times New Roman" w:cs="Times New Roman"/>
          <w:sz w:val="20"/>
          <w:szCs w:val="20"/>
        </w:rPr>
      </w:pPr>
    </w:p>
    <w:bookmarkStart w:id="3" w:name="CHK_SBP"/>
    <w:p w14:paraId="28588E04" w14:textId="77777777" w:rsidR="00CA19B4" w:rsidRDefault="0091198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AA34ED">
        <w:rPr>
          <w:rFonts w:ascii="Times New Roman" w:hAnsi="Times New Roman" w:cs="Times New Roman"/>
          <w:sz w:val="20"/>
          <w:szCs w:val="20"/>
        </w:rPr>
      </w:r>
      <w:r w:rsidR="00AA34E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684CE626" w14:textId="77777777" w:rsidR="00CA19B4" w:rsidRDefault="0091198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AA34ED">
        <w:rPr>
          <w:rFonts w:ascii="Times New Roman" w:hAnsi="Times New Roman" w:cs="Times New Roman"/>
          <w:sz w:val="20"/>
          <w:szCs w:val="20"/>
        </w:rPr>
      </w:r>
      <w:r w:rsidR="00AA34E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69263092" w14:textId="77777777" w:rsidR="00CA19B4" w:rsidRDefault="0091198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A34ED">
        <w:rPr>
          <w:rFonts w:ascii="Times New Roman" w:hAnsi="Times New Roman" w:cs="Times New Roman"/>
          <w:sz w:val="20"/>
          <w:szCs w:val="20"/>
        </w:rPr>
      </w:r>
      <w:r w:rsidR="00AA34E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79223909" w14:textId="77777777" w:rsidR="00CA19B4" w:rsidRDefault="0091198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A34ED">
        <w:rPr>
          <w:rFonts w:ascii="Times New Roman" w:hAnsi="Times New Roman" w:cs="Times New Roman"/>
          <w:sz w:val="20"/>
          <w:szCs w:val="20"/>
        </w:rPr>
      </w:r>
      <w:r w:rsidR="00AA34E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30F312F8" w14:textId="77777777" w:rsidR="00CA19B4" w:rsidRDefault="0091198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A34ED">
        <w:rPr>
          <w:rFonts w:ascii="Times New Roman" w:hAnsi="Times New Roman" w:cs="Times New Roman"/>
          <w:sz w:val="20"/>
          <w:szCs w:val="20"/>
        </w:rPr>
      </w:r>
      <w:r w:rsidR="00AA34E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782B81F1" w14:textId="77777777" w:rsidR="00CA19B4" w:rsidRDefault="0091198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A34ED">
        <w:rPr>
          <w:rFonts w:ascii="Times New Roman" w:hAnsi="Times New Roman" w:cs="Times New Roman"/>
          <w:sz w:val="20"/>
          <w:szCs w:val="20"/>
        </w:rPr>
      </w:r>
      <w:r w:rsidR="00AA34E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3824F030" w14:textId="77777777" w:rsidR="00CA19B4" w:rsidRDefault="00AA34ED" w:rsidP="00CA19B4">
      <w:pPr>
        <w:rPr>
          <w:rFonts w:ascii="Times New Roman" w:hAnsi="Times New Roman" w:cs="Times New Roman"/>
          <w:sz w:val="20"/>
          <w:szCs w:val="20"/>
        </w:rPr>
      </w:pPr>
    </w:p>
    <w:p w14:paraId="7C1F422B" w14:textId="77777777" w:rsidR="00CA19B4" w:rsidRDefault="0091198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563A5891" w14:textId="77777777" w:rsidR="00CA19B4" w:rsidRDefault="00AA34ED" w:rsidP="00CA19B4">
      <w:pPr>
        <w:ind w:left="720"/>
        <w:rPr>
          <w:rFonts w:ascii="Times New Roman" w:hAnsi="Times New Roman" w:cs="Times New Roman"/>
          <w:sz w:val="20"/>
          <w:szCs w:val="20"/>
        </w:rPr>
      </w:pPr>
    </w:p>
    <w:bookmarkStart w:id="9" w:name="CHK_CEP"/>
    <w:p w14:paraId="176490B7" w14:textId="77777777" w:rsidR="00CA19B4" w:rsidRDefault="0091198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A34ED">
        <w:rPr>
          <w:rFonts w:ascii="Times New Roman" w:hAnsi="Times New Roman" w:cs="Times New Roman"/>
          <w:sz w:val="20"/>
          <w:szCs w:val="20"/>
        </w:rPr>
      </w:r>
      <w:r w:rsidR="00AA34E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08106E63" w14:textId="77777777" w:rsidR="00CA19B4" w:rsidRDefault="0091198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A34ED">
        <w:rPr>
          <w:rFonts w:ascii="Times New Roman" w:hAnsi="Times New Roman" w:cs="Times New Roman"/>
          <w:sz w:val="20"/>
          <w:szCs w:val="20"/>
        </w:rPr>
      </w:r>
      <w:r w:rsidR="00AA34E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79677E63" w14:textId="77777777" w:rsidR="00CA19B4" w:rsidRDefault="0091198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A34ED">
        <w:rPr>
          <w:rFonts w:ascii="Times New Roman" w:hAnsi="Times New Roman" w:cs="Times New Roman"/>
          <w:sz w:val="20"/>
          <w:szCs w:val="20"/>
        </w:rPr>
      </w:r>
      <w:r w:rsidR="00AA34E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1268A589" w14:textId="77777777" w:rsidR="00CA19B4" w:rsidRDefault="0091198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AA34ED">
        <w:rPr>
          <w:rFonts w:ascii="Times New Roman" w:hAnsi="Times New Roman" w:cs="Times New Roman"/>
          <w:sz w:val="20"/>
          <w:szCs w:val="20"/>
        </w:rPr>
      </w:r>
      <w:r w:rsidR="00AA34E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53A33F20" w14:textId="77777777" w:rsidR="00CA19B4" w:rsidRDefault="00AA34ED" w:rsidP="00CA19B4">
      <w:pPr>
        <w:rPr>
          <w:rFonts w:ascii="Times New Roman" w:hAnsi="Times New Roman" w:cs="Times New Roman"/>
          <w:sz w:val="20"/>
          <w:szCs w:val="20"/>
        </w:rPr>
      </w:pPr>
    </w:p>
    <w:p w14:paraId="38B99DF8" w14:textId="77777777" w:rsidR="00CA19B4" w:rsidRPr="00D6151F" w:rsidRDefault="0091198A"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43EE09C9" w14:textId="77777777" w:rsidR="00CA19B4" w:rsidRDefault="00AA34ED" w:rsidP="00CA19B4">
      <w:pPr>
        <w:rPr>
          <w:rFonts w:ascii="Times New Roman" w:hAnsi="Times New Roman" w:cs="Times New Roman"/>
          <w:sz w:val="20"/>
          <w:szCs w:val="20"/>
        </w:rPr>
      </w:pPr>
    </w:p>
    <w:p w14:paraId="1DFA43EE" w14:textId="77777777" w:rsidR="00CA19B4" w:rsidRDefault="0091198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250CC81F" w14:textId="77777777" w:rsidR="00CA19B4" w:rsidRDefault="0091198A"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AA34ED">
        <w:rPr>
          <w:rFonts w:ascii="MS Gothic" w:eastAsia="MS Gothic" w:hAnsi="Times New Roman" w:cs="Times New Roman"/>
          <w:sz w:val="20"/>
          <w:szCs w:val="20"/>
        </w:rPr>
      </w:r>
      <w:r w:rsidR="00AA34ED">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AA34ED">
        <w:rPr>
          <w:rFonts w:ascii="MS Gothic" w:eastAsia="MS Gothic" w:hAnsi="Times New Roman" w:cs="Times New Roman"/>
          <w:sz w:val="20"/>
          <w:szCs w:val="20"/>
        </w:rPr>
      </w:r>
      <w:r w:rsidR="00AA34ED">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76660BC0" w14:textId="77777777" w:rsidR="00CA19B4" w:rsidRDefault="00AA34ED" w:rsidP="00CA19B4">
      <w:pPr>
        <w:ind w:firstLine="720"/>
        <w:rPr>
          <w:rFonts w:ascii="Times New Roman" w:hAnsi="Times New Roman" w:cs="Times New Roman"/>
          <w:sz w:val="20"/>
          <w:szCs w:val="20"/>
        </w:rPr>
      </w:pPr>
    </w:p>
    <w:p w14:paraId="43DDB152" w14:textId="77777777" w:rsidR="00CA19B4" w:rsidRDefault="0091198A"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2AE87846" w14:textId="77777777" w:rsidR="006D68B7" w:rsidRDefault="00AA34ED">
      <w:pPr>
        <w:sectPr w:rsidR="006D68B7" w:rsidSect="005B420A">
          <w:footerReference w:type="default" r:id="rId10"/>
          <w:pgSz w:w="12240" w:h="15840"/>
          <w:pgMar w:top="1440" w:right="1440" w:bottom="1440" w:left="1440" w:header="720" w:footer="720" w:gutter="0"/>
          <w:cols w:space="720"/>
        </w:sectPr>
      </w:pPr>
    </w:p>
    <w:p w14:paraId="335AD4F8" w14:textId="77777777" w:rsidR="00A53CEA" w:rsidRDefault="00AA34ED" w:rsidP="00A53CEA">
      <w:pPr>
        <w:pStyle w:val="Normal0"/>
        <w:ind w:firstLine="720"/>
        <w:rPr>
          <w:rFonts w:ascii="Times New Roman" w:hAnsi="Times New Roman" w:cs="Times New Roman"/>
          <w:sz w:val="20"/>
          <w:szCs w:val="20"/>
        </w:rPr>
      </w:pPr>
    </w:p>
    <w:p w14:paraId="3EA90922" w14:textId="77777777" w:rsidR="00A53CEA" w:rsidRPr="00C61944" w:rsidRDefault="0091198A"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BA2DC0" w14:paraId="4E1ED8C7" w14:textId="77777777" w:rsidTr="008175F8">
        <w:trPr>
          <w:trHeight w:val="37"/>
        </w:trPr>
        <w:tc>
          <w:tcPr>
            <w:tcW w:w="8545" w:type="dxa"/>
            <w:shd w:val="clear" w:color="auto" w:fill="31849B" w:themeFill="accent5" w:themeFillShade="BF"/>
          </w:tcPr>
          <w:p w14:paraId="75D02B6D" w14:textId="77777777" w:rsidR="00A53CEA" w:rsidRPr="005B0132" w:rsidRDefault="0091198A" w:rsidP="008175F8">
            <w:pPr>
              <w:pStyle w:val="Normal0"/>
              <w:rPr>
                <w:rFonts w:asciiTheme="minorHAnsi" w:hAnsiTheme="minorHAnsi" w:cstheme="minorHAnsi"/>
                <w:b/>
                <w:i/>
                <w:color w:val="DBE5F1" w:themeColor="accent1" w:themeTint="33"/>
                <w:sz w:val="32"/>
                <w:szCs w:val="20"/>
              </w:rPr>
            </w:pPr>
            <w:r>
              <w:t>Program Access and Reimbursement</w:t>
            </w:r>
          </w:p>
        </w:tc>
      </w:tr>
      <w:tr w:rsidR="00BA2DC0" w14:paraId="11F54799" w14:textId="77777777" w:rsidTr="008175F8">
        <w:trPr>
          <w:trHeight w:val="37"/>
        </w:trPr>
        <w:tc>
          <w:tcPr>
            <w:tcW w:w="8545" w:type="dxa"/>
            <w:shd w:val="clear" w:color="auto" w:fill="D9D9D9" w:themeFill="background1" w:themeFillShade="D9"/>
          </w:tcPr>
          <w:p w14:paraId="106F1E97" w14:textId="77777777" w:rsidR="00A53CEA" w:rsidRPr="0076532F" w:rsidRDefault="0091198A" w:rsidP="008175F8">
            <w:pPr>
              <w:pStyle w:val="Normal0"/>
              <w:rPr>
                <w:rFonts w:ascii="Times New Roman" w:hAnsi="Times New Roman" w:cs="Times New Roman"/>
                <w:b/>
                <w:sz w:val="20"/>
                <w:szCs w:val="20"/>
              </w:rPr>
            </w:pPr>
            <w:r>
              <w:t>Verification</w:t>
            </w:r>
          </w:p>
        </w:tc>
      </w:tr>
      <w:tr w:rsidR="00BA2DC0" w14:paraId="688A5142" w14:textId="77777777" w:rsidTr="008175F8">
        <w:trPr>
          <w:trHeight w:val="37"/>
        </w:trPr>
        <w:tc>
          <w:tcPr>
            <w:tcW w:w="8545" w:type="dxa"/>
            <w:shd w:val="clear" w:color="auto" w:fill="auto"/>
          </w:tcPr>
          <w:p w14:paraId="09C869AA" w14:textId="77777777" w:rsidR="00A53CEA" w:rsidRPr="005B0132" w:rsidRDefault="0091198A" w:rsidP="00A53CEA">
            <w:pPr>
              <w:pStyle w:val="ListParagraph"/>
              <w:numPr>
                <w:ilvl w:val="0"/>
                <w:numId w:val="2"/>
              </w:numPr>
              <w:ind w:left="540"/>
              <w:rPr>
                <w:rFonts w:ascii="Times New Roman" w:hAnsi="Times New Roman" w:cs="Times New Roman"/>
                <w:sz w:val="20"/>
                <w:szCs w:val="20"/>
              </w:rPr>
            </w:pPr>
            <w:r>
              <w:t xml:space="preserve">The SFA did not complete the annual verification process. The local educational agency must verify eligibility of children in a sample of household applications approved for free and </w:t>
            </w:r>
            <w:proofErr w:type="gramStart"/>
            <w:r>
              <w:t>reduced price</w:t>
            </w:r>
            <w:proofErr w:type="gramEnd"/>
            <w:r>
              <w:t xml:space="preserve"> meal benefits for that school year.</w:t>
            </w:r>
          </w:p>
        </w:tc>
      </w:tr>
      <w:tr w:rsidR="00BA2DC0" w14:paraId="76560967" w14:textId="77777777" w:rsidTr="008175F8">
        <w:trPr>
          <w:trHeight w:val="37"/>
        </w:trPr>
        <w:tc>
          <w:tcPr>
            <w:tcW w:w="8545" w:type="dxa"/>
            <w:shd w:val="clear" w:color="auto" w:fill="31849B" w:themeFill="accent5" w:themeFillShade="BF"/>
          </w:tcPr>
          <w:p w14:paraId="1D5C3B27" w14:textId="77777777" w:rsidR="00A53CEA" w:rsidRPr="005B0132" w:rsidRDefault="0091198A" w:rsidP="008175F8">
            <w:pPr>
              <w:pStyle w:val="Normal0"/>
              <w:rPr>
                <w:rFonts w:asciiTheme="minorHAnsi" w:hAnsiTheme="minorHAnsi" w:cstheme="minorHAnsi"/>
                <w:b/>
                <w:i/>
                <w:color w:val="DBE5F1" w:themeColor="accent1" w:themeTint="33"/>
                <w:sz w:val="32"/>
                <w:szCs w:val="20"/>
              </w:rPr>
            </w:pPr>
            <w:r>
              <w:t>Meal Patterns and Nutritional Quality</w:t>
            </w:r>
          </w:p>
        </w:tc>
      </w:tr>
      <w:tr w:rsidR="00BA2DC0" w14:paraId="4FACA5F6" w14:textId="77777777" w:rsidTr="008175F8">
        <w:trPr>
          <w:trHeight w:val="37"/>
        </w:trPr>
        <w:tc>
          <w:tcPr>
            <w:tcW w:w="8545" w:type="dxa"/>
            <w:shd w:val="clear" w:color="auto" w:fill="D9D9D9" w:themeFill="background1" w:themeFillShade="D9"/>
          </w:tcPr>
          <w:p w14:paraId="5DB3A422" w14:textId="77777777" w:rsidR="00A53CEA" w:rsidRPr="0076532F" w:rsidRDefault="0091198A" w:rsidP="008175F8">
            <w:pPr>
              <w:pStyle w:val="Normal0"/>
              <w:rPr>
                <w:rFonts w:ascii="Times New Roman" w:hAnsi="Times New Roman" w:cs="Times New Roman"/>
                <w:b/>
                <w:sz w:val="20"/>
                <w:szCs w:val="20"/>
              </w:rPr>
            </w:pPr>
            <w:r>
              <w:t>Meal Components and Quantities</w:t>
            </w:r>
          </w:p>
        </w:tc>
      </w:tr>
      <w:tr w:rsidR="00BA2DC0" w14:paraId="7B8A77FC" w14:textId="77777777" w:rsidTr="008175F8">
        <w:trPr>
          <w:trHeight w:val="37"/>
        </w:trPr>
        <w:tc>
          <w:tcPr>
            <w:tcW w:w="8545" w:type="dxa"/>
            <w:shd w:val="clear" w:color="auto" w:fill="auto"/>
          </w:tcPr>
          <w:p w14:paraId="2D67A0A4" w14:textId="77777777" w:rsidR="00A53CEA" w:rsidRPr="005B0132" w:rsidRDefault="0091198A" w:rsidP="00A53CEA">
            <w:pPr>
              <w:pStyle w:val="ListParagraph"/>
              <w:numPr>
                <w:ilvl w:val="0"/>
                <w:numId w:val="2"/>
              </w:numPr>
              <w:ind w:left="540"/>
              <w:rPr>
                <w:rFonts w:ascii="Times New Roman" w:hAnsi="Times New Roman" w:cs="Times New Roman"/>
                <w:sz w:val="20"/>
                <w:szCs w:val="20"/>
              </w:rPr>
            </w:pPr>
            <w:r>
              <w:t>Production records did not show planned menu quantities met meal pattern requirements for the review period. SFA's must keep production and menu records for the meals they produce. These records must show how the meals offered contribute to the required food components and food quantities for each age/grade group every day. Production and menu records must be maintained in accordance with FNS guidance.</w:t>
            </w:r>
          </w:p>
        </w:tc>
      </w:tr>
      <w:tr w:rsidR="00BA2DC0" w14:paraId="07304829" w14:textId="77777777" w:rsidTr="008175F8">
        <w:trPr>
          <w:trHeight w:val="37"/>
        </w:trPr>
        <w:tc>
          <w:tcPr>
            <w:tcW w:w="8545" w:type="dxa"/>
            <w:shd w:val="clear" w:color="auto" w:fill="31849B" w:themeFill="accent5" w:themeFillShade="BF"/>
          </w:tcPr>
          <w:p w14:paraId="0A29F889" w14:textId="77777777" w:rsidR="00A53CEA" w:rsidRPr="005B0132" w:rsidRDefault="0091198A" w:rsidP="008175F8">
            <w:pPr>
              <w:pStyle w:val="Normal0"/>
              <w:rPr>
                <w:rFonts w:asciiTheme="minorHAnsi" w:hAnsiTheme="minorHAnsi" w:cstheme="minorHAnsi"/>
                <w:b/>
                <w:i/>
                <w:color w:val="DBE5F1" w:themeColor="accent1" w:themeTint="33"/>
                <w:sz w:val="32"/>
                <w:szCs w:val="20"/>
              </w:rPr>
            </w:pPr>
            <w:r>
              <w:t>School Nutrition Environment</w:t>
            </w:r>
          </w:p>
        </w:tc>
      </w:tr>
      <w:tr w:rsidR="00BA2DC0" w14:paraId="3E873485" w14:textId="77777777" w:rsidTr="008175F8">
        <w:trPr>
          <w:trHeight w:val="37"/>
        </w:trPr>
        <w:tc>
          <w:tcPr>
            <w:tcW w:w="8545" w:type="dxa"/>
            <w:shd w:val="clear" w:color="auto" w:fill="D9D9D9" w:themeFill="background1" w:themeFillShade="D9"/>
          </w:tcPr>
          <w:p w14:paraId="624CFCB2" w14:textId="77777777" w:rsidR="00A53CEA" w:rsidRPr="0076532F" w:rsidRDefault="0091198A" w:rsidP="008175F8">
            <w:pPr>
              <w:pStyle w:val="Normal0"/>
              <w:rPr>
                <w:rFonts w:ascii="Times New Roman" w:hAnsi="Times New Roman" w:cs="Times New Roman"/>
                <w:b/>
                <w:sz w:val="20"/>
                <w:szCs w:val="20"/>
              </w:rPr>
            </w:pPr>
            <w:r>
              <w:t>Local School Wellness Policy</w:t>
            </w:r>
          </w:p>
        </w:tc>
      </w:tr>
      <w:tr w:rsidR="00BA2DC0" w14:paraId="0AAA1B86" w14:textId="77777777" w:rsidTr="008175F8">
        <w:trPr>
          <w:trHeight w:val="37"/>
        </w:trPr>
        <w:tc>
          <w:tcPr>
            <w:tcW w:w="8545" w:type="dxa"/>
            <w:shd w:val="clear" w:color="auto" w:fill="auto"/>
          </w:tcPr>
          <w:p w14:paraId="63F6B5D2" w14:textId="77777777" w:rsidR="00A53CEA" w:rsidRPr="005B0132" w:rsidRDefault="0091198A" w:rsidP="00A53CEA">
            <w:pPr>
              <w:pStyle w:val="ListParagraph"/>
              <w:numPr>
                <w:ilvl w:val="0"/>
                <w:numId w:val="2"/>
              </w:numPr>
              <w:ind w:left="540"/>
              <w:rPr>
                <w:rFonts w:ascii="Times New Roman" w:hAnsi="Times New Roman" w:cs="Times New Roman"/>
                <w:sz w:val="20"/>
                <w:szCs w:val="20"/>
              </w:rPr>
            </w:pPr>
            <w:r>
              <w:t>The SFA has not maintained meeting minutes. Meeting minutes must be maintained on file and should list who is on the wellness committee and content being discussed.</w:t>
            </w:r>
          </w:p>
        </w:tc>
      </w:tr>
      <w:tr w:rsidR="00BA2DC0" w14:paraId="6EEA4289" w14:textId="77777777" w:rsidTr="008175F8">
        <w:trPr>
          <w:trHeight w:val="37"/>
        </w:trPr>
        <w:tc>
          <w:tcPr>
            <w:tcW w:w="8545" w:type="dxa"/>
            <w:shd w:val="clear" w:color="auto" w:fill="31849B" w:themeFill="accent5" w:themeFillShade="BF"/>
          </w:tcPr>
          <w:p w14:paraId="3AEE9C2D" w14:textId="77777777" w:rsidR="00A53CEA" w:rsidRPr="005B0132" w:rsidRDefault="0091198A" w:rsidP="008175F8">
            <w:pPr>
              <w:pStyle w:val="Normal0"/>
              <w:rPr>
                <w:rFonts w:asciiTheme="minorHAnsi" w:hAnsiTheme="minorHAnsi" w:cstheme="minorHAnsi"/>
                <w:b/>
                <w:i/>
                <w:color w:val="DBE5F1" w:themeColor="accent1" w:themeTint="33"/>
                <w:sz w:val="32"/>
                <w:szCs w:val="20"/>
              </w:rPr>
            </w:pPr>
            <w:r>
              <w:t>Civil Rights</w:t>
            </w:r>
          </w:p>
        </w:tc>
      </w:tr>
      <w:tr w:rsidR="00BA2DC0" w14:paraId="35DE6CF8" w14:textId="77777777" w:rsidTr="008175F8">
        <w:trPr>
          <w:trHeight w:val="37"/>
        </w:trPr>
        <w:tc>
          <w:tcPr>
            <w:tcW w:w="8545" w:type="dxa"/>
            <w:shd w:val="clear" w:color="auto" w:fill="auto"/>
          </w:tcPr>
          <w:p w14:paraId="2C0779F5" w14:textId="77777777" w:rsidR="00A53CEA" w:rsidRPr="005B0132" w:rsidRDefault="0091198A" w:rsidP="00A53CEA">
            <w:pPr>
              <w:pStyle w:val="ListParagraph"/>
              <w:numPr>
                <w:ilvl w:val="0"/>
                <w:numId w:val="2"/>
              </w:numPr>
              <w:ind w:left="540"/>
              <w:rPr>
                <w:rFonts w:ascii="Times New Roman" w:hAnsi="Times New Roman" w:cs="Times New Roman"/>
                <w:sz w:val="20"/>
                <w:szCs w:val="20"/>
              </w:rPr>
            </w:pPr>
            <w:r>
              <w:t>The SFA did not publish a public release as required. At or near the beginning of the school year, the SFA must publish a public release to inform applicants, participants, and potentially eligible persons of the program availably, program rights and responsibilities, the policy of nondiscrimination, and the procedure for filing a complaint.</w:t>
            </w:r>
          </w:p>
        </w:tc>
      </w:tr>
    </w:tbl>
    <w:p w14:paraId="31072C14" w14:textId="77777777" w:rsidR="00A53CEA" w:rsidRPr="00223718" w:rsidRDefault="00AA34ED" w:rsidP="00A53CEA">
      <w:pPr>
        <w:pStyle w:val="Normal0"/>
        <w:rPr>
          <w:rFonts w:ascii="Times New Roman" w:hAnsi="Times New Roman" w:cs="Times New Roman"/>
          <w:sz w:val="20"/>
          <w:szCs w:val="20"/>
        </w:rPr>
      </w:pPr>
    </w:p>
    <w:p w14:paraId="7B32C7C4" w14:textId="77777777" w:rsidR="00A53CEA" w:rsidRDefault="00AA34ED" w:rsidP="00A53CEA">
      <w:pPr>
        <w:pStyle w:val="Normal0"/>
      </w:pPr>
    </w:p>
    <w:p w14:paraId="66269580" w14:textId="77777777" w:rsidR="006D68B7" w:rsidRDefault="00AA34ED">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BA2DC0" w14:paraId="12D9B90A" w14:textId="77777777" w:rsidTr="00A708A7">
        <w:trPr>
          <w:trHeight w:val="37"/>
        </w:trPr>
        <w:tc>
          <w:tcPr>
            <w:tcW w:w="8545" w:type="dxa"/>
            <w:shd w:val="clear" w:color="auto" w:fill="31849B" w:themeFill="accent5" w:themeFillShade="BF"/>
          </w:tcPr>
          <w:p w14:paraId="71422D88" w14:textId="77777777" w:rsidR="00E2351D" w:rsidRPr="00935CAD" w:rsidRDefault="0091198A" w:rsidP="00A708A7">
            <w:pPr>
              <w:pStyle w:val="Normal1"/>
              <w:rPr>
                <w:rFonts w:ascii="Times New Roman" w:hAnsi="Times New Roman" w:cs="Times New Roman"/>
                <w:b/>
                <w:i/>
                <w:color w:val="DBE5F1" w:themeColor="accent1" w:themeTint="33"/>
                <w:sz w:val="24"/>
                <w:szCs w:val="24"/>
              </w:rPr>
            </w:pPr>
            <w:r w:rsidRPr="00935CAD">
              <w:rPr>
                <w:rFonts w:ascii="Times New Roman" w:hAnsi="Times New Roman" w:cs="Times New Roman"/>
                <w:b/>
                <w:i/>
                <w:color w:val="DBE5F1" w:themeColor="accent1" w:themeTint="33"/>
                <w:sz w:val="24"/>
                <w:szCs w:val="24"/>
              </w:rPr>
              <w:lastRenderedPageBreak/>
              <w:t>Noteworthy Observations</w:t>
            </w:r>
          </w:p>
        </w:tc>
      </w:tr>
      <w:tr w:rsidR="00BA2DC0" w14:paraId="1C304D66" w14:textId="77777777" w:rsidTr="00A708A7">
        <w:trPr>
          <w:trHeight w:val="37"/>
        </w:trPr>
        <w:tc>
          <w:tcPr>
            <w:tcW w:w="8545" w:type="dxa"/>
            <w:shd w:val="clear" w:color="auto" w:fill="auto"/>
          </w:tcPr>
          <w:p w14:paraId="459C6736" w14:textId="77777777" w:rsidR="00E2351D" w:rsidRPr="00935CAD" w:rsidRDefault="0091198A" w:rsidP="00A708A7">
            <w:pPr>
              <w:pStyle w:val="Normal1"/>
              <w:rPr>
                <w:rFonts w:ascii="Times New Roman" w:hAnsi="Times New Roman" w:cs="Times New Roman"/>
                <w:sz w:val="20"/>
                <w:szCs w:val="20"/>
              </w:rPr>
            </w:pPr>
            <w:r>
              <w:t>The Review Team found the following noteworthy items: FSD very cooperative in AR</w:t>
            </w:r>
          </w:p>
        </w:tc>
      </w:tr>
    </w:tbl>
    <w:p w14:paraId="0416002D" w14:textId="77777777" w:rsidR="006D68B7" w:rsidRDefault="00AA34ED">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8DEDA" w14:textId="77777777" w:rsidR="00AA34ED" w:rsidRDefault="00AA34ED">
      <w:r>
        <w:separator/>
      </w:r>
    </w:p>
  </w:endnote>
  <w:endnote w:type="continuationSeparator" w:id="0">
    <w:p w14:paraId="61641CE1" w14:textId="77777777" w:rsidR="00AA34ED" w:rsidRDefault="00AA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36398" w14:textId="77777777" w:rsidR="0037068A" w:rsidRDefault="0091198A" w:rsidP="000F3A03">
    <w:pPr>
      <w:pStyle w:val="Footer"/>
      <w:jc w:val="center"/>
      <w:rPr>
        <w:sz w:val="14"/>
      </w:rPr>
    </w:pPr>
    <w:r>
      <w:rPr>
        <w:sz w:val="14"/>
      </w:rPr>
      <w:t>This institution is an equal opportunity provider</w:t>
    </w:r>
  </w:p>
  <w:p w14:paraId="20F0767E" w14:textId="77777777" w:rsidR="0037068A" w:rsidRDefault="00AA3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6B4A3" w14:textId="77777777" w:rsidR="0037068A" w:rsidRDefault="0091198A" w:rsidP="000F3A03">
    <w:pPr>
      <w:pStyle w:val="Footer0"/>
      <w:jc w:val="center"/>
      <w:rPr>
        <w:sz w:val="14"/>
      </w:rPr>
    </w:pPr>
    <w:r>
      <w:rPr>
        <w:sz w:val="14"/>
      </w:rPr>
      <w:t>This institution is an equal opportunity provider</w:t>
    </w:r>
  </w:p>
  <w:p w14:paraId="347C910E" w14:textId="77777777" w:rsidR="0037068A" w:rsidRDefault="00AA34ED">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486D3" w14:textId="77777777" w:rsidR="00AA34ED" w:rsidRDefault="00AA34ED">
      <w:r>
        <w:separator/>
      </w:r>
    </w:p>
  </w:footnote>
  <w:footnote w:type="continuationSeparator" w:id="0">
    <w:p w14:paraId="108B9309" w14:textId="77777777" w:rsidR="00AA34ED" w:rsidRDefault="00AA3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ABD8F07A">
      <w:start w:val="1"/>
      <w:numFmt w:val="decimal"/>
      <w:lvlText w:val="%1."/>
      <w:lvlJc w:val="left"/>
      <w:pPr>
        <w:ind w:left="720" w:hanging="360"/>
      </w:pPr>
      <w:rPr>
        <w:rFonts w:hint="default"/>
      </w:rPr>
    </w:lvl>
    <w:lvl w:ilvl="1" w:tplc="2D20A000" w:tentative="1">
      <w:start w:val="1"/>
      <w:numFmt w:val="lowerLetter"/>
      <w:lvlText w:val="%2."/>
      <w:lvlJc w:val="left"/>
      <w:pPr>
        <w:ind w:left="1440" w:hanging="360"/>
      </w:pPr>
    </w:lvl>
    <w:lvl w:ilvl="2" w:tplc="C840CD26" w:tentative="1">
      <w:start w:val="1"/>
      <w:numFmt w:val="lowerRoman"/>
      <w:lvlText w:val="%3."/>
      <w:lvlJc w:val="right"/>
      <w:pPr>
        <w:ind w:left="2160" w:hanging="180"/>
      </w:pPr>
    </w:lvl>
    <w:lvl w:ilvl="3" w:tplc="C06EBD22" w:tentative="1">
      <w:start w:val="1"/>
      <w:numFmt w:val="decimal"/>
      <w:lvlText w:val="%4."/>
      <w:lvlJc w:val="left"/>
      <w:pPr>
        <w:ind w:left="2880" w:hanging="360"/>
      </w:pPr>
    </w:lvl>
    <w:lvl w:ilvl="4" w:tplc="48567760" w:tentative="1">
      <w:start w:val="1"/>
      <w:numFmt w:val="lowerLetter"/>
      <w:lvlText w:val="%5."/>
      <w:lvlJc w:val="left"/>
      <w:pPr>
        <w:ind w:left="3600" w:hanging="360"/>
      </w:pPr>
    </w:lvl>
    <w:lvl w:ilvl="5" w:tplc="10CCE5C4" w:tentative="1">
      <w:start w:val="1"/>
      <w:numFmt w:val="lowerRoman"/>
      <w:lvlText w:val="%6."/>
      <w:lvlJc w:val="right"/>
      <w:pPr>
        <w:ind w:left="4320" w:hanging="180"/>
      </w:pPr>
    </w:lvl>
    <w:lvl w:ilvl="6" w:tplc="2F60E8DC" w:tentative="1">
      <w:start w:val="1"/>
      <w:numFmt w:val="decimal"/>
      <w:lvlText w:val="%7."/>
      <w:lvlJc w:val="left"/>
      <w:pPr>
        <w:ind w:left="5040" w:hanging="360"/>
      </w:pPr>
    </w:lvl>
    <w:lvl w:ilvl="7" w:tplc="E5DA7EE6" w:tentative="1">
      <w:start w:val="1"/>
      <w:numFmt w:val="lowerLetter"/>
      <w:lvlText w:val="%8."/>
      <w:lvlJc w:val="left"/>
      <w:pPr>
        <w:ind w:left="5760" w:hanging="360"/>
      </w:pPr>
    </w:lvl>
    <w:lvl w:ilvl="8" w:tplc="B892625C"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D5C8120E">
      <w:start w:val="1"/>
      <w:numFmt w:val="bullet"/>
      <w:lvlText w:val=""/>
      <w:lvlJc w:val="left"/>
      <w:pPr>
        <w:ind w:left="720" w:hanging="360"/>
      </w:pPr>
      <w:rPr>
        <w:rFonts w:ascii="Symbol" w:hAnsi="Symbol" w:hint="default"/>
      </w:rPr>
    </w:lvl>
    <w:lvl w:ilvl="1" w:tplc="1FEC19BC" w:tentative="1">
      <w:start w:val="1"/>
      <w:numFmt w:val="bullet"/>
      <w:lvlText w:val="o"/>
      <w:lvlJc w:val="left"/>
      <w:pPr>
        <w:ind w:left="1440" w:hanging="360"/>
      </w:pPr>
      <w:rPr>
        <w:rFonts w:ascii="Courier New" w:hAnsi="Courier New" w:cs="Courier New" w:hint="default"/>
      </w:rPr>
    </w:lvl>
    <w:lvl w:ilvl="2" w:tplc="99A2735C" w:tentative="1">
      <w:start w:val="1"/>
      <w:numFmt w:val="bullet"/>
      <w:lvlText w:val=""/>
      <w:lvlJc w:val="left"/>
      <w:pPr>
        <w:ind w:left="2160" w:hanging="360"/>
      </w:pPr>
      <w:rPr>
        <w:rFonts w:ascii="Wingdings" w:hAnsi="Wingdings" w:hint="default"/>
      </w:rPr>
    </w:lvl>
    <w:lvl w:ilvl="3" w:tplc="2EDE51D0" w:tentative="1">
      <w:start w:val="1"/>
      <w:numFmt w:val="bullet"/>
      <w:lvlText w:val=""/>
      <w:lvlJc w:val="left"/>
      <w:pPr>
        <w:ind w:left="2880" w:hanging="360"/>
      </w:pPr>
      <w:rPr>
        <w:rFonts w:ascii="Symbol" w:hAnsi="Symbol" w:hint="default"/>
      </w:rPr>
    </w:lvl>
    <w:lvl w:ilvl="4" w:tplc="F3267BFE" w:tentative="1">
      <w:start w:val="1"/>
      <w:numFmt w:val="bullet"/>
      <w:lvlText w:val="o"/>
      <w:lvlJc w:val="left"/>
      <w:pPr>
        <w:ind w:left="3600" w:hanging="360"/>
      </w:pPr>
      <w:rPr>
        <w:rFonts w:ascii="Courier New" w:hAnsi="Courier New" w:cs="Courier New" w:hint="default"/>
      </w:rPr>
    </w:lvl>
    <w:lvl w:ilvl="5" w:tplc="53C879AE" w:tentative="1">
      <w:start w:val="1"/>
      <w:numFmt w:val="bullet"/>
      <w:lvlText w:val=""/>
      <w:lvlJc w:val="left"/>
      <w:pPr>
        <w:ind w:left="4320" w:hanging="360"/>
      </w:pPr>
      <w:rPr>
        <w:rFonts w:ascii="Wingdings" w:hAnsi="Wingdings" w:hint="default"/>
      </w:rPr>
    </w:lvl>
    <w:lvl w:ilvl="6" w:tplc="A7F869E6" w:tentative="1">
      <w:start w:val="1"/>
      <w:numFmt w:val="bullet"/>
      <w:lvlText w:val=""/>
      <w:lvlJc w:val="left"/>
      <w:pPr>
        <w:ind w:left="5040" w:hanging="360"/>
      </w:pPr>
      <w:rPr>
        <w:rFonts w:ascii="Symbol" w:hAnsi="Symbol" w:hint="default"/>
      </w:rPr>
    </w:lvl>
    <w:lvl w:ilvl="7" w:tplc="3BE4FE5C" w:tentative="1">
      <w:start w:val="1"/>
      <w:numFmt w:val="bullet"/>
      <w:lvlText w:val="o"/>
      <w:lvlJc w:val="left"/>
      <w:pPr>
        <w:ind w:left="5760" w:hanging="360"/>
      </w:pPr>
      <w:rPr>
        <w:rFonts w:ascii="Courier New" w:hAnsi="Courier New" w:cs="Courier New" w:hint="default"/>
      </w:rPr>
    </w:lvl>
    <w:lvl w:ilvl="8" w:tplc="B1CC7230"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DC0"/>
    <w:rsid w:val="004122CE"/>
    <w:rsid w:val="00503BED"/>
    <w:rsid w:val="0091198A"/>
    <w:rsid w:val="00AA34ED"/>
    <w:rsid w:val="00BA2D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AAA16"/>
  <w15:docId w15:val="{88EC882E-1809-491C-B305-1D50EF8E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1F0583-3722-4E1B-A7FF-4C237E07C0B4}">
  <ds:schemaRefs>
    <ds:schemaRef ds:uri="http://schemas.microsoft.com/sharepoint/v3/contenttype/forms"/>
  </ds:schemaRefs>
</ds:datastoreItem>
</file>

<file path=customXml/itemProps2.xml><?xml version="1.0" encoding="utf-8"?>
<ds:datastoreItem xmlns:ds="http://schemas.openxmlformats.org/officeDocument/2006/customXml" ds:itemID="{7084BF0E-6FD6-41FB-8289-2166D416C5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5595B1-13AC-41B6-9895-6CDD67058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Administrative Review Summary School Year 2021-2022</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Medway School Committee Administrative Review Summary School Year 2021-2022</dc:title>
  <dc:subject/>
  <dc:creator>DESE</dc:creator>
  <cp:keywords/>
  <cp:lastModifiedBy>Zou, Dong (EOE)</cp:lastModifiedBy>
  <cp:revision>9</cp:revision>
  <dcterms:created xsi:type="dcterms:W3CDTF">2016-12-05T21:17:00Z</dcterms:created>
  <dcterms:modified xsi:type="dcterms:W3CDTF">2022-03-23T13:53:00Z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23 2022</vt:lpwstr>
  </property>
</Properties>
</file>