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C06F6" w14:textId="77777777" w:rsidR="00CA19B4" w:rsidRPr="00200779" w:rsidRDefault="006248F8"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863CF54" w14:textId="77777777" w:rsidR="00CA19B4" w:rsidRDefault="006F280F" w:rsidP="00CA19B4">
      <w:pPr>
        <w:jc w:val="center"/>
        <w:rPr>
          <w:rFonts w:ascii="Times New Roman" w:hAnsi="Times New Roman" w:cs="Times New Roman"/>
          <w:sz w:val="24"/>
          <w:szCs w:val="24"/>
        </w:rPr>
      </w:pPr>
    </w:p>
    <w:p w14:paraId="681599B0" w14:textId="77777777" w:rsidR="00CA19B4" w:rsidRDefault="006248F8"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1FB5DC6A" w14:textId="77777777" w:rsidR="00CA19B4" w:rsidRDefault="006F280F" w:rsidP="00CA19B4">
      <w:pPr>
        <w:rPr>
          <w:rFonts w:ascii="Times New Roman" w:hAnsi="Times New Roman" w:cs="Times New Roman"/>
          <w:sz w:val="20"/>
          <w:szCs w:val="20"/>
        </w:rPr>
      </w:pPr>
    </w:p>
    <w:p w14:paraId="1ED5A26E" w14:textId="77777777" w:rsidR="00CA19B4" w:rsidRDefault="006F280F" w:rsidP="00CA19B4">
      <w:pPr>
        <w:rPr>
          <w:rFonts w:ascii="Times New Roman" w:hAnsi="Times New Roman" w:cs="Times New Roman"/>
          <w:sz w:val="20"/>
          <w:szCs w:val="20"/>
        </w:rPr>
      </w:pPr>
    </w:p>
    <w:p w14:paraId="04C51A39" w14:textId="77777777" w:rsidR="00CA19B4" w:rsidRPr="00B63138" w:rsidRDefault="006248F8"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Winchester Public Schools</w:t>
      </w:r>
      <w:bookmarkEnd w:id="0"/>
    </w:p>
    <w:p w14:paraId="188BC265" w14:textId="77777777" w:rsidR="00CA19B4" w:rsidRDefault="006F280F" w:rsidP="00CA19B4">
      <w:pPr>
        <w:rPr>
          <w:rFonts w:ascii="Times New Roman" w:hAnsi="Times New Roman" w:cs="Times New Roman"/>
          <w:sz w:val="20"/>
          <w:szCs w:val="20"/>
        </w:rPr>
      </w:pPr>
    </w:p>
    <w:p w14:paraId="44AD4D52" w14:textId="77777777" w:rsidR="00CA19B4" w:rsidRDefault="006248F8"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03/16/2022</w:t>
      </w:r>
      <w:bookmarkEnd w:id="1"/>
    </w:p>
    <w:p w14:paraId="477C1835" w14:textId="77777777" w:rsidR="00CA19B4" w:rsidRDefault="006F280F" w:rsidP="00CA19B4">
      <w:pPr>
        <w:rPr>
          <w:rFonts w:ascii="Times New Roman" w:hAnsi="Times New Roman" w:cs="Times New Roman"/>
          <w:sz w:val="20"/>
          <w:szCs w:val="20"/>
        </w:rPr>
      </w:pPr>
    </w:p>
    <w:p w14:paraId="7EB985C9" w14:textId="77777777" w:rsidR="00CA19B4" w:rsidRDefault="006248F8"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03/21/2022</w:t>
      </w:r>
      <w:bookmarkEnd w:id="2"/>
    </w:p>
    <w:p w14:paraId="2E4E7CBC" w14:textId="77777777" w:rsidR="00CA19B4" w:rsidRDefault="006248F8"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41416EF" w14:textId="77777777" w:rsidR="00CA19B4" w:rsidRDefault="006F280F" w:rsidP="00CA19B4">
      <w:pPr>
        <w:pBdr>
          <w:bottom w:val="single" w:sz="12" w:space="1" w:color="auto"/>
        </w:pBdr>
        <w:rPr>
          <w:rFonts w:ascii="Times New Roman" w:hAnsi="Times New Roman" w:cs="Times New Roman"/>
          <w:sz w:val="20"/>
          <w:szCs w:val="20"/>
        </w:rPr>
      </w:pPr>
    </w:p>
    <w:p w14:paraId="61C0921C" w14:textId="77777777" w:rsidR="00CA19B4" w:rsidRDefault="006248F8"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3B21A5C" w14:textId="77777777" w:rsidR="00CA19B4" w:rsidRDefault="006F280F" w:rsidP="00CA19B4">
      <w:pPr>
        <w:rPr>
          <w:rFonts w:ascii="Times New Roman" w:hAnsi="Times New Roman" w:cs="Times New Roman"/>
          <w:sz w:val="20"/>
          <w:szCs w:val="20"/>
        </w:rPr>
      </w:pPr>
    </w:p>
    <w:p w14:paraId="52A9FB43" w14:textId="77777777" w:rsidR="00CA19B4" w:rsidRPr="00223718" w:rsidRDefault="006248F8"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5E1909E3" w14:textId="77777777" w:rsidR="00CA19B4" w:rsidRDefault="006F280F" w:rsidP="00CA19B4">
      <w:pPr>
        <w:rPr>
          <w:rFonts w:ascii="Times New Roman" w:hAnsi="Times New Roman" w:cs="Times New Roman"/>
          <w:sz w:val="20"/>
          <w:szCs w:val="20"/>
        </w:rPr>
      </w:pPr>
    </w:p>
    <w:p w14:paraId="019D2D6C" w14:textId="77777777" w:rsidR="00CA19B4" w:rsidRDefault="006248F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5E4478D" w14:textId="77777777" w:rsidR="00CA19B4" w:rsidRDefault="006F280F" w:rsidP="00CA19B4">
      <w:pPr>
        <w:ind w:left="720"/>
        <w:rPr>
          <w:rFonts w:ascii="Times New Roman" w:hAnsi="Times New Roman" w:cs="Times New Roman"/>
          <w:sz w:val="20"/>
          <w:szCs w:val="20"/>
        </w:rPr>
      </w:pPr>
    </w:p>
    <w:bookmarkStart w:id="3" w:name="CHK_SBP"/>
    <w:p w14:paraId="2199B25C" w14:textId="77777777" w:rsidR="00CA19B4" w:rsidRDefault="006248F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F280F">
        <w:rPr>
          <w:rFonts w:ascii="Times New Roman" w:hAnsi="Times New Roman" w:cs="Times New Roman"/>
          <w:sz w:val="20"/>
          <w:szCs w:val="20"/>
        </w:rPr>
      </w:r>
      <w:r w:rsidR="006F28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05C32FF" w14:textId="77777777" w:rsidR="00CA19B4" w:rsidRDefault="006248F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6F280F">
        <w:rPr>
          <w:rFonts w:ascii="Times New Roman" w:hAnsi="Times New Roman" w:cs="Times New Roman"/>
          <w:sz w:val="20"/>
          <w:szCs w:val="20"/>
        </w:rPr>
      </w:r>
      <w:r w:rsidR="006F28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0C1D2457" w14:textId="77777777" w:rsidR="00CA19B4" w:rsidRDefault="006248F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F280F">
        <w:rPr>
          <w:rFonts w:ascii="Times New Roman" w:hAnsi="Times New Roman" w:cs="Times New Roman"/>
          <w:sz w:val="20"/>
          <w:szCs w:val="20"/>
        </w:rPr>
      </w:r>
      <w:r w:rsidR="006F28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507C235" w14:textId="77777777" w:rsidR="00CA19B4" w:rsidRDefault="006248F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F280F">
        <w:rPr>
          <w:rFonts w:ascii="Times New Roman" w:hAnsi="Times New Roman" w:cs="Times New Roman"/>
          <w:sz w:val="20"/>
          <w:szCs w:val="20"/>
        </w:rPr>
      </w:r>
      <w:r w:rsidR="006F28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5B24DF9" w14:textId="77777777" w:rsidR="00CA19B4" w:rsidRDefault="006248F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F280F">
        <w:rPr>
          <w:rFonts w:ascii="Times New Roman" w:hAnsi="Times New Roman" w:cs="Times New Roman"/>
          <w:sz w:val="20"/>
          <w:szCs w:val="20"/>
        </w:rPr>
      </w:r>
      <w:r w:rsidR="006F28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4661C07" w14:textId="77777777" w:rsidR="00CA19B4" w:rsidRDefault="006248F8"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F280F">
        <w:rPr>
          <w:rFonts w:ascii="Times New Roman" w:hAnsi="Times New Roman" w:cs="Times New Roman"/>
          <w:sz w:val="20"/>
          <w:szCs w:val="20"/>
        </w:rPr>
      </w:r>
      <w:r w:rsidR="006F28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1C4E18D4" w14:textId="77777777" w:rsidR="00CA19B4" w:rsidRDefault="006F280F" w:rsidP="00CA19B4">
      <w:pPr>
        <w:rPr>
          <w:rFonts w:ascii="Times New Roman" w:hAnsi="Times New Roman" w:cs="Times New Roman"/>
          <w:sz w:val="20"/>
          <w:szCs w:val="20"/>
        </w:rPr>
      </w:pPr>
    </w:p>
    <w:p w14:paraId="7B1B4026" w14:textId="77777777" w:rsidR="00CA19B4" w:rsidRDefault="006248F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F78E86A" w14:textId="77777777" w:rsidR="00CA19B4" w:rsidRDefault="006F280F" w:rsidP="00CA19B4">
      <w:pPr>
        <w:ind w:left="720"/>
        <w:rPr>
          <w:rFonts w:ascii="Times New Roman" w:hAnsi="Times New Roman" w:cs="Times New Roman"/>
          <w:sz w:val="20"/>
          <w:szCs w:val="20"/>
        </w:rPr>
      </w:pPr>
    </w:p>
    <w:bookmarkStart w:id="9" w:name="CHK_CEP"/>
    <w:p w14:paraId="3C791907" w14:textId="77777777" w:rsidR="00CA19B4" w:rsidRDefault="006248F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F280F">
        <w:rPr>
          <w:rFonts w:ascii="Times New Roman" w:hAnsi="Times New Roman" w:cs="Times New Roman"/>
          <w:sz w:val="20"/>
          <w:szCs w:val="20"/>
        </w:rPr>
      </w:r>
      <w:r w:rsidR="006F28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CC1F850" w14:textId="77777777" w:rsidR="00CA19B4" w:rsidRDefault="006248F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F280F">
        <w:rPr>
          <w:rFonts w:ascii="Times New Roman" w:hAnsi="Times New Roman" w:cs="Times New Roman"/>
          <w:sz w:val="20"/>
          <w:szCs w:val="20"/>
        </w:rPr>
      </w:r>
      <w:r w:rsidR="006F28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85FD594" w14:textId="77777777" w:rsidR="00CA19B4" w:rsidRDefault="006248F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F280F">
        <w:rPr>
          <w:rFonts w:ascii="Times New Roman" w:hAnsi="Times New Roman" w:cs="Times New Roman"/>
          <w:sz w:val="20"/>
          <w:szCs w:val="20"/>
        </w:rPr>
      </w:r>
      <w:r w:rsidR="006F28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F91514D" w14:textId="77777777" w:rsidR="00CA19B4" w:rsidRDefault="006248F8"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6F280F">
        <w:rPr>
          <w:rFonts w:ascii="Times New Roman" w:hAnsi="Times New Roman" w:cs="Times New Roman"/>
          <w:sz w:val="20"/>
          <w:szCs w:val="20"/>
        </w:rPr>
      </w:r>
      <w:r w:rsidR="006F280F">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4E8DC33" w14:textId="77777777" w:rsidR="00CA19B4" w:rsidRDefault="006F280F" w:rsidP="00CA19B4">
      <w:pPr>
        <w:rPr>
          <w:rFonts w:ascii="Times New Roman" w:hAnsi="Times New Roman" w:cs="Times New Roman"/>
          <w:sz w:val="20"/>
          <w:szCs w:val="20"/>
        </w:rPr>
      </w:pPr>
    </w:p>
    <w:p w14:paraId="54547993" w14:textId="77777777" w:rsidR="00CA19B4" w:rsidRPr="00D6151F" w:rsidRDefault="006248F8"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7C8EF91" w14:textId="77777777" w:rsidR="00CA19B4" w:rsidRDefault="006F280F" w:rsidP="00CA19B4">
      <w:pPr>
        <w:rPr>
          <w:rFonts w:ascii="Times New Roman" w:hAnsi="Times New Roman" w:cs="Times New Roman"/>
          <w:sz w:val="20"/>
          <w:szCs w:val="20"/>
        </w:rPr>
      </w:pPr>
    </w:p>
    <w:p w14:paraId="029B6E7D" w14:textId="77777777" w:rsidR="00CA19B4" w:rsidRDefault="006248F8"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FEA589A" w14:textId="77777777" w:rsidR="00CA19B4" w:rsidRDefault="006248F8"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6F280F">
        <w:rPr>
          <w:rFonts w:ascii="MS Gothic" w:eastAsia="MS Gothic" w:hAnsi="Times New Roman" w:cs="Times New Roman"/>
          <w:sz w:val="20"/>
          <w:szCs w:val="20"/>
        </w:rPr>
      </w:r>
      <w:r w:rsidR="006F280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6F280F">
        <w:rPr>
          <w:rFonts w:ascii="MS Gothic" w:eastAsia="MS Gothic" w:hAnsi="Times New Roman" w:cs="Times New Roman"/>
          <w:sz w:val="20"/>
          <w:szCs w:val="20"/>
        </w:rPr>
      </w:r>
      <w:r w:rsidR="006F280F">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C55BF58" w14:textId="77777777" w:rsidR="00CA19B4" w:rsidRDefault="006F280F" w:rsidP="00CA19B4">
      <w:pPr>
        <w:ind w:firstLine="720"/>
        <w:rPr>
          <w:rFonts w:ascii="Times New Roman" w:hAnsi="Times New Roman" w:cs="Times New Roman"/>
          <w:sz w:val="20"/>
          <w:szCs w:val="20"/>
        </w:rPr>
      </w:pPr>
    </w:p>
    <w:p w14:paraId="009A9B0B" w14:textId="77777777" w:rsidR="00CA19B4" w:rsidRDefault="006248F8"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63AA314" w14:textId="77777777" w:rsidR="006D68B7" w:rsidRDefault="006F280F">
      <w:pPr>
        <w:sectPr w:rsidR="006D68B7" w:rsidSect="005B420A">
          <w:footerReference w:type="default" r:id="rId10"/>
          <w:pgSz w:w="12240" w:h="15840"/>
          <w:pgMar w:top="1440" w:right="1440" w:bottom="1440" w:left="1440" w:header="720" w:footer="720" w:gutter="0"/>
          <w:cols w:space="720"/>
        </w:sectPr>
      </w:pPr>
    </w:p>
    <w:p w14:paraId="528F04F1" w14:textId="77777777" w:rsidR="00A53CEA" w:rsidRDefault="006F280F" w:rsidP="00A53CEA">
      <w:pPr>
        <w:pStyle w:val="Normal0"/>
        <w:ind w:firstLine="720"/>
        <w:rPr>
          <w:rFonts w:ascii="Times New Roman" w:hAnsi="Times New Roman" w:cs="Times New Roman"/>
          <w:sz w:val="20"/>
          <w:szCs w:val="20"/>
        </w:rPr>
      </w:pPr>
    </w:p>
    <w:p w14:paraId="53BD6C37" w14:textId="77777777" w:rsidR="00A53CEA" w:rsidRPr="00C61944" w:rsidRDefault="006248F8"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96A90" w14:paraId="3E793F30" w14:textId="77777777" w:rsidTr="008175F8">
        <w:trPr>
          <w:trHeight w:val="37"/>
        </w:trPr>
        <w:tc>
          <w:tcPr>
            <w:tcW w:w="8545" w:type="dxa"/>
            <w:shd w:val="clear" w:color="auto" w:fill="31849B" w:themeFill="accent5" w:themeFillShade="BF"/>
          </w:tcPr>
          <w:p w14:paraId="24ED4B94" w14:textId="77777777" w:rsidR="00A53CEA" w:rsidRPr="005B0132" w:rsidRDefault="006248F8" w:rsidP="008175F8">
            <w:pPr>
              <w:pStyle w:val="Normal0"/>
              <w:rPr>
                <w:rFonts w:asciiTheme="minorHAnsi" w:hAnsiTheme="minorHAnsi" w:cstheme="minorHAnsi"/>
                <w:b/>
                <w:i/>
                <w:color w:val="DBE5F1" w:themeColor="accent1" w:themeTint="33"/>
                <w:sz w:val="32"/>
                <w:szCs w:val="20"/>
              </w:rPr>
            </w:pPr>
            <w:r>
              <w:t>Program Access and Reimbursement</w:t>
            </w:r>
          </w:p>
        </w:tc>
      </w:tr>
      <w:tr w:rsidR="00996A90" w14:paraId="7B977865" w14:textId="77777777" w:rsidTr="008175F8">
        <w:trPr>
          <w:trHeight w:val="37"/>
        </w:trPr>
        <w:tc>
          <w:tcPr>
            <w:tcW w:w="8545" w:type="dxa"/>
            <w:shd w:val="clear" w:color="auto" w:fill="D9D9D9" w:themeFill="background1" w:themeFillShade="D9"/>
          </w:tcPr>
          <w:p w14:paraId="4C79E6C9" w14:textId="77777777" w:rsidR="00A53CEA" w:rsidRPr="0076532F" w:rsidRDefault="006248F8" w:rsidP="008175F8">
            <w:pPr>
              <w:pStyle w:val="Normal0"/>
              <w:rPr>
                <w:rFonts w:ascii="Times New Roman" w:hAnsi="Times New Roman" w:cs="Times New Roman"/>
                <w:b/>
                <w:sz w:val="20"/>
                <w:szCs w:val="20"/>
              </w:rPr>
            </w:pPr>
            <w:r>
              <w:t>Verification</w:t>
            </w:r>
          </w:p>
        </w:tc>
      </w:tr>
      <w:tr w:rsidR="00996A90" w14:paraId="056C06CA" w14:textId="77777777" w:rsidTr="008175F8">
        <w:trPr>
          <w:trHeight w:val="37"/>
        </w:trPr>
        <w:tc>
          <w:tcPr>
            <w:tcW w:w="8545" w:type="dxa"/>
            <w:shd w:val="clear" w:color="auto" w:fill="auto"/>
          </w:tcPr>
          <w:p w14:paraId="7CF2B08D" w14:textId="77777777" w:rsidR="00A53CEA" w:rsidRPr="005B0132" w:rsidRDefault="006248F8" w:rsidP="00A53CEA">
            <w:pPr>
              <w:pStyle w:val="ListParagraph"/>
              <w:numPr>
                <w:ilvl w:val="0"/>
                <w:numId w:val="2"/>
              </w:numPr>
              <w:ind w:left="540"/>
              <w:rPr>
                <w:rFonts w:ascii="Times New Roman" w:hAnsi="Times New Roman" w:cs="Times New Roman"/>
                <w:sz w:val="20"/>
                <w:szCs w:val="20"/>
              </w:rPr>
            </w:pPr>
            <w:r>
              <w:t>The did not meet the requirements for Direct Verification.; The SFA did not use the Virtual Gateway to conduct Direct Verification for the selected applications.</w:t>
            </w:r>
          </w:p>
        </w:tc>
      </w:tr>
      <w:tr w:rsidR="00996A90" w14:paraId="56D2D7DA" w14:textId="77777777" w:rsidTr="008175F8">
        <w:trPr>
          <w:trHeight w:val="37"/>
        </w:trPr>
        <w:tc>
          <w:tcPr>
            <w:tcW w:w="8545" w:type="dxa"/>
            <w:shd w:val="clear" w:color="auto" w:fill="D9D9D9" w:themeFill="background1" w:themeFillShade="D9"/>
          </w:tcPr>
          <w:p w14:paraId="1C4D26B6" w14:textId="77777777" w:rsidR="00A53CEA" w:rsidRPr="0076532F" w:rsidRDefault="006248F8" w:rsidP="008175F8">
            <w:pPr>
              <w:pStyle w:val="Normal0"/>
              <w:rPr>
                <w:rFonts w:ascii="Times New Roman" w:hAnsi="Times New Roman" w:cs="Times New Roman"/>
                <w:b/>
                <w:sz w:val="20"/>
                <w:szCs w:val="20"/>
              </w:rPr>
            </w:pPr>
            <w:r>
              <w:t>Meal Counting and Claiming</w:t>
            </w:r>
          </w:p>
        </w:tc>
      </w:tr>
      <w:tr w:rsidR="00996A90" w14:paraId="7AC63D7D" w14:textId="77777777" w:rsidTr="008175F8">
        <w:trPr>
          <w:trHeight w:val="37"/>
        </w:trPr>
        <w:tc>
          <w:tcPr>
            <w:tcW w:w="8545" w:type="dxa"/>
            <w:shd w:val="clear" w:color="auto" w:fill="auto"/>
          </w:tcPr>
          <w:p w14:paraId="71AFA7D3" w14:textId="77777777" w:rsidR="00A53CEA" w:rsidRPr="005B0132" w:rsidRDefault="006248F8" w:rsidP="00A53CEA">
            <w:pPr>
              <w:pStyle w:val="ListParagraph"/>
              <w:numPr>
                <w:ilvl w:val="0"/>
                <w:numId w:val="2"/>
              </w:numPr>
              <w:ind w:left="540"/>
              <w:rPr>
                <w:rFonts w:ascii="Times New Roman" w:hAnsi="Times New Roman" w:cs="Times New Roman"/>
                <w:sz w:val="20"/>
                <w:szCs w:val="20"/>
              </w:rPr>
            </w:pPr>
            <w:r>
              <w:t>Have alternate points of service been approved by the SA? If there are alternative points of service, describe in the comments the number and types of alternate points of service operating during each meal service (e.g., meals in classrooms, bus).</w:t>
            </w:r>
          </w:p>
        </w:tc>
      </w:tr>
      <w:tr w:rsidR="00996A90" w14:paraId="6E13B8AD" w14:textId="77777777" w:rsidTr="008175F8">
        <w:trPr>
          <w:trHeight w:val="37"/>
        </w:trPr>
        <w:tc>
          <w:tcPr>
            <w:tcW w:w="8545" w:type="dxa"/>
            <w:shd w:val="clear" w:color="auto" w:fill="31849B" w:themeFill="accent5" w:themeFillShade="BF"/>
          </w:tcPr>
          <w:p w14:paraId="2231DDB9" w14:textId="77777777" w:rsidR="00A53CEA" w:rsidRPr="005B0132" w:rsidRDefault="006248F8" w:rsidP="008175F8">
            <w:pPr>
              <w:pStyle w:val="Normal0"/>
              <w:rPr>
                <w:rFonts w:asciiTheme="minorHAnsi" w:hAnsiTheme="minorHAnsi" w:cstheme="minorHAnsi"/>
                <w:b/>
                <w:i/>
                <w:color w:val="DBE5F1" w:themeColor="accent1" w:themeTint="33"/>
                <w:sz w:val="32"/>
                <w:szCs w:val="20"/>
              </w:rPr>
            </w:pPr>
            <w:r>
              <w:t>School Nutrition Environment</w:t>
            </w:r>
          </w:p>
        </w:tc>
      </w:tr>
      <w:tr w:rsidR="00996A90" w14:paraId="0401F20E" w14:textId="77777777" w:rsidTr="008175F8">
        <w:trPr>
          <w:trHeight w:val="37"/>
        </w:trPr>
        <w:tc>
          <w:tcPr>
            <w:tcW w:w="8545" w:type="dxa"/>
            <w:shd w:val="clear" w:color="auto" w:fill="D9D9D9" w:themeFill="background1" w:themeFillShade="D9"/>
          </w:tcPr>
          <w:p w14:paraId="05A0C714" w14:textId="77777777" w:rsidR="00A53CEA" w:rsidRPr="0076532F" w:rsidRDefault="006248F8" w:rsidP="008175F8">
            <w:pPr>
              <w:pStyle w:val="Normal0"/>
              <w:rPr>
                <w:rFonts w:ascii="Times New Roman" w:hAnsi="Times New Roman" w:cs="Times New Roman"/>
                <w:b/>
                <w:sz w:val="20"/>
                <w:szCs w:val="20"/>
              </w:rPr>
            </w:pPr>
            <w:r>
              <w:t>Food Safety</w:t>
            </w:r>
          </w:p>
        </w:tc>
      </w:tr>
      <w:tr w:rsidR="00996A90" w14:paraId="4793861C" w14:textId="77777777" w:rsidTr="008175F8">
        <w:trPr>
          <w:trHeight w:val="37"/>
        </w:trPr>
        <w:tc>
          <w:tcPr>
            <w:tcW w:w="8545" w:type="dxa"/>
            <w:shd w:val="clear" w:color="auto" w:fill="auto"/>
          </w:tcPr>
          <w:p w14:paraId="59AFC7DE" w14:textId="77777777" w:rsidR="00A53CEA" w:rsidRPr="005B0132" w:rsidRDefault="006248F8" w:rsidP="00A53CEA">
            <w:pPr>
              <w:pStyle w:val="ListParagraph"/>
              <w:numPr>
                <w:ilvl w:val="0"/>
                <w:numId w:val="2"/>
              </w:numPr>
              <w:ind w:left="540"/>
              <w:rPr>
                <w:rFonts w:ascii="Times New Roman" w:hAnsi="Times New Roman" w:cs="Times New Roman"/>
                <w:sz w:val="20"/>
                <w:szCs w:val="20"/>
              </w:rPr>
            </w:pPr>
            <w:r>
              <w:t>One or more foodservice employees have not been trained on fire extinguisher procedures. All foodservice employees must be trained to use the fire extinguisher(s).</w:t>
            </w:r>
          </w:p>
        </w:tc>
      </w:tr>
      <w:tr w:rsidR="00996A90" w14:paraId="0FC8AB41" w14:textId="77777777" w:rsidTr="008175F8">
        <w:trPr>
          <w:trHeight w:val="37"/>
        </w:trPr>
        <w:tc>
          <w:tcPr>
            <w:tcW w:w="8545" w:type="dxa"/>
            <w:shd w:val="clear" w:color="auto" w:fill="auto"/>
          </w:tcPr>
          <w:p w14:paraId="018CC0AF" w14:textId="77777777" w:rsidR="00A53CEA" w:rsidRPr="005B0132" w:rsidRDefault="006248F8" w:rsidP="00A53CEA">
            <w:pPr>
              <w:pStyle w:val="ListParagraph"/>
              <w:numPr>
                <w:ilvl w:val="0"/>
                <w:numId w:val="2"/>
              </w:numPr>
              <w:ind w:left="540"/>
              <w:rPr>
                <w:rFonts w:ascii="Times New Roman" w:hAnsi="Times New Roman" w:cs="Times New Roman"/>
                <w:sz w:val="20"/>
                <w:szCs w:val="20"/>
              </w:rPr>
            </w:pPr>
            <w:r>
              <w:t>The SFA's standard operating procedures (SOPs) were not implemented. A school food authority with a food safety program must implement traditional hazard analysis and critical control point (HACCP) principles.</w:t>
            </w:r>
          </w:p>
        </w:tc>
      </w:tr>
      <w:tr w:rsidR="00996A90" w14:paraId="69402334" w14:textId="77777777" w:rsidTr="008175F8">
        <w:trPr>
          <w:trHeight w:val="37"/>
        </w:trPr>
        <w:tc>
          <w:tcPr>
            <w:tcW w:w="8545" w:type="dxa"/>
            <w:shd w:val="clear" w:color="auto" w:fill="D9D9D9" w:themeFill="background1" w:themeFillShade="D9"/>
          </w:tcPr>
          <w:p w14:paraId="205EA080" w14:textId="77777777" w:rsidR="00A53CEA" w:rsidRPr="0076532F" w:rsidRDefault="006248F8" w:rsidP="008175F8">
            <w:pPr>
              <w:pStyle w:val="Normal0"/>
              <w:rPr>
                <w:rFonts w:ascii="Times New Roman" w:hAnsi="Times New Roman" w:cs="Times New Roman"/>
                <w:b/>
                <w:sz w:val="20"/>
                <w:szCs w:val="20"/>
              </w:rPr>
            </w:pPr>
            <w:r>
              <w:t>Local School Wellness Policy</w:t>
            </w:r>
          </w:p>
        </w:tc>
      </w:tr>
      <w:tr w:rsidR="00996A90" w14:paraId="210E1EA3" w14:textId="77777777" w:rsidTr="008175F8">
        <w:trPr>
          <w:trHeight w:val="37"/>
        </w:trPr>
        <w:tc>
          <w:tcPr>
            <w:tcW w:w="8545" w:type="dxa"/>
            <w:shd w:val="clear" w:color="auto" w:fill="auto"/>
          </w:tcPr>
          <w:p w14:paraId="5C937C22" w14:textId="77777777" w:rsidR="00A53CEA" w:rsidRPr="005B0132" w:rsidRDefault="006248F8" w:rsidP="00A53CEA">
            <w:pPr>
              <w:pStyle w:val="ListParagraph"/>
              <w:numPr>
                <w:ilvl w:val="0"/>
                <w:numId w:val="2"/>
              </w:numPr>
              <w:ind w:left="540"/>
              <w:rPr>
                <w:rFonts w:ascii="Times New Roman" w:hAnsi="Times New Roman" w:cs="Times New Roman"/>
                <w:sz w:val="20"/>
                <w:szCs w:val="20"/>
              </w:rPr>
            </w:pPr>
            <w:r>
              <w:t>The SFA has not maintained documentation to support the policy has been reviewed and updated within the past three years. Documentation of efforts to review and update the policy, including who was involved in the process and how stakeholders were made aware of their ability to participate, must be maintained.</w:t>
            </w:r>
          </w:p>
        </w:tc>
      </w:tr>
      <w:tr w:rsidR="00996A90" w14:paraId="3F236901" w14:textId="77777777" w:rsidTr="008175F8">
        <w:trPr>
          <w:trHeight w:val="37"/>
        </w:trPr>
        <w:tc>
          <w:tcPr>
            <w:tcW w:w="8545" w:type="dxa"/>
            <w:shd w:val="clear" w:color="auto" w:fill="D9D9D9" w:themeFill="background1" w:themeFillShade="D9"/>
          </w:tcPr>
          <w:p w14:paraId="35BA177A" w14:textId="77777777" w:rsidR="00A53CEA" w:rsidRPr="0076532F" w:rsidRDefault="006248F8" w:rsidP="008175F8">
            <w:pPr>
              <w:pStyle w:val="Normal0"/>
              <w:rPr>
                <w:rFonts w:ascii="Times New Roman" w:hAnsi="Times New Roman" w:cs="Times New Roman"/>
                <w:b/>
                <w:sz w:val="20"/>
                <w:szCs w:val="20"/>
              </w:rPr>
            </w:pPr>
            <w:r>
              <w:t>Smart Snacks</w:t>
            </w:r>
          </w:p>
        </w:tc>
      </w:tr>
      <w:tr w:rsidR="00996A90" w14:paraId="6AB2D279" w14:textId="77777777" w:rsidTr="008175F8">
        <w:trPr>
          <w:trHeight w:val="37"/>
        </w:trPr>
        <w:tc>
          <w:tcPr>
            <w:tcW w:w="8545" w:type="dxa"/>
            <w:shd w:val="clear" w:color="auto" w:fill="auto"/>
          </w:tcPr>
          <w:p w14:paraId="4C80225B" w14:textId="77777777" w:rsidR="00A53CEA" w:rsidRPr="005B0132" w:rsidRDefault="006248F8" w:rsidP="00A53CEA">
            <w:pPr>
              <w:pStyle w:val="ListParagraph"/>
              <w:numPr>
                <w:ilvl w:val="0"/>
                <w:numId w:val="2"/>
              </w:numPr>
              <w:ind w:left="540"/>
              <w:rPr>
                <w:rFonts w:ascii="Times New Roman" w:hAnsi="Times New Roman" w:cs="Times New Roman"/>
                <w:sz w:val="20"/>
                <w:szCs w:val="20"/>
              </w:rPr>
            </w:pPr>
            <w:r>
              <w:t>Some or all of the food and beverages sold to students during the school day, did not meet the Competitive Food standards. All competitive food sold to students on the school campus during the school day must meet the nutrition standards specified. These standards apply to items as packaged and served to students.</w:t>
            </w:r>
          </w:p>
        </w:tc>
      </w:tr>
    </w:tbl>
    <w:p w14:paraId="69416EDB" w14:textId="77777777" w:rsidR="00A53CEA" w:rsidRPr="00223718" w:rsidRDefault="006F280F" w:rsidP="00A53CEA">
      <w:pPr>
        <w:pStyle w:val="Normal0"/>
        <w:rPr>
          <w:rFonts w:ascii="Times New Roman" w:hAnsi="Times New Roman" w:cs="Times New Roman"/>
          <w:sz w:val="20"/>
          <w:szCs w:val="20"/>
        </w:rPr>
      </w:pPr>
    </w:p>
    <w:p w14:paraId="0E46ADEA" w14:textId="77777777" w:rsidR="00A53CEA" w:rsidRDefault="006F280F" w:rsidP="00A53CEA">
      <w:pPr>
        <w:pStyle w:val="Normal0"/>
      </w:pPr>
    </w:p>
    <w:p w14:paraId="488AA221" w14:textId="77777777" w:rsidR="006D68B7" w:rsidRDefault="006F280F">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7B67A" w14:textId="77777777" w:rsidR="006F280F" w:rsidRDefault="006F280F">
      <w:r>
        <w:separator/>
      </w:r>
    </w:p>
  </w:endnote>
  <w:endnote w:type="continuationSeparator" w:id="0">
    <w:p w14:paraId="7C75297C" w14:textId="77777777" w:rsidR="006F280F" w:rsidRDefault="006F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3712" w14:textId="77777777" w:rsidR="0037068A" w:rsidRDefault="006248F8" w:rsidP="000F3A03">
    <w:pPr>
      <w:pStyle w:val="Footer"/>
      <w:jc w:val="center"/>
      <w:rPr>
        <w:sz w:val="14"/>
      </w:rPr>
    </w:pPr>
    <w:r>
      <w:rPr>
        <w:sz w:val="14"/>
      </w:rPr>
      <w:t>This institution is an equal opportunity provider</w:t>
    </w:r>
  </w:p>
  <w:p w14:paraId="1D7067FC" w14:textId="77777777" w:rsidR="0037068A" w:rsidRDefault="006F2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124D8" w14:textId="77777777" w:rsidR="0037068A" w:rsidRDefault="006248F8" w:rsidP="000F3A03">
    <w:pPr>
      <w:pStyle w:val="Footer0"/>
      <w:jc w:val="center"/>
      <w:rPr>
        <w:sz w:val="14"/>
      </w:rPr>
    </w:pPr>
    <w:r>
      <w:rPr>
        <w:sz w:val="14"/>
      </w:rPr>
      <w:t>This institution is an equal opportunity provider</w:t>
    </w:r>
  </w:p>
  <w:p w14:paraId="0E2F63B0" w14:textId="77777777" w:rsidR="0037068A" w:rsidRDefault="006F280F">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0800F" w14:textId="77777777" w:rsidR="006F280F" w:rsidRDefault="006F280F">
      <w:r>
        <w:separator/>
      </w:r>
    </w:p>
  </w:footnote>
  <w:footnote w:type="continuationSeparator" w:id="0">
    <w:p w14:paraId="37137EC7" w14:textId="77777777" w:rsidR="006F280F" w:rsidRDefault="006F2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945AC058">
      <w:start w:val="1"/>
      <w:numFmt w:val="decimal"/>
      <w:lvlText w:val="%1."/>
      <w:lvlJc w:val="left"/>
      <w:pPr>
        <w:ind w:left="720" w:hanging="360"/>
      </w:pPr>
      <w:rPr>
        <w:rFonts w:hint="default"/>
      </w:rPr>
    </w:lvl>
    <w:lvl w:ilvl="1" w:tplc="8BF47002" w:tentative="1">
      <w:start w:val="1"/>
      <w:numFmt w:val="lowerLetter"/>
      <w:lvlText w:val="%2."/>
      <w:lvlJc w:val="left"/>
      <w:pPr>
        <w:ind w:left="1440" w:hanging="360"/>
      </w:pPr>
    </w:lvl>
    <w:lvl w:ilvl="2" w:tplc="9904BF06" w:tentative="1">
      <w:start w:val="1"/>
      <w:numFmt w:val="lowerRoman"/>
      <w:lvlText w:val="%3."/>
      <w:lvlJc w:val="right"/>
      <w:pPr>
        <w:ind w:left="2160" w:hanging="180"/>
      </w:pPr>
    </w:lvl>
    <w:lvl w:ilvl="3" w:tplc="00762C66" w:tentative="1">
      <w:start w:val="1"/>
      <w:numFmt w:val="decimal"/>
      <w:lvlText w:val="%4."/>
      <w:lvlJc w:val="left"/>
      <w:pPr>
        <w:ind w:left="2880" w:hanging="360"/>
      </w:pPr>
    </w:lvl>
    <w:lvl w:ilvl="4" w:tplc="A53A1C8C" w:tentative="1">
      <w:start w:val="1"/>
      <w:numFmt w:val="lowerLetter"/>
      <w:lvlText w:val="%5."/>
      <w:lvlJc w:val="left"/>
      <w:pPr>
        <w:ind w:left="3600" w:hanging="360"/>
      </w:pPr>
    </w:lvl>
    <w:lvl w:ilvl="5" w:tplc="71C069EE" w:tentative="1">
      <w:start w:val="1"/>
      <w:numFmt w:val="lowerRoman"/>
      <w:lvlText w:val="%6."/>
      <w:lvlJc w:val="right"/>
      <w:pPr>
        <w:ind w:left="4320" w:hanging="180"/>
      </w:pPr>
    </w:lvl>
    <w:lvl w:ilvl="6" w:tplc="435A4D4E" w:tentative="1">
      <w:start w:val="1"/>
      <w:numFmt w:val="decimal"/>
      <w:lvlText w:val="%7."/>
      <w:lvlJc w:val="left"/>
      <w:pPr>
        <w:ind w:left="5040" w:hanging="360"/>
      </w:pPr>
    </w:lvl>
    <w:lvl w:ilvl="7" w:tplc="3B48B02C" w:tentative="1">
      <w:start w:val="1"/>
      <w:numFmt w:val="lowerLetter"/>
      <w:lvlText w:val="%8."/>
      <w:lvlJc w:val="left"/>
      <w:pPr>
        <w:ind w:left="5760" w:hanging="360"/>
      </w:pPr>
    </w:lvl>
    <w:lvl w:ilvl="8" w:tplc="1298C40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7A4EA026">
      <w:start w:val="1"/>
      <w:numFmt w:val="bullet"/>
      <w:lvlText w:val=""/>
      <w:lvlJc w:val="left"/>
      <w:pPr>
        <w:ind w:left="720" w:hanging="360"/>
      </w:pPr>
      <w:rPr>
        <w:rFonts w:ascii="Symbol" w:hAnsi="Symbol" w:hint="default"/>
      </w:rPr>
    </w:lvl>
    <w:lvl w:ilvl="1" w:tplc="79E4A93A" w:tentative="1">
      <w:start w:val="1"/>
      <w:numFmt w:val="bullet"/>
      <w:lvlText w:val="o"/>
      <w:lvlJc w:val="left"/>
      <w:pPr>
        <w:ind w:left="1440" w:hanging="360"/>
      </w:pPr>
      <w:rPr>
        <w:rFonts w:ascii="Courier New" w:hAnsi="Courier New" w:cs="Courier New" w:hint="default"/>
      </w:rPr>
    </w:lvl>
    <w:lvl w:ilvl="2" w:tplc="A98E4856" w:tentative="1">
      <w:start w:val="1"/>
      <w:numFmt w:val="bullet"/>
      <w:lvlText w:val=""/>
      <w:lvlJc w:val="left"/>
      <w:pPr>
        <w:ind w:left="2160" w:hanging="360"/>
      </w:pPr>
      <w:rPr>
        <w:rFonts w:ascii="Wingdings" w:hAnsi="Wingdings" w:hint="default"/>
      </w:rPr>
    </w:lvl>
    <w:lvl w:ilvl="3" w:tplc="8E6081D2" w:tentative="1">
      <w:start w:val="1"/>
      <w:numFmt w:val="bullet"/>
      <w:lvlText w:val=""/>
      <w:lvlJc w:val="left"/>
      <w:pPr>
        <w:ind w:left="2880" w:hanging="360"/>
      </w:pPr>
      <w:rPr>
        <w:rFonts w:ascii="Symbol" w:hAnsi="Symbol" w:hint="default"/>
      </w:rPr>
    </w:lvl>
    <w:lvl w:ilvl="4" w:tplc="BFF80476" w:tentative="1">
      <w:start w:val="1"/>
      <w:numFmt w:val="bullet"/>
      <w:lvlText w:val="o"/>
      <w:lvlJc w:val="left"/>
      <w:pPr>
        <w:ind w:left="3600" w:hanging="360"/>
      </w:pPr>
      <w:rPr>
        <w:rFonts w:ascii="Courier New" w:hAnsi="Courier New" w:cs="Courier New" w:hint="default"/>
      </w:rPr>
    </w:lvl>
    <w:lvl w:ilvl="5" w:tplc="6804DF3C" w:tentative="1">
      <w:start w:val="1"/>
      <w:numFmt w:val="bullet"/>
      <w:lvlText w:val=""/>
      <w:lvlJc w:val="left"/>
      <w:pPr>
        <w:ind w:left="4320" w:hanging="360"/>
      </w:pPr>
      <w:rPr>
        <w:rFonts w:ascii="Wingdings" w:hAnsi="Wingdings" w:hint="default"/>
      </w:rPr>
    </w:lvl>
    <w:lvl w:ilvl="6" w:tplc="A8B011F2" w:tentative="1">
      <w:start w:val="1"/>
      <w:numFmt w:val="bullet"/>
      <w:lvlText w:val=""/>
      <w:lvlJc w:val="left"/>
      <w:pPr>
        <w:ind w:left="5040" w:hanging="360"/>
      </w:pPr>
      <w:rPr>
        <w:rFonts w:ascii="Symbol" w:hAnsi="Symbol" w:hint="default"/>
      </w:rPr>
    </w:lvl>
    <w:lvl w:ilvl="7" w:tplc="F470EFDA" w:tentative="1">
      <w:start w:val="1"/>
      <w:numFmt w:val="bullet"/>
      <w:lvlText w:val="o"/>
      <w:lvlJc w:val="left"/>
      <w:pPr>
        <w:ind w:left="5760" w:hanging="360"/>
      </w:pPr>
      <w:rPr>
        <w:rFonts w:ascii="Courier New" w:hAnsi="Courier New" w:cs="Courier New" w:hint="default"/>
      </w:rPr>
    </w:lvl>
    <w:lvl w:ilvl="8" w:tplc="45566E0C"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90"/>
    <w:rsid w:val="00486369"/>
    <w:rsid w:val="006248F8"/>
    <w:rsid w:val="006F280F"/>
    <w:rsid w:val="00996A90"/>
    <w:rsid w:val="00A61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2F85"/>
  <w15:docId w15:val="{7A09C3E0-9F70-4475-B5D7-C1154CE6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EB897A-BB6D-4BD6-8B2F-67F2FAB95A85}">
  <ds:schemaRefs>
    <ds:schemaRef ds:uri="http://schemas.microsoft.com/sharepoint/v3/contenttype/forms"/>
  </ds:schemaRefs>
</ds:datastoreItem>
</file>

<file path=customXml/itemProps2.xml><?xml version="1.0" encoding="utf-8"?>
<ds:datastoreItem xmlns:ds="http://schemas.openxmlformats.org/officeDocument/2006/customXml" ds:itemID="{0C10F89C-564A-4FB6-8786-98B010F5D8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232570-BD48-4DA9-8C4F-37D65F700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Winchester Public Schools Administrative Review Summary School Year 2021-2022</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 Public Schools Administrative Review Summary School Year 2021-2022</dc:title>
  <dc:subject/>
  <dc:creator>DESE</dc:creator>
  <cp:keywords/>
  <cp:lastModifiedBy>Zou, Dong (EOE)</cp:lastModifiedBy>
  <cp:revision>9</cp:revision>
  <dcterms:created xsi:type="dcterms:W3CDTF">2016-12-05T21:17:00Z</dcterms:created>
  <dcterms:modified xsi:type="dcterms:W3CDTF">2022-04-29T21:58:00Z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