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88FF0" w14:textId="727D6EFD" w:rsidR="001D55B7" w:rsidRPr="001341E6" w:rsidRDefault="00345916" w:rsidP="00345916">
      <w:pPr>
        <w:jc w:val="center"/>
        <w:rPr>
          <w:rFonts w:ascii="Times New Roman" w:hAnsi="Times New Roman" w:cs="Times New Roman"/>
        </w:rPr>
      </w:pPr>
      <w:r w:rsidRPr="001341E6">
        <w:rPr>
          <w:rFonts w:ascii="Times New Roman" w:eastAsia="Times New Roman" w:hAnsi="Times New Roman" w:cs="Times New Roman"/>
          <w:i/>
          <w:noProof/>
        </w:rPr>
        <w:drawing>
          <wp:anchor distT="0" distB="0" distL="114300" distR="274320" simplePos="0" relativeHeight="251659264" behindDoc="0" locked="0" layoutInCell="0" allowOverlap="1" wp14:anchorId="5117CB82" wp14:editId="27E2292E">
            <wp:simplePos x="0" y="0"/>
            <wp:positionH relativeFrom="column">
              <wp:posOffset>1016635</wp:posOffset>
            </wp:positionH>
            <wp:positionV relativeFrom="page">
              <wp:posOffset>281305</wp:posOffset>
            </wp:positionV>
            <wp:extent cx="782066" cy="985797"/>
            <wp:effectExtent l="0" t="0" r="5715" b="5080"/>
            <wp:wrapNone/>
            <wp:docPr id="3" name="Picture 3"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7" cstate="print">
                      <a:lum bright="18000"/>
                      <a:extLst>
                        <a:ext uri="{28A0092B-C50C-407E-A947-70E740481C1C}">
                          <a14:useLocalDpi xmlns:a14="http://schemas.microsoft.com/office/drawing/2010/main" val="0"/>
                        </a:ext>
                      </a:extLst>
                    </a:blip>
                    <a:srcRect/>
                    <a:stretch>
                      <a:fillRect/>
                    </a:stretch>
                  </pic:blipFill>
                  <pic:spPr bwMode="auto">
                    <a:xfrm>
                      <a:off x="0" y="0"/>
                      <a:ext cx="782066" cy="98579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60432" w14:textId="0BCBC856" w:rsidR="00345916" w:rsidRPr="001341E6" w:rsidRDefault="00345916" w:rsidP="00345916">
      <w:pPr>
        <w:jc w:val="center"/>
        <w:rPr>
          <w:rFonts w:ascii="Times New Roman" w:hAnsi="Times New Roman" w:cs="Times New Roman"/>
        </w:rPr>
      </w:pPr>
    </w:p>
    <w:p w14:paraId="23D13A60" w14:textId="23CCD3D6" w:rsidR="00345916" w:rsidRPr="001341E6" w:rsidRDefault="00345916" w:rsidP="00345916">
      <w:pPr>
        <w:jc w:val="center"/>
        <w:rPr>
          <w:rFonts w:ascii="Times New Roman" w:hAnsi="Times New Roman" w:cs="Times New Roman"/>
        </w:rPr>
      </w:pPr>
    </w:p>
    <w:p w14:paraId="3E3896FA" w14:textId="46AFC838" w:rsidR="00345916" w:rsidRPr="001341E6" w:rsidRDefault="00E622B6" w:rsidP="00345916">
      <w:pPr>
        <w:jc w:val="center"/>
        <w:rPr>
          <w:rFonts w:ascii="Times New Roman" w:hAnsi="Times New Roman" w:cs="Times New Roman"/>
        </w:rPr>
      </w:pPr>
      <w:r w:rsidRPr="001341E6">
        <w:rPr>
          <w:rFonts w:ascii="Times New Roman" w:hAnsi="Times New Roman" w:cs="Times New Roman"/>
          <w:noProof/>
        </w:rPr>
        <w:drawing>
          <wp:anchor distT="0" distB="0" distL="114300" distR="114300" simplePos="0" relativeHeight="251660288" behindDoc="0" locked="0" layoutInCell="1" allowOverlap="1" wp14:anchorId="60A0DF4A" wp14:editId="5907954A">
            <wp:simplePos x="0" y="0"/>
            <wp:positionH relativeFrom="column">
              <wp:posOffset>946150</wp:posOffset>
            </wp:positionH>
            <wp:positionV relativeFrom="paragraph">
              <wp:posOffset>-596900</wp:posOffset>
            </wp:positionV>
            <wp:extent cx="901700" cy="901700"/>
            <wp:effectExtent l="0" t="0" r="0" b="0"/>
            <wp:wrapNone/>
            <wp:docPr id="4" name="Picture 4" descr="Massachusetts Department of Public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PH logo.png"/>
                    <pic:cNvPicPr/>
                  </pic:nvPicPr>
                  <pic:blipFill>
                    <a:blip r:embed="rId8">
                      <a:extLst>
                        <a:ext uri="{28A0092B-C50C-407E-A947-70E740481C1C}">
                          <a14:useLocalDpi xmlns:a14="http://schemas.microsoft.com/office/drawing/2010/main" val="0"/>
                        </a:ext>
                      </a:extLst>
                    </a:blip>
                    <a:stretch>
                      <a:fillRect/>
                    </a:stretch>
                  </pic:blipFill>
                  <pic:spPr>
                    <a:xfrm>
                      <a:off x="0" y="0"/>
                      <a:ext cx="901700" cy="901700"/>
                    </a:xfrm>
                    <a:prstGeom prst="rect">
                      <a:avLst/>
                    </a:prstGeom>
                  </pic:spPr>
                </pic:pic>
              </a:graphicData>
            </a:graphic>
          </wp:anchor>
        </w:drawing>
      </w:r>
    </w:p>
    <w:p w14:paraId="2C3E195B" w14:textId="77777777" w:rsidR="00345916" w:rsidRPr="001341E6" w:rsidRDefault="00345916" w:rsidP="00345916">
      <w:pPr>
        <w:jc w:val="center"/>
        <w:rPr>
          <w:rFonts w:ascii="Times New Roman" w:hAnsi="Times New Roman" w:cs="Times New Roman"/>
        </w:rPr>
      </w:pPr>
    </w:p>
    <w:p w14:paraId="1B4AFA50" w14:textId="77777777" w:rsidR="00345916" w:rsidRPr="001341E6" w:rsidRDefault="00345916" w:rsidP="00345916">
      <w:pPr>
        <w:jc w:val="center"/>
        <w:rPr>
          <w:rFonts w:ascii="Times New Roman" w:hAnsi="Times New Roman" w:cs="Times New Roman"/>
        </w:rPr>
      </w:pPr>
    </w:p>
    <w:p w14:paraId="41ACD690" w14:textId="655F7CFE" w:rsidR="00345916" w:rsidRPr="001341E6" w:rsidRDefault="00345916" w:rsidP="00345916">
      <w:pPr>
        <w:jc w:val="center"/>
        <w:rPr>
          <w:rFonts w:ascii="Times New Roman" w:hAnsi="Times New Roman" w:cs="Times New Roman"/>
        </w:rPr>
        <w:sectPr w:rsidR="00345916" w:rsidRPr="001341E6" w:rsidSect="00345916">
          <w:pgSz w:w="12240" w:h="15840"/>
          <w:pgMar w:top="1440" w:right="1440" w:bottom="1440" w:left="1440" w:header="720" w:footer="720" w:gutter="0"/>
          <w:cols w:num="2" w:space="720"/>
          <w:docGrid w:linePitch="360"/>
        </w:sectPr>
      </w:pPr>
    </w:p>
    <w:p w14:paraId="53EFD030" w14:textId="0916905C" w:rsidR="00345916" w:rsidRPr="001341E6" w:rsidRDefault="00345916" w:rsidP="00EF2C5D">
      <w:pPr>
        <w:jc w:val="center"/>
        <w:rPr>
          <w:rFonts w:ascii="Times New Roman" w:hAnsi="Times New Roman" w:cs="Times New Roman"/>
        </w:rPr>
      </w:pPr>
      <w:r w:rsidRPr="001341E6">
        <w:rPr>
          <w:rFonts w:ascii="Times New Roman" w:hAnsi="Times New Roman" w:cs="Times New Roman"/>
        </w:rPr>
        <w:t>Jeffrey C. Riley</w:t>
      </w:r>
    </w:p>
    <w:p w14:paraId="23B7A9BB" w14:textId="77777777" w:rsidR="00345916" w:rsidRPr="001341E6" w:rsidRDefault="00345916" w:rsidP="00EF2C5D">
      <w:pPr>
        <w:jc w:val="center"/>
        <w:rPr>
          <w:rFonts w:ascii="Times New Roman" w:hAnsi="Times New Roman" w:cs="Times New Roman"/>
          <w:i/>
        </w:rPr>
      </w:pPr>
      <w:r w:rsidRPr="001341E6">
        <w:rPr>
          <w:rFonts w:ascii="Times New Roman" w:hAnsi="Times New Roman" w:cs="Times New Roman"/>
          <w:i/>
        </w:rPr>
        <w:t>Commissioner</w:t>
      </w:r>
    </w:p>
    <w:p w14:paraId="12B5B81C" w14:textId="2993BC9D" w:rsidR="00345916" w:rsidRPr="001341E6" w:rsidRDefault="00345916" w:rsidP="00EF2C5D">
      <w:pPr>
        <w:jc w:val="center"/>
        <w:rPr>
          <w:rFonts w:ascii="Times New Roman" w:hAnsi="Times New Roman" w:cs="Times New Roman"/>
          <w:i/>
        </w:rPr>
      </w:pPr>
      <w:r w:rsidRPr="001341E6">
        <w:rPr>
          <w:rFonts w:ascii="Times New Roman" w:hAnsi="Times New Roman" w:cs="Times New Roman"/>
          <w:i/>
        </w:rPr>
        <w:t>Massachusetts Department of</w:t>
      </w:r>
    </w:p>
    <w:p w14:paraId="011C1F43" w14:textId="567E5728" w:rsidR="00345916" w:rsidRPr="001341E6" w:rsidRDefault="00345916" w:rsidP="00EF2C5D">
      <w:pPr>
        <w:jc w:val="center"/>
        <w:rPr>
          <w:rFonts w:ascii="Times New Roman" w:hAnsi="Times New Roman" w:cs="Times New Roman"/>
          <w:i/>
        </w:rPr>
      </w:pPr>
      <w:r w:rsidRPr="001341E6">
        <w:rPr>
          <w:rFonts w:ascii="Times New Roman" w:hAnsi="Times New Roman" w:cs="Times New Roman"/>
          <w:i/>
        </w:rPr>
        <w:t>Elementary and Secondary Education</w:t>
      </w:r>
    </w:p>
    <w:p w14:paraId="59EC2A86" w14:textId="1C4FBEAC" w:rsidR="00345916" w:rsidRPr="001341E6" w:rsidRDefault="00A06566" w:rsidP="00EF2C5D">
      <w:pPr>
        <w:jc w:val="center"/>
        <w:rPr>
          <w:rFonts w:ascii="Times New Roman" w:hAnsi="Times New Roman" w:cs="Times New Roman"/>
        </w:rPr>
      </w:pPr>
      <w:r>
        <w:rPr>
          <w:rFonts w:ascii="Times New Roman" w:hAnsi="Times New Roman" w:cs="Times New Roman"/>
        </w:rPr>
        <w:t>M</w:t>
      </w:r>
      <w:r w:rsidR="006A2795">
        <w:rPr>
          <w:rFonts w:ascii="Times New Roman" w:hAnsi="Times New Roman" w:cs="Times New Roman"/>
        </w:rPr>
        <w:t>argaret Cooke</w:t>
      </w:r>
    </w:p>
    <w:p w14:paraId="599FB5D8" w14:textId="77777777" w:rsidR="00345916" w:rsidRPr="001341E6" w:rsidRDefault="00345916" w:rsidP="00EF2C5D">
      <w:pPr>
        <w:jc w:val="center"/>
        <w:rPr>
          <w:rFonts w:ascii="Times New Roman" w:hAnsi="Times New Roman" w:cs="Times New Roman"/>
          <w:i/>
        </w:rPr>
      </w:pPr>
      <w:r w:rsidRPr="001341E6">
        <w:rPr>
          <w:rFonts w:ascii="Times New Roman" w:hAnsi="Times New Roman" w:cs="Times New Roman"/>
          <w:i/>
        </w:rPr>
        <w:t>Commissioner</w:t>
      </w:r>
    </w:p>
    <w:p w14:paraId="68DC975A" w14:textId="24093140" w:rsidR="00345916" w:rsidRPr="001341E6" w:rsidRDefault="00345916" w:rsidP="00EF2C5D">
      <w:pPr>
        <w:jc w:val="center"/>
        <w:rPr>
          <w:rFonts w:ascii="Times New Roman" w:hAnsi="Times New Roman" w:cs="Times New Roman"/>
          <w:i/>
        </w:rPr>
        <w:sectPr w:rsidR="00345916" w:rsidRPr="001341E6" w:rsidSect="00345916">
          <w:type w:val="continuous"/>
          <w:pgSz w:w="12240" w:h="15840"/>
          <w:pgMar w:top="1440" w:right="1440" w:bottom="1440" w:left="1440" w:header="720" w:footer="720" w:gutter="0"/>
          <w:cols w:num="2" w:space="720"/>
          <w:docGrid w:linePitch="360"/>
        </w:sectPr>
      </w:pPr>
      <w:r w:rsidRPr="001341E6">
        <w:rPr>
          <w:rFonts w:ascii="Times New Roman" w:hAnsi="Times New Roman" w:cs="Times New Roman"/>
          <w:i/>
        </w:rPr>
        <w:t>Massachusetts Department of Public Health</w:t>
      </w:r>
    </w:p>
    <w:p w14:paraId="47E283DB" w14:textId="1EB0348C" w:rsidR="00345916" w:rsidRPr="001341E6" w:rsidRDefault="00345916" w:rsidP="00345916">
      <w:pPr>
        <w:rPr>
          <w:rFonts w:ascii="Times New Roman" w:hAnsi="Times New Roman" w:cs="Times New Roman"/>
        </w:rPr>
      </w:pPr>
    </w:p>
    <w:p w14:paraId="29324569" w14:textId="089DA111" w:rsidR="00345916" w:rsidRPr="001341E6" w:rsidRDefault="00345916" w:rsidP="00345916">
      <w:pPr>
        <w:rPr>
          <w:rFonts w:ascii="Times New Roman" w:hAnsi="Times New Roman" w:cs="Times New Roman"/>
        </w:rPr>
      </w:pPr>
    </w:p>
    <w:p w14:paraId="5D833D85" w14:textId="77777777" w:rsidR="00345916" w:rsidRPr="001341E6" w:rsidRDefault="00345916" w:rsidP="00345916">
      <w:pPr>
        <w:rPr>
          <w:rFonts w:ascii="Times New Roman" w:hAnsi="Times New Roman" w:cs="Times New Roman"/>
        </w:rPr>
        <w:sectPr w:rsidR="00345916" w:rsidRPr="001341E6" w:rsidSect="00345916">
          <w:type w:val="continuous"/>
          <w:pgSz w:w="12240" w:h="15840"/>
          <w:pgMar w:top="1440" w:right="1440" w:bottom="1440" w:left="1440" w:header="720" w:footer="720" w:gutter="0"/>
          <w:cols w:num="2" w:space="720"/>
          <w:docGrid w:linePitch="360"/>
        </w:sectPr>
      </w:pPr>
    </w:p>
    <w:p w14:paraId="2238CD70" w14:textId="6B6D5C85" w:rsidR="00345916" w:rsidRPr="001341E6" w:rsidRDefault="00345916" w:rsidP="00345916">
      <w:pPr>
        <w:rPr>
          <w:rFonts w:ascii="Times New Roman" w:hAnsi="Times New Roman" w:cs="Times New Roman"/>
        </w:rPr>
      </w:pPr>
    </w:p>
    <w:p w14:paraId="3D833A14" w14:textId="7B97D0EC" w:rsidR="001C42E1" w:rsidRPr="001341E6" w:rsidRDefault="001C42E1" w:rsidP="001C42E1">
      <w:pPr>
        <w:pStyle w:val="Heading1"/>
        <w:tabs>
          <w:tab w:val="clear" w:pos="4680"/>
        </w:tabs>
        <w:spacing w:line="276" w:lineRule="auto"/>
        <w:rPr>
          <w:szCs w:val="24"/>
        </w:rPr>
      </w:pPr>
      <w:r w:rsidRPr="001341E6">
        <w:rPr>
          <w:szCs w:val="24"/>
        </w:rPr>
        <w:t>MEMORANDUM</w:t>
      </w:r>
    </w:p>
    <w:p w14:paraId="6E57F66B" w14:textId="77777777" w:rsidR="001C42E1" w:rsidRPr="001341E6" w:rsidRDefault="001C42E1" w:rsidP="001C42E1">
      <w:pPr>
        <w:pStyle w:val="Footer"/>
        <w:widowControl w:val="0"/>
        <w:tabs>
          <w:tab w:val="clear" w:pos="4320"/>
          <w:tab w:val="clear" w:pos="8640"/>
        </w:tabs>
        <w:spacing w:line="276" w:lineRule="auto"/>
        <w:rPr>
          <w:snapToGrid w:val="0"/>
        </w:rPr>
      </w:pPr>
    </w:p>
    <w:tbl>
      <w:tblPr>
        <w:tblW w:w="0" w:type="auto"/>
        <w:tblLook w:val="01E0" w:firstRow="1" w:lastRow="1" w:firstColumn="1" w:lastColumn="1" w:noHBand="0" w:noVBand="0"/>
      </w:tblPr>
      <w:tblGrid>
        <w:gridCol w:w="1184"/>
        <w:gridCol w:w="8176"/>
      </w:tblGrid>
      <w:tr w:rsidR="001C42E1" w:rsidRPr="001341E6" w14:paraId="2AD9199E" w14:textId="77777777" w:rsidTr="008D1F9A">
        <w:tc>
          <w:tcPr>
            <w:tcW w:w="1184" w:type="dxa"/>
          </w:tcPr>
          <w:p w14:paraId="3F9548F4" w14:textId="77777777" w:rsidR="001C42E1" w:rsidRPr="001341E6" w:rsidRDefault="001C42E1" w:rsidP="008D1F9A">
            <w:pPr>
              <w:spacing w:line="276" w:lineRule="auto"/>
              <w:rPr>
                <w:rFonts w:ascii="Times New Roman" w:hAnsi="Times New Roman" w:cs="Times New Roman"/>
                <w:b/>
              </w:rPr>
            </w:pPr>
            <w:r w:rsidRPr="001341E6">
              <w:rPr>
                <w:rFonts w:ascii="Times New Roman" w:hAnsi="Times New Roman" w:cs="Times New Roman"/>
                <w:b/>
              </w:rPr>
              <w:t>To:</w:t>
            </w:r>
          </w:p>
        </w:tc>
        <w:tc>
          <w:tcPr>
            <w:tcW w:w="8176" w:type="dxa"/>
          </w:tcPr>
          <w:p w14:paraId="5D1C89A3" w14:textId="77777777" w:rsidR="001C42E1" w:rsidRPr="001341E6" w:rsidRDefault="001C42E1" w:rsidP="008D1F9A">
            <w:pPr>
              <w:spacing w:line="276" w:lineRule="auto"/>
              <w:rPr>
                <w:rFonts w:ascii="Times New Roman" w:hAnsi="Times New Roman" w:cs="Times New Roman"/>
                <w:b/>
              </w:rPr>
            </w:pPr>
            <w:r w:rsidRPr="001341E6">
              <w:rPr>
                <w:rFonts w:ascii="Times New Roman" w:hAnsi="Times New Roman" w:cs="Times New Roman"/>
              </w:rPr>
              <w:t>Superintendents, Charter School Leaders, Assistant Superintendents, Collaborative Leaders, Leaders of Approved Special Education Schools</w:t>
            </w:r>
          </w:p>
        </w:tc>
      </w:tr>
      <w:tr w:rsidR="001C42E1" w:rsidRPr="001341E6" w14:paraId="2A541C93" w14:textId="77777777" w:rsidTr="008D1F9A">
        <w:tc>
          <w:tcPr>
            <w:tcW w:w="1184" w:type="dxa"/>
          </w:tcPr>
          <w:p w14:paraId="65B88F59" w14:textId="77777777" w:rsidR="001C42E1" w:rsidRPr="001341E6" w:rsidRDefault="001C42E1" w:rsidP="008D1F9A">
            <w:pPr>
              <w:spacing w:line="276" w:lineRule="auto"/>
              <w:rPr>
                <w:rFonts w:ascii="Times New Roman" w:hAnsi="Times New Roman" w:cs="Times New Roman"/>
                <w:b/>
              </w:rPr>
            </w:pPr>
            <w:r w:rsidRPr="001341E6">
              <w:rPr>
                <w:rFonts w:ascii="Times New Roman" w:hAnsi="Times New Roman" w:cs="Times New Roman"/>
                <w:b/>
              </w:rPr>
              <w:t>From:</w:t>
            </w:r>
            <w:r w:rsidRPr="001341E6">
              <w:rPr>
                <w:rFonts w:ascii="Times New Roman" w:hAnsi="Times New Roman" w:cs="Times New Roman"/>
              </w:rPr>
              <w:tab/>
            </w:r>
          </w:p>
        </w:tc>
        <w:tc>
          <w:tcPr>
            <w:tcW w:w="8176" w:type="dxa"/>
          </w:tcPr>
          <w:p w14:paraId="74603813" w14:textId="77777777" w:rsidR="001C42E1" w:rsidRPr="001341E6" w:rsidRDefault="001C42E1" w:rsidP="008D1F9A">
            <w:pPr>
              <w:spacing w:line="276" w:lineRule="auto"/>
              <w:rPr>
                <w:rFonts w:ascii="Times New Roman" w:hAnsi="Times New Roman" w:cs="Times New Roman"/>
                <w:b/>
                <w:bCs/>
                <w:i/>
                <w:iCs/>
                <w:highlight w:val="yellow"/>
              </w:rPr>
            </w:pPr>
            <w:r w:rsidRPr="001341E6">
              <w:rPr>
                <w:rFonts w:ascii="Times New Roman" w:hAnsi="Times New Roman" w:cs="Times New Roman"/>
              </w:rPr>
              <w:t xml:space="preserve">Jeffrey C. Riley, Commissioner, Department of Elementary and Secondary Education and Margaret Cooke, Commissioner, Department of Public Health </w:t>
            </w:r>
          </w:p>
        </w:tc>
      </w:tr>
      <w:tr w:rsidR="001C42E1" w:rsidRPr="001341E6" w14:paraId="1408DB77" w14:textId="77777777" w:rsidTr="008D1F9A">
        <w:tc>
          <w:tcPr>
            <w:tcW w:w="1184" w:type="dxa"/>
          </w:tcPr>
          <w:p w14:paraId="77D90DFD" w14:textId="77777777" w:rsidR="001C42E1" w:rsidRPr="001341E6" w:rsidRDefault="001C42E1" w:rsidP="008D1F9A">
            <w:pPr>
              <w:spacing w:line="276" w:lineRule="auto"/>
              <w:rPr>
                <w:rFonts w:ascii="Times New Roman" w:hAnsi="Times New Roman" w:cs="Times New Roman"/>
                <w:b/>
              </w:rPr>
            </w:pPr>
            <w:r w:rsidRPr="001341E6">
              <w:rPr>
                <w:rFonts w:ascii="Times New Roman" w:hAnsi="Times New Roman" w:cs="Times New Roman"/>
                <w:b/>
              </w:rPr>
              <w:t>Date:</w:t>
            </w:r>
            <w:r w:rsidRPr="001341E6">
              <w:rPr>
                <w:rFonts w:ascii="Times New Roman" w:hAnsi="Times New Roman" w:cs="Times New Roman"/>
              </w:rPr>
              <w:tab/>
            </w:r>
          </w:p>
        </w:tc>
        <w:tc>
          <w:tcPr>
            <w:tcW w:w="8176" w:type="dxa"/>
          </w:tcPr>
          <w:p w14:paraId="5CFA93E7" w14:textId="77777777" w:rsidR="001C42E1" w:rsidRPr="001341E6" w:rsidRDefault="001C42E1" w:rsidP="008D1F9A">
            <w:pPr>
              <w:spacing w:line="276" w:lineRule="auto"/>
              <w:rPr>
                <w:rFonts w:ascii="Times New Roman" w:hAnsi="Times New Roman" w:cs="Times New Roman"/>
                <w:bCs/>
              </w:rPr>
            </w:pPr>
            <w:r w:rsidRPr="001341E6">
              <w:rPr>
                <w:rFonts w:ascii="Times New Roman" w:hAnsi="Times New Roman" w:cs="Times New Roman"/>
                <w:bCs/>
              </w:rPr>
              <w:t>August 15, 2022</w:t>
            </w:r>
          </w:p>
        </w:tc>
      </w:tr>
      <w:tr w:rsidR="001C42E1" w:rsidRPr="001341E6" w14:paraId="49295C78" w14:textId="77777777" w:rsidTr="008D1F9A">
        <w:tc>
          <w:tcPr>
            <w:tcW w:w="1184" w:type="dxa"/>
          </w:tcPr>
          <w:p w14:paraId="32D80FD7" w14:textId="77777777" w:rsidR="001C42E1" w:rsidRPr="001341E6" w:rsidRDefault="001C42E1" w:rsidP="008D1F9A">
            <w:pPr>
              <w:spacing w:line="276" w:lineRule="auto"/>
              <w:rPr>
                <w:rFonts w:ascii="Times New Roman" w:hAnsi="Times New Roman" w:cs="Times New Roman"/>
                <w:b/>
              </w:rPr>
            </w:pPr>
            <w:r w:rsidRPr="001341E6">
              <w:rPr>
                <w:rFonts w:ascii="Times New Roman" w:hAnsi="Times New Roman" w:cs="Times New Roman"/>
                <w:b/>
              </w:rPr>
              <w:t>Subject:</w:t>
            </w:r>
          </w:p>
        </w:tc>
        <w:tc>
          <w:tcPr>
            <w:tcW w:w="8176" w:type="dxa"/>
          </w:tcPr>
          <w:p w14:paraId="25E47A02" w14:textId="77777777" w:rsidR="001C42E1" w:rsidRPr="001341E6" w:rsidRDefault="001C42E1" w:rsidP="008D1F9A">
            <w:pPr>
              <w:spacing w:line="276" w:lineRule="auto"/>
              <w:rPr>
                <w:rFonts w:ascii="Times New Roman" w:hAnsi="Times New Roman" w:cs="Times New Roman"/>
              </w:rPr>
            </w:pPr>
            <w:r w:rsidRPr="001341E6">
              <w:rPr>
                <w:rFonts w:ascii="Times New Roman" w:hAnsi="Times New Roman" w:cs="Times New Roman"/>
              </w:rPr>
              <w:t>Update on COVID-19 Matters in K-12 Schools for Fall 2022</w:t>
            </w:r>
          </w:p>
        </w:tc>
      </w:tr>
    </w:tbl>
    <w:p w14:paraId="52CD34D8" w14:textId="77777777" w:rsidR="001C42E1" w:rsidRPr="001341E6" w:rsidRDefault="001C42E1" w:rsidP="001C42E1">
      <w:pPr>
        <w:pBdr>
          <w:bottom w:val="single" w:sz="4" w:space="1" w:color="auto"/>
        </w:pBdr>
        <w:spacing w:line="276" w:lineRule="auto"/>
        <w:rPr>
          <w:rFonts w:ascii="Times New Roman" w:hAnsi="Times New Roman" w:cs="Times New Roman"/>
        </w:rPr>
      </w:pPr>
      <w:bookmarkStart w:id="0" w:name="TO"/>
      <w:bookmarkStart w:id="1" w:name="FROM"/>
      <w:bookmarkStart w:id="2" w:name="DATE"/>
      <w:bookmarkStart w:id="3" w:name="RE"/>
      <w:bookmarkEnd w:id="0"/>
      <w:bookmarkEnd w:id="1"/>
      <w:bookmarkEnd w:id="2"/>
      <w:bookmarkEnd w:id="3"/>
    </w:p>
    <w:p w14:paraId="257126BA" w14:textId="77777777" w:rsidR="001C42E1" w:rsidRPr="001341E6" w:rsidRDefault="001C42E1" w:rsidP="001C42E1">
      <w:pPr>
        <w:spacing w:line="276" w:lineRule="auto"/>
        <w:rPr>
          <w:rFonts w:ascii="Times New Roman" w:hAnsi="Times New Roman" w:cs="Times New Roman"/>
        </w:rPr>
        <w:sectPr w:rsidR="001C42E1" w:rsidRPr="001341E6" w:rsidSect="008158DF">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pgMar w:top="1440" w:right="1440" w:bottom="1296" w:left="1440" w:header="1440" w:footer="1440" w:gutter="0"/>
          <w:cols w:space="720"/>
          <w:noEndnote/>
        </w:sectPr>
      </w:pPr>
    </w:p>
    <w:p w14:paraId="00E76266" w14:textId="77777777" w:rsidR="001C42E1" w:rsidRPr="001165FA" w:rsidRDefault="001C42E1" w:rsidP="00540926">
      <w:pPr>
        <w:rPr>
          <w:rStyle w:val="normaltextrun"/>
          <w:rFonts w:ascii="Times New Roman" w:hAnsi="Times New Roman" w:cs="Times New Roman"/>
        </w:rPr>
      </w:pPr>
    </w:p>
    <w:p w14:paraId="47B698B4" w14:textId="77777777" w:rsidR="001C42E1" w:rsidRPr="001165FA" w:rsidRDefault="001C42E1" w:rsidP="00540926">
      <w:pPr>
        <w:rPr>
          <w:rStyle w:val="normaltextrun"/>
          <w:rFonts w:ascii="Times New Roman" w:hAnsi="Times New Roman" w:cs="Times New Roman"/>
        </w:rPr>
      </w:pPr>
      <w:r w:rsidRPr="001165FA">
        <w:rPr>
          <w:rStyle w:val="normaltextrun"/>
          <w:rFonts w:ascii="Times New Roman" w:hAnsi="Times New Roman" w:cs="Times New Roman"/>
        </w:rPr>
        <w:t xml:space="preserve">Since the beginning of the COVID-19 pandemic, the Department of Elementary and Secondary Education (DESE) and the Department of Public Health (DPH) have provided guidance and support to K-12 schools and districts across the Commonwealth to promote the health and safety of our students, staff, and families. </w:t>
      </w:r>
    </w:p>
    <w:p w14:paraId="430D0D54" w14:textId="77777777" w:rsidR="001C42E1" w:rsidRPr="001165FA" w:rsidRDefault="001C42E1" w:rsidP="00540926">
      <w:pPr>
        <w:rPr>
          <w:rStyle w:val="normaltextrun"/>
          <w:rFonts w:ascii="Times New Roman" w:hAnsi="Times New Roman" w:cs="Times New Roman"/>
        </w:rPr>
      </w:pPr>
    </w:p>
    <w:p w14:paraId="66C52FF2" w14:textId="77777777" w:rsidR="001C42E1" w:rsidRPr="001165FA" w:rsidRDefault="001C42E1" w:rsidP="00540926">
      <w:pPr>
        <w:rPr>
          <w:rStyle w:val="normaltextrun"/>
          <w:rFonts w:ascii="Times New Roman" w:hAnsi="Times New Roman" w:cs="Times New Roman"/>
        </w:rPr>
      </w:pPr>
      <w:r w:rsidRPr="001165FA">
        <w:rPr>
          <w:rStyle w:val="normaltextrun"/>
          <w:rFonts w:ascii="Times New Roman" w:hAnsi="Times New Roman" w:cs="Times New Roman"/>
        </w:rPr>
        <w:t xml:space="preserve">As we prepare to open schools and welcome back students in the coming weeks, we are all looking forward to providing our students with in-person experiences that will offer rich learning opportunities, robust extra-curricular activities, and an educational environment for positive social interactions among students and between students and staff.  </w:t>
      </w:r>
    </w:p>
    <w:p w14:paraId="35CD4E5A" w14:textId="77777777" w:rsidR="001C42E1" w:rsidRPr="001165FA" w:rsidRDefault="001C42E1" w:rsidP="00540926">
      <w:pPr>
        <w:rPr>
          <w:rStyle w:val="normaltextrun"/>
          <w:rFonts w:ascii="Times New Roman" w:hAnsi="Times New Roman" w:cs="Times New Roman"/>
        </w:rPr>
      </w:pPr>
    </w:p>
    <w:p w14:paraId="20439AB4" w14:textId="77777777" w:rsidR="001C42E1" w:rsidRPr="001165FA" w:rsidRDefault="001C42E1" w:rsidP="00540926">
      <w:pPr>
        <w:rPr>
          <w:rStyle w:val="normaltextrun"/>
          <w:rFonts w:ascii="Times New Roman" w:hAnsi="Times New Roman" w:cs="Times New Roman"/>
        </w:rPr>
      </w:pPr>
      <w:r w:rsidRPr="001165FA">
        <w:rPr>
          <w:rStyle w:val="normaltextrun"/>
          <w:rFonts w:ascii="Times New Roman" w:hAnsi="Times New Roman" w:cs="Times New Roman"/>
        </w:rPr>
        <w:t>With COVID-19 vaccines now</w:t>
      </w:r>
      <w:r w:rsidRPr="001165FA" w:rsidDel="000F1883">
        <w:rPr>
          <w:rStyle w:val="normaltextrun"/>
          <w:rFonts w:ascii="Times New Roman" w:hAnsi="Times New Roman" w:cs="Times New Roman"/>
        </w:rPr>
        <w:t xml:space="preserve"> </w:t>
      </w:r>
      <w:r w:rsidRPr="001165FA">
        <w:rPr>
          <w:rStyle w:val="normaltextrun"/>
          <w:rFonts w:ascii="Times New Roman" w:hAnsi="Times New Roman" w:cs="Times New Roman"/>
        </w:rPr>
        <w:t xml:space="preserve">readily available, treatments accessible to those at higher risk for severe disease, and widespread availability of self-tests, DESE and DPH have continued to evolve our support  for schools in collaboration with the medical community and in line with the most </w:t>
      </w:r>
      <w:hyperlink r:id="rId15" w:history="1">
        <w:r w:rsidRPr="001165FA">
          <w:rPr>
            <w:rStyle w:val="Hyperlink"/>
            <w:rFonts w:ascii="Times New Roman" w:hAnsi="Times New Roman" w:cs="Times New Roman"/>
          </w:rPr>
          <w:t>recent CDC guidance</w:t>
        </w:r>
      </w:hyperlink>
      <w:r w:rsidRPr="001165FA">
        <w:rPr>
          <w:rStyle w:val="normaltextrun"/>
          <w:rFonts w:ascii="Times New Roman" w:hAnsi="Times New Roman" w:cs="Times New Roman"/>
        </w:rPr>
        <w:t xml:space="preserve"> issued August 11, 2022. This upcoming school year, districts and schools should focus their COVID mitigation strategies towards vulnerable and symptomatic individuals. </w:t>
      </w:r>
    </w:p>
    <w:p w14:paraId="5C92B438" w14:textId="77777777" w:rsidR="001C42E1" w:rsidRPr="001165FA" w:rsidRDefault="001C42E1" w:rsidP="00540926">
      <w:pPr>
        <w:rPr>
          <w:rStyle w:val="normaltextrun"/>
          <w:rFonts w:ascii="Times New Roman" w:hAnsi="Times New Roman" w:cs="Times New Roman"/>
        </w:rPr>
      </w:pPr>
    </w:p>
    <w:p w14:paraId="0318B777" w14:textId="77777777" w:rsidR="001C42E1" w:rsidRPr="001165FA" w:rsidRDefault="001C42E1" w:rsidP="00540926">
      <w:pPr>
        <w:rPr>
          <w:rStyle w:val="normaltextrun"/>
          <w:rFonts w:ascii="Times New Roman" w:hAnsi="Times New Roman" w:cs="Times New Roman"/>
          <w:highlight w:val="yellow"/>
        </w:rPr>
      </w:pPr>
      <w:r w:rsidRPr="001165FA">
        <w:rPr>
          <w:rStyle w:val="normaltextrun"/>
          <w:rFonts w:ascii="Times New Roman" w:hAnsi="Times New Roman" w:cs="Times New Roman"/>
        </w:rPr>
        <w:t>The Commonwealth is not recommending universal mask requirements, surveillance testing of asymptomatic individuals, contact tracing, or test-to-stay testing in schools. Districts and schools are reminded that there is no longer any statewide masking mandate in schools (other than school health offices) and there is no testing requirement for schools.</w:t>
      </w:r>
      <w:r w:rsidRPr="001165FA" w:rsidDel="0030543B">
        <w:rPr>
          <w:rStyle w:val="normaltextrun"/>
          <w:rFonts w:ascii="Times New Roman" w:hAnsi="Times New Roman" w:cs="Times New Roman"/>
        </w:rPr>
        <w:t xml:space="preserve"> </w:t>
      </w:r>
      <w:r w:rsidRPr="001165FA">
        <w:rPr>
          <w:rStyle w:val="normaltextrun"/>
          <w:rFonts w:ascii="Times New Roman" w:hAnsi="Times New Roman" w:cs="Times New Roman"/>
        </w:rPr>
        <w:t xml:space="preserve">We concluded our statewide testing program in the spring and have provided schools and districts with information about how they can purchase face masks and testing kits, if they choose to do so to address local needs. </w:t>
      </w:r>
    </w:p>
    <w:p w14:paraId="36170FBA" w14:textId="77777777" w:rsidR="001C42E1" w:rsidRPr="001165FA" w:rsidRDefault="001C42E1" w:rsidP="00540926">
      <w:pPr>
        <w:rPr>
          <w:rStyle w:val="normaltextrun"/>
          <w:rFonts w:ascii="Times New Roman" w:hAnsi="Times New Roman" w:cs="Times New Roman"/>
        </w:rPr>
      </w:pPr>
      <w:r w:rsidRPr="001165FA">
        <w:rPr>
          <w:rStyle w:val="normaltextrun"/>
          <w:rFonts w:ascii="Times New Roman" w:hAnsi="Times New Roman" w:cs="Times New Roman"/>
        </w:rPr>
        <w:t xml:space="preserve">This memo is intended to provide a brief update and review of recommendations on COVID-19 matters as we begin the 2022-23 school year. </w:t>
      </w:r>
      <w:r w:rsidRPr="001165FA">
        <w:rPr>
          <w:rStyle w:val="normaltextrun"/>
          <w:rFonts w:ascii="Times New Roman" w:hAnsi="Times New Roman" w:cs="Times New Roman"/>
          <w:u w:val="single"/>
        </w:rPr>
        <w:t xml:space="preserve">As always, schools and districts should continue to call the Rapid Response Help Center </w:t>
      </w:r>
      <w:r w:rsidRPr="001165FA">
        <w:rPr>
          <w:rFonts w:ascii="Times New Roman" w:hAnsi="Times New Roman" w:cs="Times New Roman"/>
          <w:color w:val="000000" w:themeColor="text1"/>
          <w:u w:val="single"/>
        </w:rPr>
        <w:t xml:space="preserve">at 781-338-3500 </w:t>
      </w:r>
      <w:r w:rsidRPr="001165FA">
        <w:rPr>
          <w:rStyle w:val="normaltextrun"/>
          <w:rFonts w:ascii="Times New Roman" w:hAnsi="Times New Roman" w:cs="Times New Roman"/>
          <w:u w:val="single"/>
        </w:rPr>
        <w:t>with any questions or concerns</w:t>
      </w:r>
      <w:r w:rsidRPr="001165FA">
        <w:rPr>
          <w:rStyle w:val="normaltextrun"/>
          <w:rFonts w:ascii="Times New Roman" w:hAnsi="Times New Roman" w:cs="Times New Roman"/>
        </w:rPr>
        <w:t xml:space="preserve">. </w:t>
      </w:r>
    </w:p>
    <w:p w14:paraId="0D19D462" w14:textId="77777777" w:rsidR="001C42E1" w:rsidRPr="001165FA" w:rsidRDefault="001C42E1" w:rsidP="00540926">
      <w:pPr>
        <w:rPr>
          <w:rStyle w:val="normaltextrun"/>
          <w:rFonts w:ascii="Times New Roman" w:hAnsi="Times New Roman" w:cs="Times New Roman"/>
          <w:b/>
          <w:bCs/>
        </w:rPr>
      </w:pPr>
      <w:r w:rsidRPr="001165FA">
        <w:rPr>
          <w:rStyle w:val="normaltextrun"/>
          <w:rFonts w:ascii="Times New Roman" w:hAnsi="Times New Roman" w:cs="Times New Roman"/>
          <w:b/>
          <w:bCs/>
        </w:rPr>
        <w:lastRenderedPageBreak/>
        <w:t>Vaccine Clinics</w:t>
      </w:r>
    </w:p>
    <w:p w14:paraId="32F568F4" w14:textId="77777777" w:rsidR="001C42E1" w:rsidRPr="001165FA" w:rsidRDefault="001C42E1" w:rsidP="00540926">
      <w:pPr>
        <w:rPr>
          <w:rFonts w:ascii="Times New Roman" w:hAnsi="Times New Roman" w:cs="Times New Roman"/>
        </w:rPr>
      </w:pPr>
      <w:r w:rsidRPr="001165FA">
        <w:rPr>
          <w:rStyle w:val="normaltextrun"/>
          <w:rFonts w:ascii="Times New Roman" w:hAnsi="Times New Roman" w:cs="Times New Roman"/>
        </w:rPr>
        <w:t xml:space="preserve">Vaccines continue to be the best way to protect individuals against the effects of COVID-19. </w:t>
      </w:r>
      <w:r w:rsidRPr="001165FA">
        <w:rPr>
          <w:rFonts w:ascii="Times New Roman" w:hAnsi="Times New Roman" w:cs="Times New Roman"/>
        </w:rPr>
        <w:t xml:space="preserve">DESE and DPH strongly recommend that all faculty, staff, and students, including the Commonwealth’s youngest children ages 6 months – 5 years, receive the COVID-19 vaccine primary series and all boosters, as they become eligible for them. For schools that are interested in setting up vaccine clinics on campus with a DPH-approved mobile vaccination provider, including clinic staff and vaccination administrators, free of charge, please fill out a request via the </w:t>
      </w:r>
      <w:hyperlink r:id="rId16">
        <w:r w:rsidRPr="001165FA">
          <w:rPr>
            <w:rStyle w:val="Hyperlink"/>
            <w:rFonts w:ascii="Times New Roman" w:hAnsi="Times New Roman" w:cs="Times New Roman"/>
          </w:rPr>
          <w:t>online form</w:t>
        </w:r>
      </w:hyperlink>
      <w:r w:rsidRPr="001165FA">
        <w:rPr>
          <w:rFonts w:ascii="Times New Roman" w:hAnsi="Times New Roman" w:cs="Times New Roman"/>
        </w:rPr>
        <w:t xml:space="preserve">. Please see this </w:t>
      </w:r>
      <w:hyperlink r:id="rId17">
        <w:r w:rsidRPr="001165FA">
          <w:rPr>
            <w:rStyle w:val="Hyperlink"/>
            <w:rFonts w:ascii="Times New Roman" w:hAnsi="Times New Roman" w:cs="Times New Roman"/>
          </w:rPr>
          <w:t>link</w:t>
        </w:r>
      </w:hyperlink>
      <w:r w:rsidRPr="001165FA">
        <w:rPr>
          <w:rFonts w:ascii="Times New Roman" w:hAnsi="Times New Roman" w:cs="Times New Roman"/>
        </w:rPr>
        <w:t xml:space="preserve"> for more information. </w:t>
      </w:r>
    </w:p>
    <w:p w14:paraId="0BC818B5" w14:textId="77777777" w:rsidR="001C42E1" w:rsidRPr="001165FA" w:rsidRDefault="001C42E1" w:rsidP="00540926">
      <w:pPr>
        <w:rPr>
          <w:rFonts w:ascii="Times New Roman" w:hAnsi="Times New Roman" w:cs="Times New Roman"/>
        </w:rPr>
      </w:pPr>
    </w:p>
    <w:p w14:paraId="166896D9" w14:textId="77777777" w:rsidR="001C42E1" w:rsidRPr="001165FA" w:rsidRDefault="001C42E1" w:rsidP="00540926">
      <w:pPr>
        <w:rPr>
          <w:rFonts w:ascii="Times New Roman" w:hAnsi="Times New Roman" w:cs="Times New Roman"/>
        </w:rPr>
      </w:pPr>
      <w:r w:rsidRPr="001165FA">
        <w:rPr>
          <w:rFonts w:ascii="Times New Roman" w:hAnsi="Times New Roman" w:cs="Times New Roman"/>
        </w:rPr>
        <w:t xml:space="preserve">Throughout this August and September, DPH is offering </w:t>
      </w:r>
      <w:hyperlink r:id="rId18" w:history="1">
        <w:r w:rsidRPr="001165FA">
          <w:rPr>
            <w:rStyle w:val="Hyperlink"/>
            <w:rFonts w:ascii="Times New Roman" w:hAnsi="Times New Roman" w:cs="Times New Roman"/>
          </w:rPr>
          <w:t xml:space="preserve">free family-friendly vaccine clinics to prepare teachers, staff, students, and family members </w:t>
        </w:r>
      </w:hyperlink>
      <w:r w:rsidRPr="001165FA">
        <w:rPr>
          <w:rFonts w:ascii="Times New Roman" w:hAnsi="Times New Roman" w:cs="Times New Roman"/>
        </w:rPr>
        <w:t xml:space="preserve">for going back to school. No ID, health insurance, or appointment is needed at these clinics, and fliers to promote them to families are available in multiple languages and can be found </w:t>
      </w:r>
      <w:hyperlink r:id="rId19" w:anchor="flyers-" w:history="1">
        <w:r w:rsidRPr="001165FA">
          <w:rPr>
            <w:rStyle w:val="Hyperlink"/>
            <w:rFonts w:ascii="Times New Roman" w:hAnsi="Times New Roman" w:cs="Times New Roman"/>
          </w:rPr>
          <w:t>here</w:t>
        </w:r>
      </w:hyperlink>
      <w:r w:rsidRPr="001165FA">
        <w:rPr>
          <w:rFonts w:ascii="Times New Roman" w:hAnsi="Times New Roman" w:cs="Times New Roman"/>
        </w:rPr>
        <w:t xml:space="preserve">. Information about these vaccination clinics and others across the state is available online at </w:t>
      </w:r>
      <w:hyperlink r:id="rId20" w:history="1">
        <w:r w:rsidRPr="001165FA">
          <w:rPr>
            <w:rStyle w:val="Hyperlink"/>
            <w:rFonts w:ascii="Times New Roman" w:hAnsi="Times New Roman" w:cs="Times New Roman"/>
          </w:rPr>
          <w:t>VaxFinder</w:t>
        </w:r>
      </w:hyperlink>
      <w:r w:rsidRPr="001165FA">
        <w:rPr>
          <w:rFonts w:ascii="Times New Roman" w:hAnsi="Times New Roman" w:cs="Times New Roman"/>
        </w:rPr>
        <w:t xml:space="preserve">. </w:t>
      </w:r>
    </w:p>
    <w:p w14:paraId="456FB40F" w14:textId="77777777" w:rsidR="001C42E1" w:rsidRPr="001165FA" w:rsidRDefault="001C42E1" w:rsidP="00540926">
      <w:pPr>
        <w:rPr>
          <w:rStyle w:val="Hyperlink"/>
          <w:rFonts w:ascii="Times New Roman" w:hAnsi="Times New Roman" w:cs="Times New Roman"/>
          <w:color w:val="auto"/>
          <w:u w:val="none"/>
        </w:rPr>
      </w:pPr>
    </w:p>
    <w:p w14:paraId="695B8A40" w14:textId="77777777" w:rsidR="001C42E1" w:rsidRPr="001165FA" w:rsidRDefault="001C42E1" w:rsidP="00540926">
      <w:pPr>
        <w:rPr>
          <w:rFonts w:ascii="Times New Roman" w:hAnsi="Times New Roman" w:cs="Times New Roman"/>
        </w:rPr>
      </w:pPr>
      <w:r w:rsidRPr="001165FA">
        <w:rPr>
          <w:rFonts w:ascii="Times New Roman" w:hAnsi="Times New Roman" w:cs="Times New Roman"/>
        </w:rPr>
        <w:t xml:space="preserve">In addition to recommending the COVID-19 vaccine, it continues to be essential that the educational and public health communities, as well as cities and towns, work together to ensure as many children and adults as possible receive flu vaccines. This will reduce the number of students and staff who need to stay home due to illness. </w:t>
      </w:r>
    </w:p>
    <w:p w14:paraId="77D39B2E" w14:textId="77777777" w:rsidR="001C42E1" w:rsidRPr="001165FA" w:rsidRDefault="001C42E1" w:rsidP="00540926">
      <w:pPr>
        <w:rPr>
          <w:rFonts w:ascii="Times New Roman" w:hAnsi="Times New Roman" w:cs="Times New Roman"/>
        </w:rPr>
      </w:pPr>
    </w:p>
    <w:p w14:paraId="0BF51D10" w14:textId="77777777" w:rsidR="001C42E1" w:rsidRPr="001165FA" w:rsidRDefault="001C42E1" w:rsidP="00540926">
      <w:pPr>
        <w:rPr>
          <w:rFonts w:ascii="Times New Roman" w:hAnsi="Times New Roman" w:cs="Times New Roman"/>
          <w:b/>
        </w:rPr>
      </w:pPr>
      <w:r w:rsidRPr="001165FA">
        <w:rPr>
          <w:rFonts w:ascii="Times New Roman" w:hAnsi="Times New Roman" w:cs="Times New Roman"/>
          <w:b/>
          <w:bCs/>
        </w:rPr>
        <w:t>Isolation and Exposure Precautions</w:t>
      </w:r>
    </w:p>
    <w:p w14:paraId="5568B146" w14:textId="5515603F" w:rsidR="001C42E1" w:rsidRDefault="001C42E1" w:rsidP="00540926">
      <w:pPr>
        <w:rPr>
          <w:rFonts w:ascii="Times New Roman" w:hAnsi="Times New Roman" w:cs="Times New Roman"/>
          <w:color w:val="333333"/>
        </w:rPr>
      </w:pPr>
      <w:r w:rsidRPr="001165FA">
        <w:rPr>
          <w:rFonts w:ascii="Times New Roman" w:hAnsi="Times New Roman" w:cs="Times New Roman"/>
          <w:color w:val="333333"/>
        </w:rPr>
        <w:t xml:space="preserve">Effective August 15, 2022, all students and staff in childcare, school in grades K-12, or participating in out-of-school time (OST) and recreational camp settings should follow the updated isolation and exposure guidance issued by </w:t>
      </w:r>
      <w:hyperlink r:id="rId21" w:history="1">
        <w:r w:rsidRPr="00466284">
          <w:rPr>
            <w:rStyle w:val="Hyperlink"/>
            <w:rFonts w:ascii="Times New Roman" w:hAnsi="Times New Roman" w:cs="Times New Roman"/>
          </w:rPr>
          <w:t>DPH</w:t>
        </w:r>
      </w:hyperlink>
      <w:r w:rsidRPr="001165FA">
        <w:rPr>
          <w:rFonts w:ascii="Times New Roman" w:hAnsi="Times New Roman" w:cs="Times New Roman"/>
          <w:color w:val="333333"/>
        </w:rPr>
        <w:t xml:space="preserve">, in alignment with recently issued guidance from CDC. No asymptomatic person should be excluded from school as a result of exposure, regardless of vaccination status or exposure setting. </w:t>
      </w:r>
    </w:p>
    <w:p w14:paraId="100C8950" w14:textId="77777777" w:rsidR="00466284" w:rsidRPr="001165FA" w:rsidRDefault="00466284" w:rsidP="00540926">
      <w:pPr>
        <w:rPr>
          <w:rFonts w:ascii="Times New Roman" w:hAnsi="Times New Roman" w:cs="Times New Roman"/>
          <w:color w:val="333333"/>
        </w:rPr>
      </w:pPr>
    </w:p>
    <w:p w14:paraId="2C65A8B1" w14:textId="4BFC771D" w:rsidR="001C42E1" w:rsidRDefault="001C42E1" w:rsidP="00540926">
      <w:pPr>
        <w:rPr>
          <w:rFonts w:ascii="Times New Roman" w:hAnsi="Times New Roman" w:cs="Times New Roman"/>
        </w:rPr>
      </w:pPr>
      <w:r w:rsidRPr="001165FA">
        <w:rPr>
          <w:rFonts w:ascii="Times New Roman" w:hAnsi="Times New Roman" w:cs="Times New Roman"/>
        </w:rPr>
        <w:t>As a reminder, contact tracing is no longer recommended statewide in K-12 schools.</w:t>
      </w:r>
    </w:p>
    <w:p w14:paraId="2F725E17" w14:textId="77777777" w:rsidR="00466284" w:rsidRPr="001165FA" w:rsidRDefault="00466284" w:rsidP="00540926">
      <w:pPr>
        <w:rPr>
          <w:rFonts w:ascii="Times New Roman" w:hAnsi="Times New Roman" w:cs="Times New Roman"/>
        </w:rPr>
      </w:pPr>
    </w:p>
    <w:p w14:paraId="5305551B" w14:textId="77777777" w:rsidR="001C42E1" w:rsidRPr="001165FA" w:rsidRDefault="001C42E1" w:rsidP="00540926">
      <w:pPr>
        <w:rPr>
          <w:rFonts w:ascii="Times New Roman" w:hAnsi="Times New Roman" w:cs="Times New Roman"/>
          <w:b/>
          <w:bCs/>
        </w:rPr>
      </w:pPr>
      <w:r w:rsidRPr="001165FA">
        <w:rPr>
          <w:rFonts w:ascii="Times New Roman" w:hAnsi="Times New Roman" w:cs="Times New Roman"/>
          <w:b/>
          <w:bCs/>
        </w:rPr>
        <w:t>Masking</w:t>
      </w:r>
    </w:p>
    <w:p w14:paraId="0E9EDF9A" w14:textId="519067EE" w:rsidR="001C42E1" w:rsidRDefault="001C42E1" w:rsidP="00540926">
      <w:pPr>
        <w:rPr>
          <w:rFonts w:ascii="Times New Roman" w:hAnsi="Times New Roman" w:cs="Times New Roman"/>
        </w:rPr>
      </w:pPr>
      <w:r w:rsidRPr="001165FA">
        <w:rPr>
          <w:rFonts w:ascii="Times New Roman" w:hAnsi="Times New Roman" w:cs="Times New Roman"/>
        </w:rPr>
        <w:t xml:space="preserve">There is no statewide requirement for masking in schools, apart from in </w:t>
      </w:r>
      <w:hyperlink r:id="rId22" w:anchor="mask-requirements-in-certain-locations-">
        <w:r w:rsidRPr="001165FA">
          <w:rPr>
            <w:rStyle w:val="Hyperlink"/>
            <w:rFonts w:ascii="Times New Roman" w:hAnsi="Times New Roman" w:cs="Times New Roman"/>
          </w:rPr>
          <w:t>school health offices</w:t>
        </w:r>
      </w:hyperlink>
      <w:r w:rsidRPr="001165FA">
        <w:rPr>
          <w:rFonts w:ascii="Times New Roman" w:hAnsi="Times New Roman" w:cs="Times New Roman"/>
        </w:rPr>
        <w:t>, and the Commonwealth is not recommending universal mask requirements. As always, any individual who wishes to continue to mask, including those who face higher risk from COVID-19, should be supported in that choice.</w:t>
      </w:r>
    </w:p>
    <w:p w14:paraId="2BEFEB8E" w14:textId="77777777" w:rsidR="00466284" w:rsidRPr="001165FA" w:rsidRDefault="00466284" w:rsidP="00540926">
      <w:pPr>
        <w:rPr>
          <w:rFonts w:ascii="Times New Roman" w:hAnsi="Times New Roman" w:cs="Times New Roman"/>
          <w:b/>
        </w:rPr>
      </w:pPr>
    </w:p>
    <w:p w14:paraId="6E98D0CC" w14:textId="77777777" w:rsidR="001C42E1" w:rsidRPr="001165FA" w:rsidRDefault="001C42E1" w:rsidP="00540926">
      <w:pPr>
        <w:rPr>
          <w:rStyle w:val="normaltextrun"/>
          <w:rFonts w:ascii="Times New Roman" w:hAnsi="Times New Roman" w:cs="Times New Roman"/>
          <w:b/>
          <w:bCs/>
        </w:rPr>
      </w:pPr>
      <w:r w:rsidRPr="001165FA">
        <w:rPr>
          <w:rFonts w:ascii="Times New Roman" w:eastAsia="Calibri" w:hAnsi="Times New Roman" w:cs="Times New Roman"/>
        </w:rPr>
        <w:t xml:space="preserve">Schools and districts may purchase masks through the </w:t>
      </w:r>
      <w:hyperlink r:id="rId23" w:history="1">
        <w:r w:rsidRPr="001165FA">
          <w:rPr>
            <w:rStyle w:val="Hyperlink"/>
            <w:rFonts w:ascii="Times New Roman" w:eastAsia="Calibri" w:hAnsi="Times New Roman" w:cs="Times New Roman"/>
          </w:rPr>
          <w:t>statewide contract</w:t>
        </w:r>
      </w:hyperlink>
      <w:r w:rsidRPr="001165FA">
        <w:rPr>
          <w:rFonts w:ascii="Times New Roman" w:eastAsia="Calibri" w:hAnsi="Times New Roman" w:cs="Times New Roman"/>
        </w:rPr>
        <w:t>.</w:t>
      </w:r>
    </w:p>
    <w:p w14:paraId="778F2083" w14:textId="77777777" w:rsidR="001C42E1" w:rsidRPr="001165FA" w:rsidRDefault="001C42E1" w:rsidP="00540926">
      <w:pPr>
        <w:rPr>
          <w:rStyle w:val="normaltextrun"/>
          <w:rFonts w:ascii="Times New Roman" w:hAnsi="Times New Roman" w:cs="Times New Roman"/>
          <w:b/>
          <w:bCs/>
        </w:rPr>
      </w:pPr>
    </w:p>
    <w:p w14:paraId="48DF2BEA" w14:textId="77777777" w:rsidR="001C42E1" w:rsidRPr="001165FA" w:rsidRDefault="001C42E1" w:rsidP="00540926">
      <w:pPr>
        <w:rPr>
          <w:rStyle w:val="normaltextrun"/>
          <w:rFonts w:ascii="Times New Roman" w:hAnsi="Times New Roman" w:cs="Times New Roman"/>
          <w:b/>
          <w:bCs/>
        </w:rPr>
      </w:pPr>
      <w:r w:rsidRPr="001165FA">
        <w:rPr>
          <w:rStyle w:val="normaltextrun"/>
          <w:rFonts w:ascii="Times New Roman" w:hAnsi="Times New Roman" w:cs="Times New Roman"/>
          <w:b/>
          <w:bCs/>
        </w:rPr>
        <w:t>COVID-19 Testing</w:t>
      </w:r>
    </w:p>
    <w:p w14:paraId="25D92C0F" w14:textId="7A959ACB" w:rsidR="001C42E1" w:rsidRDefault="001C42E1" w:rsidP="00540926">
      <w:pPr>
        <w:rPr>
          <w:rStyle w:val="normaltextrun"/>
          <w:rFonts w:ascii="Times New Roman" w:hAnsi="Times New Roman" w:cs="Times New Roman"/>
        </w:rPr>
      </w:pPr>
      <w:r w:rsidRPr="001165FA">
        <w:rPr>
          <w:rStyle w:val="normaltextrun"/>
          <w:rFonts w:ascii="Times New Roman" w:hAnsi="Times New Roman" w:cs="Times New Roman"/>
        </w:rPr>
        <w:t>With the conclusion of the statewide K-12 COVID-19 testing program, s</w:t>
      </w:r>
      <w:r w:rsidRPr="001165FA">
        <w:rPr>
          <w:rStyle w:val="normaltextrun"/>
          <w:rFonts w:ascii="Times New Roman" w:hAnsi="Times New Roman" w:cs="Times New Roman"/>
          <w:shd w:val="clear" w:color="auto" w:fill="FFFFFF"/>
        </w:rPr>
        <w:t xml:space="preserve">taffing, supplies, software, and all other services previously provided via CIC Health are no longer available through the state. </w:t>
      </w:r>
      <w:bookmarkStart w:id="4" w:name="_Hlk97551288"/>
    </w:p>
    <w:p w14:paraId="586065F7" w14:textId="77777777" w:rsidR="00466284" w:rsidRPr="001165FA" w:rsidRDefault="00466284" w:rsidP="00540926">
      <w:pPr>
        <w:rPr>
          <w:rStyle w:val="normaltextrun"/>
          <w:rFonts w:ascii="Times New Roman" w:hAnsi="Times New Roman" w:cs="Times New Roman"/>
        </w:rPr>
      </w:pPr>
    </w:p>
    <w:p w14:paraId="177C0B40" w14:textId="77777777" w:rsidR="001C42E1" w:rsidRPr="001165FA" w:rsidRDefault="001C42E1" w:rsidP="00540926">
      <w:pPr>
        <w:rPr>
          <w:rStyle w:val="normaltextrun"/>
          <w:rFonts w:ascii="Times New Roman" w:hAnsi="Times New Roman" w:cs="Times New Roman"/>
        </w:rPr>
      </w:pPr>
      <w:r w:rsidRPr="001165FA">
        <w:rPr>
          <w:rFonts w:ascii="Times New Roman" w:eastAsia="Calibri" w:hAnsi="Times New Roman" w:cs="Times New Roman"/>
        </w:rPr>
        <w:lastRenderedPageBreak/>
        <w:t xml:space="preserve">In line with recent CDC guidance, screening testing and test to stay are not recommended. As communicated in an </w:t>
      </w:r>
      <w:hyperlink r:id="rId24">
        <w:r w:rsidRPr="001165FA">
          <w:rPr>
            <w:rStyle w:val="Hyperlink"/>
            <w:rFonts w:ascii="Times New Roman" w:eastAsia="Calibri" w:hAnsi="Times New Roman" w:cs="Times New Roman"/>
          </w:rPr>
          <w:t>updated testing memo</w:t>
        </w:r>
      </w:hyperlink>
      <w:r w:rsidRPr="001165FA">
        <w:rPr>
          <w:rFonts w:ascii="Times New Roman" w:eastAsia="Calibri" w:hAnsi="Times New Roman" w:cs="Times New Roman"/>
        </w:rPr>
        <w:t xml:space="preserve"> released on May 25, 2022, </w:t>
      </w:r>
      <w:r w:rsidRPr="001165FA">
        <w:rPr>
          <w:rFonts w:ascii="Times New Roman" w:eastAsia="Calibri" w:hAnsi="Times New Roman" w:cs="Times New Roman"/>
          <w:b/>
        </w:rPr>
        <w:t xml:space="preserve">DESE and DPH strongly recommend that schools and districts interested in implementing their own testing program during the 2022-23 school year limit that program to symptomatic rapid testing. </w:t>
      </w:r>
      <w:bookmarkEnd w:id="4"/>
      <w:r w:rsidRPr="001165FA">
        <w:rPr>
          <w:rStyle w:val="normaltextrun"/>
          <w:rFonts w:ascii="Times New Roman" w:hAnsi="Times New Roman" w:cs="Times New Roman"/>
        </w:rPr>
        <w:t xml:space="preserve">Districts and schools choosing to implement in-school testing must secure whatever staffing and test supplies are necessary to implement their program. </w:t>
      </w:r>
    </w:p>
    <w:p w14:paraId="0CC85AE3" w14:textId="77777777" w:rsidR="001C42E1" w:rsidRPr="001165FA" w:rsidRDefault="001C42E1" w:rsidP="00540926">
      <w:pPr>
        <w:rPr>
          <w:rStyle w:val="normaltextrun"/>
          <w:rFonts w:ascii="Times New Roman" w:hAnsi="Times New Roman" w:cs="Times New Roman"/>
        </w:rPr>
      </w:pPr>
    </w:p>
    <w:p w14:paraId="7D5378A0" w14:textId="77777777" w:rsidR="001C42E1" w:rsidRPr="001165FA" w:rsidRDefault="001C42E1" w:rsidP="00540926">
      <w:pPr>
        <w:rPr>
          <w:rStyle w:val="normaltextrun"/>
          <w:rFonts w:ascii="Times New Roman" w:hAnsi="Times New Roman" w:cs="Times New Roman"/>
        </w:rPr>
      </w:pPr>
      <w:r w:rsidRPr="001165FA">
        <w:rPr>
          <w:rStyle w:val="normaltextrun"/>
          <w:rFonts w:ascii="Times New Roman" w:hAnsi="Times New Roman" w:cs="Times New Roman"/>
        </w:rPr>
        <w:t xml:space="preserve">Additionally, districts are encouraged to purchase a supply of self-tests for students and staff through </w:t>
      </w:r>
      <w:hyperlink r:id="rId25">
        <w:r w:rsidRPr="001165FA">
          <w:rPr>
            <w:rStyle w:val="Hyperlink"/>
            <w:rFonts w:ascii="Times New Roman" w:eastAsia="Calibri" w:hAnsi="Times New Roman" w:cs="Times New Roman"/>
          </w:rPr>
          <w:t>statewide contract</w:t>
        </w:r>
      </w:hyperlink>
      <w:r w:rsidRPr="001165FA">
        <w:rPr>
          <w:rStyle w:val="normaltextrun"/>
          <w:rFonts w:ascii="Times New Roman" w:hAnsi="Times New Roman" w:cs="Times New Roman"/>
        </w:rPr>
        <w:t xml:space="preserve"> HSP 41 to prepare for possible outbreaks.</w:t>
      </w:r>
    </w:p>
    <w:p w14:paraId="06477AE1" w14:textId="77777777" w:rsidR="001C42E1" w:rsidRPr="001165FA" w:rsidRDefault="001C42E1" w:rsidP="00540926">
      <w:pPr>
        <w:rPr>
          <w:rStyle w:val="normaltextrun"/>
          <w:rFonts w:ascii="Times New Roman" w:hAnsi="Times New Roman" w:cs="Times New Roman"/>
        </w:rPr>
      </w:pPr>
    </w:p>
    <w:p w14:paraId="7F41BAD0" w14:textId="77777777" w:rsidR="001C42E1" w:rsidRPr="001165FA" w:rsidRDefault="001C42E1" w:rsidP="00540926">
      <w:pPr>
        <w:rPr>
          <w:rStyle w:val="normaltextrun"/>
          <w:rFonts w:ascii="Times New Roman" w:eastAsia="Calibri" w:hAnsi="Times New Roman" w:cs="Times New Roman"/>
          <w:b/>
          <w:bCs/>
        </w:rPr>
      </w:pPr>
      <w:r w:rsidRPr="001165FA">
        <w:rPr>
          <w:rFonts w:ascii="Times New Roman" w:hAnsi="Times New Roman" w:cs="Times New Roman"/>
        </w:rPr>
        <w:t>Please note, per DPH and Centers for Medicare &amp; Medicaid Services (CMS) requirements, all schools administering in-school testing either by using the remaining supply of tests from the state or their own supply must adhere to the following requirements:</w:t>
      </w:r>
    </w:p>
    <w:p w14:paraId="17A8BCCB" w14:textId="77777777" w:rsidR="001C42E1" w:rsidRPr="001165FA" w:rsidRDefault="001C42E1" w:rsidP="00540926">
      <w:pPr>
        <w:rPr>
          <w:rStyle w:val="normaltextrun"/>
          <w:rFonts w:ascii="Times New Roman" w:hAnsi="Times New Roman" w:cs="Times New Roman"/>
          <w:bCs/>
        </w:rPr>
      </w:pPr>
    </w:p>
    <w:tbl>
      <w:tblPr>
        <w:tblStyle w:val="TableGrid"/>
        <w:tblW w:w="9105" w:type="dxa"/>
        <w:jc w:val="center"/>
        <w:tblLayout w:type="fixed"/>
        <w:tblLook w:val="04A0" w:firstRow="1" w:lastRow="0" w:firstColumn="1" w:lastColumn="0" w:noHBand="0" w:noVBand="1"/>
      </w:tblPr>
      <w:tblGrid>
        <w:gridCol w:w="4320"/>
        <w:gridCol w:w="1500"/>
        <w:gridCol w:w="1875"/>
        <w:gridCol w:w="1410"/>
      </w:tblGrid>
      <w:tr w:rsidR="001C42E1" w:rsidRPr="001165FA" w14:paraId="4F37DC69" w14:textId="77777777" w:rsidTr="008D1F9A">
        <w:trPr>
          <w:jc w:val="center"/>
        </w:trPr>
        <w:tc>
          <w:tcPr>
            <w:tcW w:w="4320" w:type="dxa"/>
            <w:tcBorders>
              <w:top w:val="single" w:sz="8" w:space="0" w:color="auto"/>
              <w:left w:val="single" w:sz="8" w:space="0" w:color="auto"/>
              <w:bottom w:val="single" w:sz="8" w:space="0" w:color="auto"/>
              <w:right w:val="single" w:sz="8" w:space="0" w:color="auto"/>
            </w:tcBorders>
          </w:tcPr>
          <w:p w14:paraId="3F5F7BB5" w14:textId="77777777" w:rsidR="001C42E1" w:rsidRPr="001165FA" w:rsidRDefault="001C42E1" w:rsidP="00540926">
            <w:pPr>
              <w:rPr>
                <w:rFonts w:eastAsia="Calibri"/>
                <w:b/>
                <w:bCs/>
                <w:sz w:val="24"/>
                <w:szCs w:val="24"/>
              </w:rPr>
            </w:pPr>
            <w:r w:rsidRPr="001165FA">
              <w:rPr>
                <w:rFonts w:eastAsia="Calibri"/>
                <w:b/>
                <w:bCs/>
                <w:sz w:val="24"/>
                <w:szCs w:val="24"/>
              </w:rPr>
              <w:t>Situation</w:t>
            </w:r>
          </w:p>
        </w:tc>
        <w:tc>
          <w:tcPr>
            <w:tcW w:w="1500" w:type="dxa"/>
            <w:tcBorders>
              <w:top w:val="single" w:sz="8" w:space="0" w:color="auto"/>
              <w:left w:val="single" w:sz="8" w:space="0" w:color="auto"/>
              <w:bottom w:val="single" w:sz="8" w:space="0" w:color="auto"/>
              <w:right w:val="single" w:sz="8" w:space="0" w:color="auto"/>
            </w:tcBorders>
          </w:tcPr>
          <w:p w14:paraId="4D199EED" w14:textId="77777777" w:rsidR="001C42E1" w:rsidRPr="001165FA" w:rsidRDefault="001C42E1" w:rsidP="00540926">
            <w:pPr>
              <w:rPr>
                <w:rFonts w:eastAsia="Calibri"/>
                <w:b/>
                <w:bCs/>
                <w:sz w:val="24"/>
                <w:szCs w:val="24"/>
              </w:rPr>
            </w:pPr>
            <w:r w:rsidRPr="001165FA">
              <w:rPr>
                <w:rFonts w:eastAsia="Calibri"/>
                <w:b/>
                <w:bCs/>
                <w:sz w:val="24"/>
                <w:szCs w:val="24"/>
              </w:rPr>
              <w:t>CLIA Certificate of Waiver Required</w:t>
            </w:r>
          </w:p>
        </w:tc>
        <w:tc>
          <w:tcPr>
            <w:tcW w:w="1875" w:type="dxa"/>
            <w:tcBorders>
              <w:top w:val="single" w:sz="8" w:space="0" w:color="auto"/>
              <w:left w:val="single" w:sz="8" w:space="0" w:color="auto"/>
              <w:bottom w:val="single" w:sz="8" w:space="0" w:color="auto"/>
              <w:right w:val="single" w:sz="8" w:space="0" w:color="auto"/>
            </w:tcBorders>
          </w:tcPr>
          <w:p w14:paraId="6AF2D192" w14:textId="77777777" w:rsidR="001C42E1" w:rsidRPr="001165FA" w:rsidRDefault="001C42E1" w:rsidP="00540926">
            <w:pPr>
              <w:rPr>
                <w:rFonts w:eastAsia="Calibri"/>
                <w:b/>
                <w:bCs/>
                <w:sz w:val="24"/>
                <w:szCs w:val="24"/>
              </w:rPr>
            </w:pPr>
            <w:r w:rsidRPr="001165FA">
              <w:rPr>
                <w:rFonts w:eastAsia="Calibri"/>
                <w:b/>
                <w:bCs/>
                <w:sz w:val="24"/>
                <w:szCs w:val="24"/>
              </w:rPr>
              <w:t>Reporting to DPH Required (</w:t>
            </w:r>
            <w:r w:rsidRPr="001165FA">
              <w:rPr>
                <w:rFonts w:eastAsia="Calibri"/>
                <w:b/>
                <w:bCs/>
                <w:sz w:val="24"/>
                <w:szCs w:val="24"/>
                <w:u w:val="single"/>
              </w:rPr>
              <w:t>Positives Only</w:t>
            </w:r>
            <w:r w:rsidRPr="001165FA">
              <w:rPr>
                <w:rFonts w:eastAsia="Calibri"/>
                <w:b/>
                <w:bCs/>
                <w:sz w:val="24"/>
                <w:szCs w:val="24"/>
              </w:rPr>
              <w:t>)</w:t>
            </w:r>
          </w:p>
        </w:tc>
        <w:tc>
          <w:tcPr>
            <w:tcW w:w="1410" w:type="dxa"/>
            <w:tcBorders>
              <w:top w:val="single" w:sz="8" w:space="0" w:color="auto"/>
              <w:left w:val="single" w:sz="8" w:space="0" w:color="auto"/>
              <w:bottom w:val="single" w:sz="8" w:space="0" w:color="auto"/>
              <w:right w:val="single" w:sz="8" w:space="0" w:color="auto"/>
            </w:tcBorders>
          </w:tcPr>
          <w:p w14:paraId="005EC854" w14:textId="77777777" w:rsidR="001C42E1" w:rsidRPr="001165FA" w:rsidRDefault="001C42E1" w:rsidP="00540926">
            <w:pPr>
              <w:rPr>
                <w:rFonts w:eastAsia="Calibri"/>
                <w:b/>
                <w:bCs/>
                <w:sz w:val="24"/>
                <w:szCs w:val="24"/>
              </w:rPr>
            </w:pPr>
            <w:r w:rsidRPr="001165FA">
              <w:rPr>
                <w:rFonts w:eastAsia="Calibri"/>
                <w:b/>
                <w:bCs/>
                <w:sz w:val="24"/>
                <w:szCs w:val="24"/>
              </w:rPr>
              <w:t>Provider’s Order Required</w:t>
            </w:r>
          </w:p>
        </w:tc>
      </w:tr>
      <w:tr w:rsidR="001C42E1" w:rsidRPr="001165FA" w14:paraId="48B26707" w14:textId="77777777" w:rsidTr="008D1F9A">
        <w:trPr>
          <w:jc w:val="center"/>
        </w:trPr>
        <w:tc>
          <w:tcPr>
            <w:tcW w:w="4320" w:type="dxa"/>
            <w:tcBorders>
              <w:top w:val="single" w:sz="8" w:space="0" w:color="auto"/>
              <w:left w:val="single" w:sz="8" w:space="0" w:color="auto"/>
              <w:bottom w:val="single" w:sz="8" w:space="0" w:color="auto"/>
              <w:right w:val="single" w:sz="8" w:space="0" w:color="auto"/>
            </w:tcBorders>
          </w:tcPr>
          <w:p w14:paraId="2D0F9432" w14:textId="77777777" w:rsidR="001C42E1" w:rsidRPr="001165FA" w:rsidRDefault="001C42E1" w:rsidP="00540926">
            <w:pPr>
              <w:rPr>
                <w:rFonts w:eastAsia="Calibri"/>
                <w:sz w:val="24"/>
                <w:szCs w:val="24"/>
              </w:rPr>
            </w:pPr>
            <w:r w:rsidRPr="001165FA">
              <w:rPr>
                <w:rFonts w:eastAsia="Calibri"/>
                <w:sz w:val="24"/>
                <w:szCs w:val="24"/>
              </w:rPr>
              <w:t>BinaxNOW “Professional” or other official Point of Care test, any testing reason</w:t>
            </w:r>
          </w:p>
        </w:tc>
        <w:tc>
          <w:tcPr>
            <w:tcW w:w="1500" w:type="dxa"/>
            <w:tcBorders>
              <w:top w:val="single" w:sz="8" w:space="0" w:color="auto"/>
              <w:left w:val="single" w:sz="8" w:space="0" w:color="auto"/>
              <w:bottom w:val="single" w:sz="8" w:space="0" w:color="auto"/>
              <w:right w:val="single" w:sz="8" w:space="0" w:color="auto"/>
            </w:tcBorders>
          </w:tcPr>
          <w:p w14:paraId="49B5012E" w14:textId="77777777" w:rsidR="001C42E1" w:rsidRPr="001165FA" w:rsidRDefault="001C42E1" w:rsidP="00540926">
            <w:pPr>
              <w:rPr>
                <w:rFonts w:eastAsia="Calibri"/>
                <w:sz w:val="24"/>
                <w:szCs w:val="24"/>
              </w:rPr>
            </w:pPr>
            <w:r w:rsidRPr="001165FA">
              <w:rPr>
                <w:rFonts w:eastAsia="Calibri"/>
                <w:sz w:val="24"/>
                <w:szCs w:val="24"/>
              </w:rPr>
              <w:t>Yes</w:t>
            </w:r>
          </w:p>
        </w:tc>
        <w:tc>
          <w:tcPr>
            <w:tcW w:w="1875" w:type="dxa"/>
            <w:tcBorders>
              <w:top w:val="single" w:sz="8" w:space="0" w:color="auto"/>
              <w:left w:val="single" w:sz="8" w:space="0" w:color="auto"/>
              <w:bottom w:val="single" w:sz="8" w:space="0" w:color="auto"/>
              <w:right w:val="single" w:sz="8" w:space="0" w:color="auto"/>
            </w:tcBorders>
          </w:tcPr>
          <w:p w14:paraId="3FFB1256" w14:textId="77777777" w:rsidR="001C42E1" w:rsidRPr="001165FA" w:rsidRDefault="001C42E1" w:rsidP="00540926">
            <w:pPr>
              <w:rPr>
                <w:rFonts w:eastAsia="Calibri"/>
                <w:sz w:val="24"/>
                <w:szCs w:val="24"/>
              </w:rPr>
            </w:pPr>
            <w:r w:rsidRPr="001165FA">
              <w:rPr>
                <w:rFonts w:eastAsia="Calibri"/>
                <w:sz w:val="24"/>
                <w:szCs w:val="24"/>
              </w:rPr>
              <w:t>Yes</w:t>
            </w:r>
          </w:p>
        </w:tc>
        <w:tc>
          <w:tcPr>
            <w:tcW w:w="1410" w:type="dxa"/>
            <w:tcBorders>
              <w:top w:val="single" w:sz="8" w:space="0" w:color="auto"/>
              <w:left w:val="single" w:sz="8" w:space="0" w:color="auto"/>
              <w:bottom w:val="single" w:sz="8" w:space="0" w:color="auto"/>
              <w:right w:val="single" w:sz="8" w:space="0" w:color="auto"/>
            </w:tcBorders>
          </w:tcPr>
          <w:p w14:paraId="1DFB31CE" w14:textId="77777777" w:rsidR="001C42E1" w:rsidRPr="001165FA" w:rsidRDefault="001C42E1" w:rsidP="00540926">
            <w:pPr>
              <w:rPr>
                <w:rFonts w:eastAsia="Calibri"/>
                <w:sz w:val="24"/>
                <w:szCs w:val="24"/>
              </w:rPr>
            </w:pPr>
            <w:r w:rsidRPr="001165FA">
              <w:rPr>
                <w:rFonts w:eastAsia="Calibri"/>
                <w:sz w:val="24"/>
                <w:szCs w:val="24"/>
              </w:rPr>
              <w:t>Yes</w:t>
            </w:r>
          </w:p>
        </w:tc>
      </w:tr>
      <w:tr w:rsidR="001C42E1" w:rsidRPr="001165FA" w14:paraId="6201DD6E" w14:textId="77777777" w:rsidTr="008D1F9A">
        <w:trPr>
          <w:jc w:val="center"/>
        </w:trPr>
        <w:tc>
          <w:tcPr>
            <w:tcW w:w="4320" w:type="dxa"/>
            <w:tcBorders>
              <w:top w:val="single" w:sz="8" w:space="0" w:color="auto"/>
              <w:left w:val="single" w:sz="8" w:space="0" w:color="auto"/>
              <w:bottom w:val="single" w:sz="8" w:space="0" w:color="auto"/>
              <w:right w:val="single" w:sz="8" w:space="0" w:color="auto"/>
            </w:tcBorders>
          </w:tcPr>
          <w:p w14:paraId="7F276469" w14:textId="77777777" w:rsidR="001C42E1" w:rsidRPr="001165FA" w:rsidRDefault="001C42E1" w:rsidP="00540926">
            <w:pPr>
              <w:rPr>
                <w:rFonts w:eastAsia="Calibri"/>
                <w:sz w:val="24"/>
                <w:szCs w:val="24"/>
              </w:rPr>
            </w:pPr>
            <w:r w:rsidRPr="001165FA">
              <w:rPr>
                <w:rFonts w:eastAsia="Calibri"/>
                <w:sz w:val="24"/>
                <w:szCs w:val="24"/>
              </w:rPr>
              <w:t>Self-Test sent home, any testing reason</w:t>
            </w:r>
          </w:p>
        </w:tc>
        <w:tc>
          <w:tcPr>
            <w:tcW w:w="1500" w:type="dxa"/>
            <w:tcBorders>
              <w:top w:val="single" w:sz="8" w:space="0" w:color="auto"/>
              <w:left w:val="single" w:sz="8" w:space="0" w:color="auto"/>
              <w:bottom w:val="single" w:sz="8" w:space="0" w:color="auto"/>
              <w:right w:val="single" w:sz="8" w:space="0" w:color="auto"/>
            </w:tcBorders>
          </w:tcPr>
          <w:p w14:paraId="25440D6D" w14:textId="77777777" w:rsidR="001C42E1" w:rsidRPr="001165FA" w:rsidRDefault="001C42E1" w:rsidP="00540926">
            <w:pPr>
              <w:rPr>
                <w:rFonts w:eastAsia="Calibri"/>
                <w:sz w:val="24"/>
                <w:szCs w:val="24"/>
              </w:rPr>
            </w:pPr>
            <w:r w:rsidRPr="001165FA">
              <w:rPr>
                <w:rFonts w:eastAsia="Calibri"/>
                <w:sz w:val="24"/>
                <w:szCs w:val="24"/>
              </w:rPr>
              <w:t>No</w:t>
            </w:r>
          </w:p>
        </w:tc>
        <w:tc>
          <w:tcPr>
            <w:tcW w:w="1875" w:type="dxa"/>
            <w:tcBorders>
              <w:top w:val="single" w:sz="8" w:space="0" w:color="auto"/>
              <w:left w:val="single" w:sz="8" w:space="0" w:color="auto"/>
              <w:bottom w:val="single" w:sz="8" w:space="0" w:color="auto"/>
              <w:right w:val="single" w:sz="8" w:space="0" w:color="auto"/>
            </w:tcBorders>
          </w:tcPr>
          <w:p w14:paraId="3EC3DD0C" w14:textId="77777777" w:rsidR="001C42E1" w:rsidRPr="001165FA" w:rsidRDefault="001C42E1" w:rsidP="00540926">
            <w:pPr>
              <w:rPr>
                <w:rFonts w:eastAsia="Calibri"/>
                <w:sz w:val="24"/>
                <w:szCs w:val="24"/>
              </w:rPr>
            </w:pPr>
            <w:r w:rsidRPr="001165FA">
              <w:rPr>
                <w:rFonts w:eastAsia="Calibri"/>
                <w:sz w:val="24"/>
                <w:szCs w:val="24"/>
              </w:rPr>
              <w:t>No</w:t>
            </w:r>
          </w:p>
        </w:tc>
        <w:tc>
          <w:tcPr>
            <w:tcW w:w="1410" w:type="dxa"/>
            <w:tcBorders>
              <w:top w:val="single" w:sz="8" w:space="0" w:color="auto"/>
              <w:left w:val="single" w:sz="8" w:space="0" w:color="auto"/>
              <w:bottom w:val="single" w:sz="8" w:space="0" w:color="auto"/>
              <w:right w:val="single" w:sz="8" w:space="0" w:color="auto"/>
            </w:tcBorders>
          </w:tcPr>
          <w:p w14:paraId="7B03F603" w14:textId="77777777" w:rsidR="001C42E1" w:rsidRPr="001165FA" w:rsidRDefault="001C42E1" w:rsidP="00540926">
            <w:pPr>
              <w:rPr>
                <w:rFonts w:eastAsia="Calibri"/>
                <w:sz w:val="24"/>
                <w:szCs w:val="24"/>
              </w:rPr>
            </w:pPr>
            <w:r w:rsidRPr="001165FA">
              <w:rPr>
                <w:rFonts w:eastAsia="Calibri"/>
                <w:sz w:val="24"/>
                <w:szCs w:val="24"/>
              </w:rPr>
              <w:t>No</w:t>
            </w:r>
          </w:p>
        </w:tc>
      </w:tr>
      <w:tr w:rsidR="001C42E1" w:rsidRPr="001165FA" w14:paraId="120EF9A7" w14:textId="77777777" w:rsidTr="008D1F9A">
        <w:trPr>
          <w:jc w:val="center"/>
        </w:trPr>
        <w:tc>
          <w:tcPr>
            <w:tcW w:w="4320" w:type="dxa"/>
            <w:tcBorders>
              <w:top w:val="single" w:sz="8" w:space="0" w:color="auto"/>
              <w:left w:val="single" w:sz="8" w:space="0" w:color="auto"/>
              <w:bottom w:val="single" w:sz="8" w:space="0" w:color="auto"/>
              <w:right w:val="single" w:sz="8" w:space="0" w:color="auto"/>
            </w:tcBorders>
          </w:tcPr>
          <w:p w14:paraId="7C98A70A" w14:textId="77777777" w:rsidR="001C42E1" w:rsidRPr="001165FA" w:rsidRDefault="001C42E1" w:rsidP="00540926">
            <w:pPr>
              <w:rPr>
                <w:rFonts w:eastAsia="Calibri"/>
                <w:sz w:val="24"/>
                <w:szCs w:val="24"/>
              </w:rPr>
            </w:pPr>
            <w:r w:rsidRPr="001165FA">
              <w:rPr>
                <w:rFonts w:eastAsia="Calibri"/>
                <w:sz w:val="24"/>
                <w:szCs w:val="24"/>
              </w:rPr>
              <w:t>Self-Test performed and result interpreted at school by the individual being tested, any testing reason</w:t>
            </w:r>
          </w:p>
        </w:tc>
        <w:tc>
          <w:tcPr>
            <w:tcW w:w="1500" w:type="dxa"/>
            <w:tcBorders>
              <w:top w:val="single" w:sz="8" w:space="0" w:color="auto"/>
              <w:left w:val="single" w:sz="8" w:space="0" w:color="auto"/>
              <w:bottom w:val="single" w:sz="8" w:space="0" w:color="auto"/>
              <w:right w:val="single" w:sz="8" w:space="0" w:color="auto"/>
            </w:tcBorders>
          </w:tcPr>
          <w:p w14:paraId="074D21EC" w14:textId="77777777" w:rsidR="001C42E1" w:rsidRPr="001165FA" w:rsidRDefault="001C42E1" w:rsidP="00540926">
            <w:pPr>
              <w:rPr>
                <w:rFonts w:eastAsia="Calibri"/>
                <w:sz w:val="24"/>
                <w:szCs w:val="24"/>
              </w:rPr>
            </w:pPr>
            <w:r w:rsidRPr="001165FA">
              <w:rPr>
                <w:rFonts w:eastAsia="Calibri"/>
                <w:sz w:val="24"/>
                <w:szCs w:val="24"/>
              </w:rPr>
              <w:t>No</w:t>
            </w:r>
          </w:p>
        </w:tc>
        <w:tc>
          <w:tcPr>
            <w:tcW w:w="1875" w:type="dxa"/>
            <w:tcBorders>
              <w:top w:val="single" w:sz="8" w:space="0" w:color="auto"/>
              <w:left w:val="single" w:sz="8" w:space="0" w:color="auto"/>
              <w:bottom w:val="single" w:sz="8" w:space="0" w:color="auto"/>
              <w:right w:val="single" w:sz="8" w:space="0" w:color="auto"/>
            </w:tcBorders>
          </w:tcPr>
          <w:p w14:paraId="351B14CE" w14:textId="77777777" w:rsidR="001C42E1" w:rsidRPr="001165FA" w:rsidRDefault="001C42E1" w:rsidP="00540926">
            <w:pPr>
              <w:rPr>
                <w:rFonts w:eastAsia="Calibri"/>
                <w:sz w:val="24"/>
                <w:szCs w:val="24"/>
                <w:highlight w:val="yellow"/>
              </w:rPr>
            </w:pPr>
            <w:r w:rsidRPr="001165FA">
              <w:rPr>
                <w:rFonts w:eastAsia="Calibri"/>
                <w:sz w:val="24"/>
                <w:szCs w:val="24"/>
              </w:rPr>
              <w:t>No</w:t>
            </w:r>
          </w:p>
        </w:tc>
        <w:tc>
          <w:tcPr>
            <w:tcW w:w="1410" w:type="dxa"/>
            <w:tcBorders>
              <w:top w:val="single" w:sz="8" w:space="0" w:color="auto"/>
              <w:left w:val="single" w:sz="8" w:space="0" w:color="auto"/>
              <w:bottom w:val="single" w:sz="8" w:space="0" w:color="auto"/>
              <w:right w:val="single" w:sz="8" w:space="0" w:color="auto"/>
            </w:tcBorders>
          </w:tcPr>
          <w:p w14:paraId="6AF9F3E8" w14:textId="77777777" w:rsidR="001C42E1" w:rsidRPr="001165FA" w:rsidRDefault="001C42E1" w:rsidP="00540926">
            <w:pPr>
              <w:rPr>
                <w:rFonts w:eastAsia="Calibri"/>
                <w:sz w:val="24"/>
                <w:szCs w:val="24"/>
              </w:rPr>
            </w:pPr>
            <w:r w:rsidRPr="001165FA">
              <w:rPr>
                <w:rFonts w:eastAsia="Calibri"/>
                <w:sz w:val="24"/>
                <w:szCs w:val="24"/>
              </w:rPr>
              <w:t>No</w:t>
            </w:r>
          </w:p>
        </w:tc>
      </w:tr>
      <w:tr w:rsidR="001C42E1" w:rsidRPr="001165FA" w14:paraId="238F4A71" w14:textId="77777777" w:rsidTr="008D1F9A">
        <w:trPr>
          <w:jc w:val="center"/>
        </w:trPr>
        <w:tc>
          <w:tcPr>
            <w:tcW w:w="4320" w:type="dxa"/>
            <w:tcBorders>
              <w:top w:val="single" w:sz="8" w:space="0" w:color="auto"/>
              <w:left w:val="single" w:sz="8" w:space="0" w:color="auto"/>
              <w:bottom w:val="single" w:sz="8" w:space="0" w:color="auto"/>
              <w:right w:val="single" w:sz="8" w:space="0" w:color="auto"/>
            </w:tcBorders>
          </w:tcPr>
          <w:p w14:paraId="638C4492" w14:textId="77777777" w:rsidR="001C42E1" w:rsidRPr="001165FA" w:rsidRDefault="001C42E1" w:rsidP="00540926">
            <w:pPr>
              <w:rPr>
                <w:rFonts w:eastAsia="Calibri"/>
                <w:sz w:val="24"/>
                <w:szCs w:val="24"/>
              </w:rPr>
            </w:pPr>
            <w:r w:rsidRPr="001165FA">
              <w:rPr>
                <w:rFonts w:eastAsia="Calibri"/>
                <w:sz w:val="24"/>
                <w:szCs w:val="24"/>
              </w:rPr>
              <w:t>Self-Test performed or result interpreted by third party (e.g. staff), any testing reason</w:t>
            </w:r>
          </w:p>
        </w:tc>
        <w:tc>
          <w:tcPr>
            <w:tcW w:w="1500" w:type="dxa"/>
            <w:tcBorders>
              <w:top w:val="single" w:sz="8" w:space="0" w:color="auto"/>
              <w:left w:val="single" w:sz="8" w:space="0" w:color="auto"/>
              <w:bottom w:val="single" w:sz="8" w:space="0" w:color="auto"/>
              <w:right w:val="single" w:sz="8" w:space="0" w:color="auto"/>
            </w:tcBorders>
          </w:tcPr>
          <w:p w14:paraId="172F8B21" w14:textId="77777777" w:rsidR="001C42E1" w:rsidRPr="001165FA" w:rsidRDefault="001C42E1" w:rsidP="00540926">
            <w:pPr>
              <w:rPr>
                <w:rFonts w:eastAsia="Calibri"/>
                <w:sz w:val="24"/>
                <w:szCs w:val="24"/>
              </w:rPr>
            </w:pPr>
            <w:r w:rsidRPr="001165FA">
              <w:rPr>
                <w:rFonts w:eastAsia="Calibri"/>
                <w:sz w:val="24"/>
                <w:szCs w:val="24"/>
              </w:rPr>
              <w:t>Yes</w:t>
            </w:r>
          </w:p>
        </w:tc>
        <w:tc>
          <w:tcPr>
            <w:tcW w:w="1875" w:type="dxa"/>
            <w:tcBorders>
              <w:top w:val="single" w:sz="8" w:space="0" w:color="auto"/>
              <w:left w:val="single" w:sz="8" w:space="0" w:color="auto"/>
              <w:bottom w:val="single" w:sz="8" w:space="0" w:color="auto"/>
              <w:right w:val="single" w:sz="8" w:space="0" w:color="auto"/>
            </w:tcBorders>
          </w:tcPr>
          <w:p w14:paraId="15F92EA8" w14:textId="77777777" w:rsidR="001C42E1" w:rsidRPr="001165FA" w:rsidRDefault="001C42E1" w:rsidP="00540926">
            <w:pPr>
              <w:rPr>
                <w:rFonts w:eastAsia="Calibri"/>
                <w:sz w:val="24"/>
                <w:szCs w:val="24"/>
              </w:rPr>
            </w:pPr>
            <w:r w:rsidRPr="001165FA">
              <w:rPr>
                <w:rFonts w:eastAsia="Calibri"/>
                <w:sz w:val="24"/>
                <w:szCs w:val="24"/>
              </w:rPr>
              <w:t>Yes</w:t>
            </w:r>
          </w:p>
        </w:tc>
        <w:tc>
          <w:tcPr>
            <w:tcW w:w="1410" w:type="dxa"/>
            <w:tcBorders>
              <w:top w:val="single" w:sz="8" w:space="0" w:color="auto"/>
              <w:left w:val="single" w:sz="8" w:space="0" w:color="auto"/>
              <w:bottom w:val="single" w:sz="8" w:space="0" w:color="auto"/>
              <w:right w:val="single" w:sz="8" w:space="0" w:color="auto"/>
            </w:tcBorders>
          </w:tcPr>
          <w:p w14:paraId="137FA951" w14:textId="77777777" w:rsidR="001C42E1" w:rsidRPr="001165FA" w:rsidRDefault="001C42E1" w:rsidP="00540926">
            <w:pPr>
              <w:rPr>
                <w:rFonts w:eastAsia="Calibri"/>
                <w:sz w:val="24"/>
                <w:szCs w:val="24"/>
              </w:rPr>
            </w:pPr>
            <w:r w:rsidRPr="001165FA">
              <w:rPr>
                <w:rFonts w:eastAsia="Calibri"/>
                <w:sz w:val="24"/>
                <w:szCs w:val="24"/>
              </w:rPr>
              <w:t>Yes</w:t>
            </w:r>
          </w:p>
        </w:tc>
      </w:tr>
    </w:tbl>
    <w:p w14:paraId="184E8384" w14:textId="525035C0" w:rsidR="00C47D3E" w:rsidRPr="001165FA" w:rsidRDefault="00C47D3E" w:rsidP="00540926">
      <w:pPr>
        <w:rPr>
          <w:rFonts w:ascii="Times New Roman" w:hAnsi="Times New Roman" w:cs="Times New Roman"/>
          <w:i/>
          <w:iCs/>
        </w:rPr>
      </w:pPr>
    </w:p>
    <w:p w14:paraId="46395F09" w14:textId="77777777" w:rsidR="001C42E1" w:rsidRPr="001165FA" w:rsidRDefault="001C42E1" w:rsidP="00540926">
      <w:pPr>
        <w:rPr>
          <w:rFonts w:ascii="Times New Roman" w:hAnsi="Times New Roman" w:cs="Times New Roman"/>
          <w:i/>
          <w:iCs/>
        </w:rPr>
      </w:pPr>
      <w:r w:rsidRPr="001165FA">
        <w:rPr>
          <w:rFonts w:ascii="Times New Roman" w:hAnsi="Times New Roman" w:cs="Times New Roman"/>
          <w:i/>
          <w:iCs/>
        </w:rPr>
        <w:t xml:space="preserve">Reporting positive results:  </w:t>
      </w:r>
    </w:p>
    <w:p w14:paraId="6C28C7BA" w14:textId="77777777" w:rsidR="00C47D3E" w:rsidRPr="001165FA" w:rsidRDefault="00C47D3E" w:rsidP="00540926">
      <w:pPr>
        <w:rPr>
          <w:rFonts w:ascii="Times New Roman" w:hAnsi="Times New Roman" w:cs="Times New Roman"/>
        </w:rPr>
      </w:pPr>
    </w:p>
    <w:p w14:paraId="21FFA673" w14:textId="1BAD8DE2" w:rsidR="001C42E1" w:rsidRPr="001165FA" w:rsidRDefault="001C42E1" w:rsidP="00540926">
      <w:pPr>
        <w:rPr>
          <w:rFonts w:ascii="Times New Roman" w:hAnsi="Times New Roman" w:cs="Times New Roman"/>
        </w:rPr>
      </w:pPr>
      <w:r w:rsidRPr="001165FA">
        <w:rPr>
          <w:rFonts w:ascii="Times New Roman" w:hAnsi="Times New Roman" w:cs="Times New Roman"/>
        </w:rPr>
        <w:t xml:space="preserve">Beginning in summer 2022 and going forward, </w:t>
      </w:r>
      <w:r w:rsidRPr="001165FA">
        <w:rPr>
          <w:rFonts w:ascii="Times New Roman" w:hAnsi="Times New Roman" w:cs="Times New Roman"/>
          <w:u w:val="single"/>
        </w:rPr>
        <w:t>only positive tests</w:t>
      </w:r>
      <w:r w:rsidRPr="001165FA">
        <w:rPr>
          <w:rFonts w:ascii="Times New Roman" w:hAnsi="Times New Roman" w:cs="Times New Roman"/>
        </w:rPr>
        <w:t xml:space="preserve"> conducted at school sites by school staff (per the above CLIA parameters) must be reported to the DPH using SimpleReport. These results will be incorporated into DPH’s aggregate case reporting. Positive case counts </w:t>
      </w:r>
      <w:r w:rsidRPr="001165FA">
        <w:rPr>
          <w:rFonts w:ascii="Times New Roman" w:hAnsi="Times New Roman" w:cs="Times New Roman"/>
          <w:u w:val="single"/>
        </w:rPr>
        <w:t>no longer</w:t>
      </w:r>
      <w:r w:rsidRPr="001165FA">
        <w:rPr>
          <w:rFonts w:ascii="Times New Roman" w:hAnsi="Times New Roman" w:cs="Times New Roman"/>
        </w:rPr>
        <w:t xml:space="preserve"> will be reported through DESE’s security portal. </w:t>
      </w:r>
    </w:p>
    <w:p w14:paraId="67A15CDF" w14:textId="77777777" w:rsidR="001C42E1" w:rsidRPr="001165FA" w:rsidRDefault="001C42E1" w:rsidP="00540926">
      <w:pPr>
        <w:rPr>
          <w:rFonts w:ascii="Times New Roman" w:hAnsi="Times New Roman" w:cs="Times New Roman"/>
        </w:rPr>
      </w:pPr>
    </w:p>
    <w:p w14:paraId="3474C1B6" w14:textId="77777777" w:rsidR="001C42E1" w:rsidRPr="001165FA" w:rsidRDefault="001C42E1" w:rsidP="00540926">
      <w:pPr>
        <w:rPr>
          <w:rFonts w:ascii="Times New Roman" w:hAnsi="Times New Roman" w:cs="Times New Roman"/>
          <w:color w:val="000000"/>
        </w:rPr>
      </w:pPr>
      <w:r w:rsidRPr="001165FA">
        <w:rPr>
          <w:rFonts w:ascii="Times New Roman" w:hAnsi="Times New Roman" w:cs="Times New Roman"/>
          <w:color w:val="000000"/>
        </w:rPr>
        <w:t xml:space="preserve">For detailed information regarding the above requirements, including applying for the CLIA Certificate of Waiver, obtaining a provider’s order, and using SimpleReport, please refer the </w:t>
      </w:r>
      <w:hyperlink r:id="rId26" w:history="1">
        <w:r w:rsidRPr="001165FA">
          <w:rPr>
            <w:rStyle w:val="Hyperlink"/>
            <w:rFonts w:ascii="Times New Roman" w:hAnsi="Times New Roman" w:cs="Times New Roman"/>
          </w:rPr>
          <w:t>COVID-19 Testing FAQ</w:t>
        </w:r>
      </w:hyperlink>
      <w:r w:rsidRPr="001165FA">
        <w:rPr>
          <w:rFonts w:ascii="Times New Roman" w:hAnsi="Times New Roman" w:cs="Times New Roman"/>
          <w:color w:val="000000"/>
        </w:rPr>
        <w:t xml:space="preserve"> released on June 9, 2022. Schools and districts interested in applying for a CLIA Certificate of Waiver should do so as soon as possible. Questions may be directed to </w:t>
      </w:r>
      <w:hyperlink r:id="rId27" w:history="1">
        <w:r w:rsidRPr="001165FA">
          <w:rPr>
            <w:rStyle w:val="Hyperlink"/>
            <w:rFonts w:ascii="Times New Roman" w:hAnsi="Times New Roman" w:cs="Times New Roman"/>
          </w:rPr>
          <w:t>k12covid19testing@mass.gov</w:t>
        </w:r>
      </w:hyperlink>
      <w:r w:rsidRPr="001165FA">
        <w:rPr>
          <w:rFonts w:ascii="Times New Roman" w:hAnsi="Times New Roman" w:cs="Times New Roman"/>
          <w:color w:val="000000"/>
        </w:rPr>
        <w:t xml:space="preserve">. </w:t>
      </w:r>
    </w:p>
    <w:p w14:paraId="7E382FC4" w14:textId="77777777" w:rsidR="001C42E1" w:rsidRPr="001165FA" w:rsidRDefault="001C42E1" w:rsidP="00540926">
      <w:pPr>
        <w:rPr>
          <w:rFonts w:ascii="Times New Roman" w:hAnsi="Times New Roman" w:cs="Times New Roman"/>
          <w:b/>
          <w:bCs/>
        </w:rPr>
      </w:pPr>
      <w:bookmarkStart w:id="5" w:name="_Hlt104278205"/>
      <w:bookmarkStart w:id="6" w:name="_Hlt104278206"/>
      <w:bookmarkEnd w:id="5"/>
      <w:bookmarkEnd w:id="6"/>
    </w:p>
    <w:p w14:paraId="6154D30B" w14:textId="77777777" w:rsidR="00392728" w:rsidRDefault="00392728" w:rsidP="00540926">
      <w:pPr>
        <w:rPr>
          <w:rStyle w:val="normaltextrun"/>
          <w:rFonts w:ascii="Times New Roman" w:hAnsi="Times New Roman" w:cs="Times New Roman"/>
          <w:b/>
        </w:rPr>
      </w:pPr>
    </w:p>
    <w:p w14:paraId="4C8D6B70" w14:textId="0F378E25" w:rsidR="001C42E1" w:rsidRPr="001165FA" w:rsidRDefault="001C42E1" w:rsidP="00540926">
      <w:pPr>
        <w:rPr>
          <w:rStyle w:val="normaltextrun"/>
          <w:rFonts w:ascii="Times New Roman" w:hAnsi="Times New Roman" w:cs="Times New Roman"/>
          <w:b/>
        </w:rPr>
      </w:pPr>
      <w:r w:rsidRPr="001165FA">
        <w:rPr>
          <w:rStyle w:val="normaltextrun"/>
          <w:rFonts w:ascii="Times New Roman" w:hAnsi="Times New Roman" w:cs="Times New Roman"/>
          <w:b/>
        </w:rPr>
        <w:t>School Health Offices</w:t>
      </w:r>
    </w:p>
    <w:p w14:paraId="685F7DA1" w14:textId="77777777" w:rsidR="001C42E1" w:rsidRPr="001165FA" w:rsidRDefault="001C42E1" w:rsidP="00540926">
      <w:pPr>
        <w:rPr>
          <w:rStyle w:val="normaltextrun"/>
          <w:rFonts w:ascii="Times New Roman" w:hAnsi="Times New Roman" w:cs="Times New Roman"/>
        </w:rPr>
      </w:pPr>
      <w:r w:rsidRPr="001165FA">
        <w:rPr>
          <w:rFonts w:ascii="Times New Roman" w:hAnsi="Times New Roman" w:cs="Times New Roman"/>
        </w:rPr>
        <w:t xml:space="preserve">School nurses have an important role in monitoring and supporting the health and safety of students and school staff and supporting safe in-person learning. The </w:t>
      </w:r>
      <w:hyperlink r:id="rId28">
        <w:r w:rsidRPr="001165FA">
          <w:rPr>
            <w:rStyle w:val="Hyperlink"/>
            <w:rFonts w:ascii="Times New Roman" w:hAnsi="Times New Roman" w:cs="Times New Roman"/>
          </w:rPr>
          <w:t>DPH guidance</w:t>
        </w:r>
      </w:hyperlink>
      <w:r w:rsidRPr="001165FA">
        <w:rPr>
          <w:rFonts w:ascii="Times New Roman" w:hAnsi="Times New Roman" w:cs="Times New Roman"/>
        </w:rPr>
        <w:t xml:space="preserve"> for school health offices, condensed in spring 2022, addresses areas of particular importance to school nurses, including PPE, key health office protocols, procedures for working with specific populations, and working with and communicating with local boards of health. </w:t>
      </w:r>
    </w:p>
    <w:p w14:paraId="32637071" w14:textId="77777777" w:rsidR="001C42E1" w:rsidRPr="001165FA" w:rsidRDefault="001C42E1" w:rsidP="00540926">
      <w:pPr>
        <w:rPr>
          <w:rFonts w:ascii="Times New Roman" w:hAnsi="Times New Roman" w:cs="Times New Roman"/>
          <w:b/>
          <w:bCs/>
          <w:color w:val="000000" w:themeColor="text1"/>
        </w:rPr>
      </w:pPr>
    </w:p>
    <w:p w14:paraId="2BDD688F" w14:textId="77777777" w:rsidR="001C42E1" w:rsidRPr="001165FA" w:rsidRDefault="001C42E1" w:rsidP="00540926">
      <w:pPr>
        <w:rPr>
          <w:rFonts w:ascii="Times New Roman" w:hAnsi="Times New Roman" w:cs="Times New Roman"/>
          <w:b/>
          <w:bCs/>
          <w:color w:val="000000" w:themeColor="text1"/>
        </w:rPr>
      </w:pPr>
      <w:r w:rsidRPr="001165FA">
        <w:rPr>
          <w:rFonts w:ascii="Times New Roman" w:hAnsi="Times New Roman" w:cs="Times New Roman"/>
          <w:b/>
          <w:bCs/>
          <w:color w:val="000000" w:themeColor="text1"/>
        </w:rPr>
        <w:t xml:space="preserve">Operational Considerations </w:t>
      </w:r>
    </w:p>
    <w:p w14:paraId="6800F0B1" w14:textId="77777777" w:rsidR="001C42E1" w:rsidRPr="001165FA" w:rsidRDefault="001C42E1" w:rsidP="00540926">
      <w:pPr>
        <w:rPr>
          <w:rFonts w:ascii="Times New Roman" w:hAnsi="Times New Roman" w:cs="Times New Roman"/>
          <w:color w:val="000000" w:themeColor="text1"/>
        </w:rPr>
      </w:pPr>
      <w:r w:rsidRPr="001165FA">
        <w:rPr>
          <w:rFonts w:ascii="Times New Roman" w:hAnsi="Times New Roman" w:cs="Times New Roman"/>
          <w:color w:val="000000" w:themeColor="text1"/>
          <w:u w:val="single"/>
        </w:rPr>
        <w:t>Structured learning time</w:t>
      </w:r>
      <w:r w:rsidRPr="001165FA">
        <w:rPr>
          <w:rFonts w:ascii="Times New Roman" w:hAnsi="Times New Roman" w:cs="Times New Roman"/>
          <w:color w:val="000000" w:themeColor="text1"/>
        </w:rPr>
        <w:t xml:space="preserve">: Please note that the 180-day school year requirement remains in effect. Any school closures due to COVID-19 emergencies will be treated like snow day closures, with additional days added to the school year if needed to meet the 180-school day requirement. </w:t>
      </w:r>
    </w:p>
    <w:p w14:paraId="071E9FBB" w14:textId="77777777" w:rsidR="001C42E1" w:rsidRPr="001165FA" w:rsidRDefault="001C42E1" w:rsidP="00540926">
      <w:pPr>
        <w:rPr>
          <w:rFonts w:ascii="Times New Roman" w:hAnsi="Times New Roman" w:cs="Times New Roman"/>
          <w:color w:val="000000" w:themeColor="text1"/>
        </w:rPr>
      </w:pPr>
    </w:p>
    <w:p w14:paraId="3CE26BDA" w14:textId="77777777" w:rsidR="001C42E1" w:rsidRPr="001165FA" w:rsidRDefault="001C42E1" w:rsidP="00540926">
      <w:pPr>
        <w:rPr>
          <w:rFonts w:ascii="Times New Roman" w:hAnsi="Times New Roman" w:cs="Times New Roman"/>
          <w:color w:val="000000" w:themeColor="text1"/>
        </w:rPr>
      </w:pPr>
      <w:r w:rsidRPr="001165FA">
        <w:rPr>
          <w:rFonts w:ascii="Times New Roman" w:hAnsi="Times New Roman" w:cs="Times New Roman"/>
          <w:color w:val="000000" w:themeColor="text1"/>
          <w:u w:val="single"/>
        </w:rPr>
        <w:t>Attendance reporting</w:t>
      </w:r>
      <w:r w:rsidRPr="001165FA">
        <w:rPr>
          <w:rFonts w:ascii="Times New Roman" w:hAnsi="Times New Roman" w:cs="Times New Roman"/>
          <w:color w:val="000000" w:themeColor="text1"/>
        </w:rPr>
        <w:t xml:space="preserve">: As a reminder, schools can reduce student absences by allowing individual students to livestream their classes from home during the period of isolation, if feasible. </w:t>
      </w:r>
    </w:p>
    <w:p w14:paraId="55505665" w14:textId="77777777" w:rsidR="001C42E1" w:rsidRPr="001165FA" w:rsidRDefault="001C42E1" w:rsidP="00540926">
      <w:pPr>
        <w:rPr>
          <w:rFonts w:ascii="Times New Roman" w:hAnsi="Times New Roman" w:cs="Times New Roman"/>
          <w:color w:val="000000" w:themeColor="text1"/>
        </w:rPr>
      </w:pPr>
    </w:p>
    <w:p w14:paraId="060F567C" w14:textId="77777777" w:rsidR="001C42E1" w:rsidRPr="001165FA" w:rsidRDefault="001C42E1" w:rsidP="00540926">
      <w:pPr>
        <w:rPr>
          <w:rFonts w:ascii="Times New Roman" w:hAnsi="Times New Roman" w:cs="Times New Roman"/>
          <w:color w:val="000000" w:themeColor="text1"/>
        </w:rPr>
      </w:pPr>
      <w:r w:rsidRPr="001165FA">
        <w:rPr>
          <w:rFonts w:ascii="Times New Roman" w:hAnsi="Times New Roman" w:cs="Times New Roman"/>
          <w:u w:val="single"/>
        </w:rPr>
        <w:t>Ventilation</w:t>
      </w:r>
      <w:r w:rsidRPr="001165FA">
        <w:rPr>
          <w:rFonts w:ascii="Times New Roman" w:hAnsi="Times New Roman" w:cs="Times New Roman"/>
        </w:rPr>
        <w:t>:</w:t>
      </w:r>
      <w:r w:rsidRPr="001165FA">
        <w:rPr>
          <w:rFonts w:ascii="Times New Roman" w:hAnsi="Times New Roman" w:cs="Times New Roman"/>
          <w:b/>
          <w:bCs/>
        </w:rPr>
        <w:t xml:space="preserve"> </w:t>
      </w:r>
      <w:r w:rsidRPr="001165FA">
        <w:rPr>
          <w:rFonts w:ascii="Times New Roman" w:hAnsi="Times New Roman" w:cs="Times New Roman"/>
        </w:rPr>
        <w:t xml:space="preserve">Districts are encouraged to continue to: </w:t>
      </w:r>
    </w:p>
    <w:p w14:paraId="157574D8" w14:textId="77777777" w:rsidR="001C42E1" w:rsidRPr="001165FA" w:rsidRDefault="001C42E1" w:rsidP="00540926">
      <w:pPr>
        <w:rPr>
          <w:rFonts w:ascii="Times New Roman" w:hAnsi="Times New Roman" w:cs="Times New Roman"/>
        </w:rPr>
      </w:pPr>
      <w:r w:rsidRPr="001165FA">
        <w:rPr>
          <w:rFonts w:ascii="Times New Roman" w:hAnsi="Times New Roman" w:cs="Times New Roman"/>
        </w:rPr>
        <w:t>Assess their ventilation systems and ensure they are operating properly</w:t>
      </w:r>
    </w:p>
    <w:p w14:paraId="561032DF" w14:textId="77777777" w:rsidR="001C42E1" w:rsidRPr="001165FA" w:rsidRDefault="001C42E1" w:rsidP="00540926">
      <w:pPr>
        <w:rPr>
          <w:rFonts w:ascii="Times New Roman" w:hAnsi="Times New Roman" w:cs="Times New Roman"/>
        </w:rPr>
      </w:pPr>
      <w:r w:rsidRPr="001165FA">
        <w:rPr>
          <w:rFonts w:ascii="Times New Roman" w:hAnsi="Times New Roman" w:cs="Times New Roman"/>
        </w:rPr>
        <w:t>Conduct routine maintenance (such as replacing filters and repairing duct work)</w:t>
      </w:r>
    </w:p>
    <w:p w14:paraId="467C7BE3" w14:textId="77777777" w:rsidR="001C42E1" w:rsidRPr="001165FA" w:rsidRDefault="001C42E1" w:rsidP="00540926">
      <w:pPr>
        <w:rPr>
          <w:rFonts w:ascii="Times New Roman" w:hAnsi="Times New Roman" w:cs="Times New Roman"/>
        </w:rPr>
      </w:pPr>
      <w:r w:rsidRPr="001165FA">
        <w:rPr>
          <w:rFonts w:ascii="Times New Roman" w:hAnsi="Times New Roman" w:cs="Times New Roman"/>
        </w:rPr>
        <w:t>Consider adding air purifiers</w:t>
      </w:r>
    </w:p>
    <w:p w14:paraId="30A99C5E" w14:textId="77777777" w:rsidR="001C42E1" w:rsidRPr="001165FA" w:rsidRDefault="001C42E1" w:rsidP="00540926">
      <w:pPr>
        <w:rPr>
          <w:rFonts w:ascii="Times New Roman" w:hAnsi="Times New Roman" w:cs="Times New Roman"/>
        </w:rPr>
      </w:pPr>
      <w:r w:rsidRPr="001165FA">
        <w:rPr>
          <w:rFonts w:ascii="Times New Roman" w:hAnsi="Times New Roman" w:cs="Times New Roman"/>
        </w:rPr>
        <w:t>Increase outdoor air flow supply such as by opening windows in classrooms as feasible</w:t>
      </w:r>
    </w:p>
    <w:p w14:paraId="75E08103" w14:textId="77777777" w:rsidR="001C42E1" w:rsidRPr="001165FA" w:rsidRDefault="001C42E1" w:rsidP="00540926">
      <w:pPr>
        <w:rPr>
          <w:rFonts w:ascii="Times New Roman" w:hAnsi="Times New Roman" w:cs="Times New Roman"/>
          <w:color w:val="000000" w:themeColor="text1"/>
        </w:rPr>
      </w:pPr>
      <w:r w:rsidRPr="001165FA">
        <w:rPr>
          <w:rFonts w:ascii="Times New Roman" w:hAnsi="Times New Roman" w:cs="Times New Roman"/>
          <w:color w:val="000000" w:themeColor="text1"/>
        </w:rPr>
        <w:t>Open windows on school buses as feasible</w:t>
      </w:r>
    </w:p>
    <w:p w14:paraId="40C23924" w14:textId="77777777" w:rsidR="001C42E1" w:rsidRPr="001165FA" w:rsidRDefault="001C42E1" w:rsidP="00540926">
      <w:pPr>
        <w:rPr>
          <w:rFonts w:ascii="Times New Roman" w:hAnsi="Times New Roman" w:cs="Times New Roman"/>
          <w:b/>
          <w:bCs/>
        </w:rPr>
      </w:pPr>
    </w:p>
    <w:p w14:paraId="7616E707" w14:textId="77777777" w:rsidR="001C42E1" w:rsidRPr="001165FA" w:rsidRDefault="001C42E1" w:rsidP="00540926">
      <w:pPr>
        <w:rPr>
          <w:rFonts w:ascii="Times New Roman" w:hAnsi="Times New Roman" w:cs="Times New Roman"/>
        </w:rPr>
      </w:pPr>
      <w:r w:rsidRPr="001165FA">
        <w:rPr>
          <w:rFonts w:ascii="Times New Roman" w:hAnsi="Times New Roman" w:cs="Times New Roman"/>
        </w:rPr>
        <w:t xml:space="preserve">More information about ventilation is available </w:t>
      </w:r>
      <w:hyperlink r:id="rId29" w:history="1">
        <w:r w:rsidRPr="001165FA">
          <w:rPr>
            <w:rStyle w:val="Hyperlink"/>
            <w:rFonts w:ascii="Times New Roman" w:hAnsi="Times New Roman" w:cs="Times New Roman"/>
          </w:rPr>
          <w:t>here</w:t>
        </w:r>
      </w:hyperlink>
      <w:r w:rsidRPr="001165FA">
        <w:rPr>
          <w:rFonts w:ascii="Times New Roman" w:hAnsi="Times New Roman" w:cs="Times New Roman"/>
        </w:rPr>
        <w:t>.</w:t>
      </w:r>
      <w:r w:rsidRPr="001165FA">
        <w:rPr>
          <w:rFonts w:ascii="Times New Roman" w:hAnsi="Times New Roman" w:cs="Times New Roman"/>
        </w:rPr>
        <w:br/>
      </w:r>
    </w:p>
    <w:p w14:paraId="67A9E649" w14:textId="77777777" w:rsidR="001C42E1" w:rsidRPr="001165FA" w:rsidRDefault="001C42E1" w:rsidP="00540926">
      <w:pPr>
        <w:rPr>
          <w:rFonts w:ascii="Times New Roman" w:hAnsi="Times New Roman" w:cs="Times New Roman"/>
        </w:rPr>
      </w:pPr>
      <w:r w:rsidRPr="001165FA">
        <w:rPr>
          <w:rFonts w:ascii="Times New Roman" w:eastAsia="Calibri" w:hAnsi="Times New Roman" w:cs="Times New Roman"/>
          <w:b/>
          <w:bCs/>
        </w:rPr>
        <w:t>Rapid Response Help Center</w:t>
      </w:r>
    </w:p>
    <w:p w14:paraId="7BF46A57" w14:textId="77777777" w:rsidR="001C42E1" w:rsidRPr="001165FA" w:rsidRDefault="001C42E1" w:rsidP="00540926">
      <w:pPr>
        <w:rPr>
          <w:rFonts w:ascii="Times New Roman" w:hAnsi="Times New Roman" w:cs="Times New Roman"/>
          <w:color w:val="000000" w:themeColor="text1"/>
        </w:rPr>
      </w:pPr>
      <w:r w:rsidRPr="001165FA">
        <w:rPr>
          <w:rFonts w:ascii="Times New Roman" w:hAnsi="Times New Roman" w:cs="Times New Roman"/>
        </w:rPr>
        <w:t xml:space="preserve">The Rapid Response Help Center continues to be a resource for district and school leaders. Please contact the </w:t>
      </w:r>
      <w:r w:rsidRPr="001165FA">
        <w:rPr>
          <w:rFonts w:ascii="Times New Roman" w:hAnsi="Times New Roman" w:cs="Times New Roman"/>
          <w:color w:val="000000" w:themeColor="text1"/>
        </w:rPr>
        <w:t xml:space="preserve">Help Center at 781-338-3500 with any questions. </w:t>
      </w:r>
      <w:r w:rsidRPr="001165FA">
        <w:rPr>
          <w:rFonts w:ascii="Times New Roman" w:hAnsi="Times New Roman" w:cs="Times New Roman"/>
        </w:rPr>
        <w:t xml:space="preserve">Districts and schools </w:t>
      </w:r>
      <w:r w:rsidRPr="001165FA">
        <w:rPr>
          <w:rFonts w:ascii="Times New Roman" w:hAnsi="Times New Roman" w:cs="Times New Roman"/>
          <w:u w:val="single"/>
        </w:rPr>
        <w:t>must</w:t>
      </w:r>
      <w:r w:rsidRPr="001165FA">
        <w:rPr>
          <w:rFonts w:ascii="Times New Roman" w:hAnsi="Times New Roman" w:cs="Times New Roman"/>
        </w:rPr>
        <w:t xml:space="preserve"> contact the </w:t>
      </w:r>
      <w:r w:rsidRPr="001165FA">
        <w:rPr>
          <w:rFonts w:ascii="Times New Roman" w:hAnsi="Times New Roman" w:cs="Times New Roman"/>
          <w:color w:val="000000" w:themeColor="text1"/>
        </w:rPr>
        <w:t>Help Center for guidance if they are experiencing a high volume of cases. Notification should also be provided to local boards of health and district leadership.</w:t>
      </w:r>
    </w:p>
    <w:p w14:paraId="6AA0740E" w14:textId="77777777" w:rsidR="001C42E1" w:rsidRPr="001165FA" w:rsidRDefault="001C42E1" w:rsidP="00540926">
      <w:pPr>
        <w:rPr>
          <w:rFonts w:ascii="Times New Roman" w:hAnsi="Times New Roman" w:cs="Times New Roman"/>
          <w:b/>
          <w:bCs/>
        </w:rPr>
      </w:pPr>
    </w:p>
    <w:p w14:paraId="28911F05" w14:textId="77777777" w:rsidR="001C42E1" w:rsidRPr="001165FA" w:rsidRDefault="001C42E1" w:rsidP="00540926">
      <w:pPr>
        <w:rPr>
          <w:rStyle w:val="normaltextrun"/>
          <w:rFonts w:ascii="Times New Roman" w:hAnsi="Times New Roman" w:cs="Times New Roman"/>
        </w:rPr>
      </w:pPr>
      <w:r w:rsidRPr="001165FA">
        <w:rPr>
          <w:rFonts w:ascii="Times New Roman" w:hAnsi="Times New Roman" w:cs="Times New Roman"/>
          <w:b/>
          <w:bCs/>
        </w:rPr>
        <w:t>Closing</w:t>
      </w:r>
    </w:p>
    <w:p w14:paraId="625FC5CD" w14:textId="77777777" w:rsidR="001C42E1" w:rsidRPr="001165FA" w:rsidRDefault="001C42E1" w:rsidP="00540926">
      <w:pPr>
        <w:rPr>
          <w:rFonts w:ascii="Times New Roman" w:hAnsi="Times New Roman" w:cs="Times New Roman"/>
          <w:color w:val="222222"/>
          <w:shd w:val="clear" w:color="auto" w:fill="FFFFFF"/>
        </w:rPr>
      </w:pPr>
      <w:r w:rsidRPr="001165FA">
        <w:rPr>
          <w:rStyle w:val="normaltextrun"/>
          <w:rFonts w:ascii="Times New Roman" w:hAnsi="Times New Roman" w:cs="Times New Roman"/>
        </w:rPr>
        <w:t xml:space="preserve">We are grateful for your diligence and resourcefulness throughout the pandemic. </w:t>
      </w:r>
      <w:r w:rsidRPr="001165FA">
        <w:rPr>
          <w:rFonts w:ascii="Times New Roman" w:hAnsi="Times New Roman" w:cs="Times New Roman"/>
          <w:color w:val="222222"/>
          <w:shd w:val="clear" w:color="auto" w:fill="FFFFFF"/>
        </w:rPr>
        <w:t>We will continue to share information through the </w:t>
      </w:r>
      <w:hyperlink r:id="rId30" w:history="1">
        <w:r w:rsidRPr="001165FA">
          <w:rPr>
            <w:rStyle w:val="Hyperlink"/>
            <w:rFonts w:ascii="Times New Roman" w:hAnsi="Times New Roman" w:cs="Times New Roman"/>
            <w:color w:val="0060C7"/>
            <w:shd w:val="clear" w:color="auto" w:fill="FFFFFF"/>
          </w:rPr>
          <w:t>Commissioner's Weekly Update</w:t>
        </w:r>
      </w:hyperlink>
      <w:r w:rsidRPr="001165FA">
        <w:rPr>
          <w:rFonts w:ascii="Times New Roman" w:hAnsi="Times New Roman" w:cs="Times New Roman"/>
          <w:color w:val="222222"/>
          <w:shd w:val="clear" w:color="auto" w:fill="FFFFFF"/>
        </w:rPr>
        <w:t xml:space="preserve"> and on the </w:t>
      </w:r>
      <w:hyperlink r:id="rId31" w:history="1">
        <w:r w:rsidRPr="001165FA">
          <w:rPr>
            <w:rStyle w:val="Hyperlink"/>
            <w:rFonts w:ascii="Times New Roman" w:hAnsi="Times New Roman" w:cs="Times New Roman"/>
            <w:shd w:val="clear" w:color="auto" w:fill="FFFFFF"/>
          </w:rPr>
          <w:t>Guidance/On the Desktop</w:t>
        </w:r>
      </w:hyperlink>
      <w:r w:rsidRPr="001165FA">
        <w:rPr>
          <w:rFonts w:ascii="Times New Roman" w:hAnsi="Times New Roman" w:cs="Times New Roman"/>
          <w:color w:val="222222"/>
          <w:shd w:val="clear" w:color="auto" w:fill="FFFFFF"/>
        </w:rPr>
        <w:t xml:space="preserve"> section of the DESE website. </w:t>
      </w:r>
    </w:p>
    <w:p w14:paraId="01EB5757" w14:textId="77777777" w:rsidR="00EB5B4A" w:rsidRPr="001341E6" w:rsidRDefault="00EB5B4A" w:rsidP="00EB5B4A">
      <w:pPr>
        <w:pStyle w:val="ListParagraph"/>
        <w:spacing w:line="240" w:lineRule="auto"/>
        <w:ind w:left="0"/>
        <w:rPr>
          <w:rFonts w:ascii="Times New Roman" w:hAnsi="Times New Roman" w:cs="Times New Roman"/>
          <w:sz w:val="24"/>
          <w:szCs w:val="24"/>
          <w:u w:val="single"/>
        </w:rPr>
      </w:pPr>
    </w:p>
    <w:sectPr w:rsidR="00EB5B4A" w:rsidRPr="001341E6" w:rsidSect="007721FE">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E8D74" w14:textId="77777777" w:rsidR="00B87D7A" w:rsidRDefault="00B87D7A">
      <w:r>
        <w:separator/>
      </w:r>
    </w:p>
  </w:endnote>
  <w:endnote w:type="continuationSeparator" w:id="0">
    <w:p w14:paraId="211FFEA0" w14:textId="77777777" w:rsidR="00B87D7A" w:rsidRDefault="00B87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0E639" w14:textId="77777777" w:rsidR="002B014B" w:rsidRDefault="00E17B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A0CE54A" w14:textId="77777777" w:rsidR="002B014B" w:rsidRDefault="00B87D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52226" w14:textId="77777777" w:rsidR="004A16E4" w:rsidRDefault="00E17B52">
    <w:pPr>
      <w:pStyle w:val="Footer"/>
      <w:jc w:val="right"/>
    </w:pPr>
    <w:r>
      <w:fldChar w:fldCharType="begin"/>
    </w:r>
    <w:r>
      <w:instrText xml:space="preserve"> PAGE   \* MERGEFORMAT </w:instrText>
    </w:r>
    <w:r>
      <w:fldChar w:fldCharType="separate"/>
    </w:r>
    <w:r>
      <w:rPr>
        <w:noProof/>
      </w:rPr>
      <w:t>2</w:t>
    </w:r>
    <w:r>
      <w:rPr>
        <w:noProof/>
      </w:rPr>
      <w:fldChar w:fldCharType="end"/>
    </w:r>
  </w:p>
  <w:p w14:paraId="578BE472" w14:textId="77777777" w:rsidR="002B014B" w:rsidRDefault="00B87D7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2B77F" w14:textId="77777777" w:rsidR="00B0729F" w:rsidRDefault="00B87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9BEE9" w14:textId="77777777" w:rsidR="00B87D7A" w:rsidRDefault="00B87D7A">
      <w:r>
        <w:separator/>
      </w:r>
    </w:p>
  </w:footnote>
  <w:footnote w:type="continuationSeparator" w:id="0">
    <w:p w14:paraId="368E1383" w14:textId="77777777" w:rsidR="00B87D7A" w:rsidRDefault="00B87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43227" w14:textId="77777777" w:rsidR="004C2C54" w:rsidRDefault="00B87D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C3D09" w14:textId="77777777" w:rsidR="008158DF" w:rsidRDefault="00B87D7A" w:rsidP="008158D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B0E2E" w14:textId="77777777" w:rsidR="004C2C54" w:rsidRDefault="00B87D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E2230"/>
    <w:multiLevelType w:val="hybridMultilevel"/>
    <w:tmpl w:val="FFFFFFFF"/>
    <w:lvl w:ilvl="0" w:tplc="80A82BE6">
      <w:start w:val="1"/>
      <w:numFmt w:val="bullet"/>
      <w:lvlText w:val=""/>
      <w:lvlJc w:val="left"/>
      <w:pPr>
        <w:ind w:left="720" w:hanging="360"/>
      </w:pPr>
      <w:rPr>
        <w:rFonts w:ascii="Symbol" w:hAnsi="Symbol" w:hint="default"/>
      </w:rPr>
    </w:lvl>
    <w:lvl w:ilvl="1" w:tplc="6AB898E6">
      <w:start w:val="1"/>
      <w:numFmt w:val="bullet"/>
      <w:lvlText w:val="o"/>
      <w:lvlJc w:val="left"/>
      <w:pPr>
        <w:ind w:left="1440" w:hanging="360"/>
      </w:pPr>
      <w:rPr>
        <w:rFonts w:ascii="Courier New" w:hAnsi="Courier New" w:hint="default"/>
      </w:rPr>
    </w:lvl>
    <w:lvl w:ilvl="2" w:tplc="2730D824">
      <w:start w:val="1"/>
      <w:numFmt w:val="bullet"/>
      <w:lvlText w:val=""/>
      <w:lvlJc w:val="left"/>
      <w:pPr>
        <w:ind w:left="2160" w:hanging="360"/>
      </w:pPr>
      <w:rPr>
        <w:rFonts w:ascii="Wingdings" w:hAnsi="Wingdings" w:hint="default"/>
      </w:rPr>
    </w:lvl>
    <w:lvl w:ilvl="3" w:tplc="9B384274">
      <w:start w:val="1"/>
      <w:numFmt w:val="bullet"/>
      <w:lvlText w:val=""/>
      <w:lvlJc w:val="left"/>
      <w:pPr>
        <w:ind w:left="2880" w:hanging="360"/>
      </w:pPr>
      <w:rPr>
        <w:rFonts w:ascii="Symbol" w:hAnsi="Symbol" w:hint="default"/>
      </w:rPr>
    </w:lvl>
    <w:lvl w:ilvl="4" w:tplc="DD64FA98">
      <w:start w:val="1"/>
      <w:numFmt w:val="bullet"/>
      <w:lvlText w:val="o"/>
      <w:lvlJc w:val="left"/>
      <w:pPr>
        <w:ind w:left="3600" w:hanging="360"/>
      </w:pPr>
      <w:rPr>
        <w:rFonts w:ascii="Courier New" w:hAnsi="Courier New" w:hint="default"/>
      </w:rPr>
    </w:lvl>
    <w:lvl w:ilvl="5" w:tplc="1E34122C">
      <w:start w:val="1"/>
      <w:numFmt w:val="bullet"/>
      <w:lvlText w:val=""/>
      <w:lvlJc w:val="left"/>
      <w:pPr>
        <w:ind w:left="4320" w:hanging="360"/>
      </w:pPr>
      <w:rPr>
        <w:rFonts w:ascii="Wingdings" w:hAnsi="Wingdings" w:hint="default"/>
      </w:rPr>
    </w:lvl>
    <w:lvl w:ilvl="6" w:tplc="7FC06378">
      <w:start w:val="1"/>
      <w:numFmt w:val="bullet"/>
      <w:lvlText w:val=""/>
      <w:lvlJc w:val="left"/>
      <w:pPr>
        <w:ind w:left="5040" w:hanging="360"/>
      </w:pPr>
      <w:rPr>
        <w:rFonts w:ascii="Symbol" w:hAnsi="Symbol" w:hint="default"/>
      </w:rPr>
    </w:lvl>
    <w:lvl w:ilvl="7" w:tplc="541E702A">
      <w:start w:val="1"/>
      <w:numFmt w:val="bullet"/>
      <w:lvlText w:val="o"/>
      <w:lvlJc w:val="left"/>
      <w:pPr>
        <w:ind w:left="5760" w:hanging="360"/>
      </w:pPr>
      <w:rPr>
        <w:rFonts w:ascii="Courier New" w:hAnsi="Courier New" w:hint="default"/>
      </w:rPr>
    </w:lvl>
    <w:lvl w:ilvl="8" w:tplc="9DE61048">
      <w:start w:val="1"/>
      <w:numFmt w:val="bullet"/>
      <w:lvlText w:val=""/>
      <w:lvlJc w:val="left"/>
      <w:pPr>
        <w:ind w:left="6480" w:hanging="360"/>
      </w:pPr>
      <w:rPr>
        <w:rFonts w:ascii="Wingdings" w:hAnsi="Wingdings" w:hint="default"/>
      </w:rPr>
    </w:lvl>
  </w:abstractNum>
  <w:abstractNum w:abstractNumId="1" w15:restartNumberingAfterBreak="0">
    <w:nsid w:val="24162406"/>
    <w:multiLevelType w:val="hybridMultilevel"/>
    <w:tmpl w:val="4B1ABC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033D53"/>
    <w:multiLevelType w:val="hybridMultilevel"/>
    <w:tmpl w:val="B8D40D0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1A7F24"/>
    <w:multiLevelType w:val="hybridMultilevel"/>
    <w:tmpl w:val="21AE6AC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8C6835"/>
    <w:multiLevelType w:val="hybridMultilevel"/>
    <w:tmpl w:val="0002B72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916"/>
    <w:rsid w:val="00037AAE"/>
    <w:rsid w:val="00114C0F"/>
    <w:rsid w:val="001165FA"/>
    <w:rsid w:val="001341E6"/>
    <w:rsid w:val="00141679"/>
    <w:rsid w:val="001C42E1"/>
    <w:rsid w:val="001E34B2"/>
    <w:rsid w:val="00234719"/>
    <w:rsid w:val="00252B6B"/>
    <w:rsid w:val="002C6F83"/>
    <w:rsid w:val="00307203"/>
    <w:rsid w:val="00345916"/>
    <w:rsid w:val="00392728"/>
    <w:rsid w:val="003C33A4"/>
    <w:rsid w:val="00466284"/>
    <w:rsid w:val="004C0BEB"/>
    <w:rsid w:val="004C4CB8"/>
    <w:rsid w:val="004D531E"/>
    <w:rsid w:val="004F7EEB"/>
    <w:rsid w:val="0051588E"/>
    <w:rsid w:val="00521830"/>
    <w:rsid w:val="00540926"/>
    <w:rsid w:val="005F2C2F"/>
    <w:rsid w:val="00656807"/>
    <w:rsid w:val="00664890"/>
    <w:rsid w:val="006677FB"/>
    <w:rsid w:val="006A2795"/>
    <w:rsid w:val="006A76BE"/>
    <w:rsid w:val="007229D5"/>
    <w:rsid w:val="007721FE"/>
    <w:rsid w:val="007C5A72"/>
    <w:rsid w:val="007F4E7F"/>
    <w:rsid w:val="00865EC8"/>
    <w:rsid w:val="0094368E"/>
    <w:rsid w:val="009E0A2C"/>
    <w:rsid w:val="00A06566"/>
    <w:rsid w:val="00B33C63"/>
    <w:rsid w:val="00B87D7A"/>
    <w:rsid w:val="00BE2867"/>
    <w:rsid w:val="00C47D3E"/>
    <w:rsid w:val="00C51B6D"/>
    <w:rsid w:val="00C574F7"/>
    <w:rsid w:val="00CD469A"/>
    <w:rsid w:val="00CF7D60"/>
    <w:rsid w:val="00E149CF"/>
    <w:rsid w:val="00E17B52"/>
    <w:rsid w:val="00E622B6"/>
    <w:rsid w:val="00EB5B4A"/>
    <w:rsid w:val="00EF2C5D"/>
    <w:rsid w:val="00F33ADF"/>
    <w:rsid w:val="00FE33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2CDE0"/>
  <w14:defaultImageDpi w14:val="32767"/>
  <w15:docId w15:val="{81747E40-E1B5-4A35-9A84-8D1F58DC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45916"/>
    <w:pPr>
      <w:keepNext/>
      <w:widowControl w:val="0"/>
      <w:tabs>
        <w:tab w:val="center" w:pos="4680"/>
      </w:tabs>
      <w:jc w:val="center"/>
      <w:outlineLvl w:val="0"/>
    </w:pPr>
    <w:rPr>
      <w:rFonts w:ascii="Times New Roman" w:eastAsia="Times New Roman" w:hAnsi="Times New Roman" w:cs="Times New Roman"/>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5916"/>
    <w:rPr>
      <w:rFonts w:ascii="Times New Roman" w:eastAsia="Times New Roman" w:hAnsi="Times New Roman" w:cs="Times New Roman"/>
      <w:b/>
      <w:snapToGrid w:val="0"/>
      <w:szCs w:val="20"/>
    </w:rPr>
  </w:style>
  <w:style w:type="paragraph" w:styleId="Footer">
    <w:name w:val="footer"/>
    <w:basedOn w:val="Normal"/>
    <w:link w:val="FooterChar"/>
    <w:uiPriority w:val="99"/>
    <w:rsid w:val="00345916"/>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345916"/>
    <w:rPr>
      <w:rFonts w:ascii="Times New Roman" w:eastAsia="Times New Roman" w:hAnsi="Times New Roman" w:cs="Times New Roman"/>
    </w:rPr>
  </w:style>
  <w:style w:type="character" w:styleId="Hyperlink">
    <w:name w:val="Hyperlink"/>
    <w:uiPriority w:val="99"/>
    <w:rsid w:val="00345916"/>
    <w:rPr>
      <w:color w:val="0000FF"/>
      <w:u w:val="single"/>
    </w:rPr>
  </w:style>
  <w:style w:type="paragraph" w:styleId="CommentText">
    <w:name w:val="annotation text"/>
    <w:basedOn w:val="Normal"/>
    <w:link w:val="CommentTextChar"/>
    <w:uiPriority w:val="99"/>
    <w:unhideWhenUsed/>
    <w:rsid w:val="00345916"/>
    <w:pPr>
      <w:spacing w:after="160"/>
    </w:pPr>
    <w:rPr>
      <w:sz w:val="20"/>
      <w:szCs w:val="20"/>
    </w:rPr>
  </w:style>
  <w:style w:type="character" w:customStyle="1" w:styleId="CommentTextChar">
    <w:name w:val="Comment Text Char"/>
    <w:basedOn w:val="DefaultParagraphFont"/>
    <w:link w:val="CommentText"/>
    <w:uiPriority w:val="99"/>
    <w:rsid w:val="00345916"/>
    <w:rPr>
      <w:sz w:val="20"/>
      <w:szCs w:val="20"/>
    </w:rPr>
  </w:style>
  <w:style w:type="paragraph" w:styleId="ListParagraph">
    <w:name w:val="List Paragraph"/>
    <w:basedOn w:val="Normal"/>
    <w:uiPriority w:val="34"/>
    <w:qFormat/>
    <w:rsid w:val="007721FE"/>
    <w:pPr>
      <w:spacing w:after="160" w:line="259" w:lineRule="auto"/>
      <w:ind w:left="720"/>
      <w:contextualSpacing/>
    </w:pPr>
    <w:rPr>
      <w:sz w:val="22"/>
      <w:szCs w:val="22"/>
    </w:rPr>
  </w:style>
  <w:style w:type="character" w:styleId="FollowedHyperlink">
    <w:name w:val="FollowedHyperlink"/>
    <w:basedOn w:val="DefaultParagraphFont"/>
    <w:uiPriority w:val="99"/>
    <w:semiHidden/>
    <w:unhideWhenUsed/>
    <w:rsid w:val="006A76BE"/>
    <w:rPr>
      <w:color w:val="954F72" w:themeColor="followedHyperlink"/>
      <w:u w:val="single"/>
    </w:rPr>
  </w:style>
  <w:style w:type="character" w:styleId="PageNumber">
    <w:name w:val="page number"/>
    <w:basedOn w:val="DefaultParagraphFont"/>
    <w:rsid w:val="001C42E1"/>
  </w:style>
  <w:style w:type="paragraph" w:styleId="NormalWeb">
    <w:name w:val="Normal (Web)"/>
    <w:basedOn w:val="Normal"/>
    <w:uiPriority w:val="99"/>
    <w:rsid w:val="001C42E1"/>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1C42E1"/>
    <w:pPr>
      <w:widowControl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C42E1"/>
    <w:pPr>
      <w:widowControl w:val="0"/>
      <w:tabs>
        <w:tab w:val="center" w:pos="4680"/>
        <w:tab w:val="right" w:pos="9360"/>
      </w:tabs>
    </w:pPr>
    <w:rPr>
      <w:rFonts w:ascii="Times New Roman" w:eastAsia="Times New Roman" w:hAnsi="Times New Roman" w:cs="Times New Roman"/>
      <w:snapToGrid w:val="0"/>
      <w:szCs w:val="20"/>
    </w:rPr>
  </w:style>
  <w:style w:type="character" w:customStyle="1" w:styleId="HeaderChar">
    <w:name w:val="Header Char"/>
    <w:basedOn w:val="DefaultParagraphFont"/>
    <w:link w:val="Header"/>
    <w:rsid w:val="001C42E1"/>
    <w:rPr>
      <w:rFonts w:ascii="Times New Roman" w:eastAsia="Times New Roman" w:hAnsi="Times New Roman" w:cs="Times New Roman"/>
      <w:snapToGrid w:val="0"/>
      <w:szCs w:val="20"/>
    </w:rPr>
  </w:style>
  <w:style w:type="paragraph" w:customStyle="1" w:styleId="paragraph">
    <w:name w:val="paragraph"/>
    <w:basedOn w:val="Normal"/>
    <w:rsid w:val="001C42E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C42E1"/>
  </w:style>
  <w:style w:type="character" w:styleId="UnresolvedMention">
    <w:name w:val="Unresolved Mention"/>
    <w:basedOn w:val="DefaultParagraphFont"/>
    <w:uiPriority w:val="99"/>
    <w:semiHidden/>
    <w:unhideWhenUsed/>
    <w:rsid w:val="00466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193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yperlink" Target="https://www.mass.gov/info-details/prepare-for-back-to-school-with-free-covid-19-vaccination-clinics" TargetMode="External"/><Relationship Id="rId26" Type="http://schemas.openxmlformats.org/officeDocument/2006/relationships/hyperlink" Target="https://www.doe.mass.edu/covid19/testing/2022-0609faq.docx" TargetMode="External"/><Relationship Id="rId3" Type="http://schemas.openxmlformats.org/officeDocument/2006/relationships/settings" Target="settings.xml"/><Relationship Id="rId21" Type="http://schemas.openxmlformats.org/officeDocument/2006/relationships/hyperlink" Target="https://www.mass.gov/info-details/covid-19-isolation-and-exposure-guidance-for-children-and-staff-in-child-care-k-12-out-of-school-time-ost-and-recreational-campprogram-settings" TargetMode="Externa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s://www.mass.gov/resource/trust-the-facts-get-the-vax-campaign-materials" TargetMode="External"/><Relationship Id="rId25" Type="http://schemas.openxmlformats.org/officeDocument/2006/relationships/hyperlink" Target="https://www.mass.gov/info-details/covid-19-statewide-contract-resources-for-antigen-test-kit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ass.gov/info-details/covid-19-mobile-vaccination-program" TargetMode="External"/><Relationship Id="rId20" Type="http://schemas.openxmlformats.org/officeDocument/2006/relationships/hyperlink" Target="https://vaxfinder.mass.gov/" TargetMode="External"/><Relationship Id="rId29" Type="http://schemas.openxmlformats.org/officeDocument/2006/relationships/hyperlink" Target="https://www.mass.gov/doc/five-quick-actions-to-improve-indoor-air-quality/downloa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www.doe.mass.edu/covid19/on-desktop/2022-0524testing-program-update.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dc.gov/coronavirus/2019-ncov/community/schools-childcare/k-12-childcare-guidance.html" TargetMode="External"/><Relationship Id="rId23" Type="http://schemas.openxmlformats.org/officeDocument/2006/relationships/hyperlink" Target="https://www.commbuys.com/bso/external/purchaseorder/poSummary.sdo?docId=PO-21-1080-OSD03-SRC02-19681&amp;releaseNbr=0&amp;parentUrl=contract" TargetMode="External"/><Relationship Id="rId28" Type="http://schemas.openxmlformats.org/officeDocument/2006/relationships/hyperlink" Target="https://www.doe.mass.edu/covid19/on-desktop/2022-0621school-health-office-info.pdf" TargetMode="External"/><Relationship Id="rId10" Type="http://schemas.openxmlformats.org/officeDocument/2006/relationships/header" Target="header2.xml"/><Relationship Id="rId19" Type="http://schemas.openxmlformats.org/officeDocument/2006/relationships/hyperlink" Target="https://www.mass.gov/info-details/prepare-for-back-to-school-with-free-covid-19-vaccination-clinics" TargetMode="External"/><Relationship Id="rId31" Type="http://schemas.openxmlformats.org/officeDocument/2006/relationships/hyperlink" Target="https://www.doe.mass.edu/covid19/on-desktop.html"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mass.gov/info-details/covid-19-mask-requirements" TargetMode="External"/><Relationship Id="rId27" Type="http://schemas.openxmlformats.org/officeDocument/2006/relationships/hyperlink" Target="mailto:k12covid19testing@mass.gov" TargetMode="External"/><Relationship Id="rId30" Type="http://schemas.openxmlformats.org/officeDocument/2006/relationships/hyperlink" Target="https://www.doe.mass.edu/commissioner/updat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1649</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Update on COVID-19 Matters in K-12 Schools for Fall 2022</vt:lpstr>
    </vt:vector>
  </TitlesOfParts>
  <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on COVID-19 Matters in K-12 Schools for Fall 2022</dc:title>
  <dc:creator>DESE</dc:creator>
  <cp:lastModifiedBy>Zou, Dong (EOE)</cp:lastModifiedBy>
  <cp:revision>5</cp:revision>
  <cp:lastPrinted>2022-08-15T17:21:00Z</cp:lastPrinted>
  <dcterms:created xsi:type="dcterms:W3CDTF">2022-08-15T17:17:00Z</dcterms:created>
  <dcterms:modified xsi:type="dcterms:W3CDTF">2022-08-15T18:22:00Z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15 2022</vt:lpwstr>
  </property>
</Properties>
</file>