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05" w:tblpY="1"/>
        <w:tblOverlap w:val="neve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990"/>
        <w:gridCol w:w="9090"/>
        <w:gridCol w:w="205"/>
      </w:tblGrid>
      <w:tr w:rsidR="00D652AB" w:rsidRPr="00F67A3D" w:rsidTr="00743D31">
        <w:trPr>
          <w:trHeight w:val="5040"/>
        </w:trPr>
        <w:tc>
          <w:tcPr>
            <w:tcW w:w="10285" w:type="dxa"/>
            <w:gridSpan w:val="3"/>
            <w:tcBorders>
              <w:top w:val="nil"/>
              <w:left w:val="nil"/>
              <w:bottom w:val="nil"/>
              <w:right w:val="nil"/>
            </w:tcBorders>
          </w:tcPr>
          <w:p w:rsidR="00D652AB" w:rsidRPr="00D652AB" w:rsidRDefault="00D652AB" w:rsidP="00D652AB">
            <w:pPr>
              <w:spacing w:before="160" w:after="160" w:line="276" w:lineRule="auto"/>
              <w:rPr>
                <w:rFonts w:eastAsia="Calibri"/>
                <w:sz w:val="20"/>
                <w:szCs w:val="22"/>
              </w:rPr>
            </w:pPr>
            <w:r w:rsidRPr="00D652AB">
              <w:rPr>
                <w:rFonts w:eastAsia="Calibri"/>
                <w:sz w:val="20"/>
                <w:szCs w:val="22"/>
              </w:rPr>
              <w:t xml:space="preserve">   </w:t>
            </w:r>
            <w:r w:rsidR="009706BB">
              <w:rPr>
                <w:rFonts w:eastAsia="Calibri"/>
                <w:noProof/>
                <w:sz w:val="20"/>
                <w:szCs w:val="22"/>
                <w:lang w:eastAsia="zh-CN" w:bidi="km-KH"/>
              </w:rPr>
              <w:drawing>
                <wp:inline distT="0" distB="0" distL="0" distR="0">
                  <wp:extent cx="2419350" cy="978809"/>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1137" cy="979532"/>
                          </a:xfrm>
                          <a:prstGeom prst="rect">
                            <a:avLst/>
                          </a:prstGeom>
                        </pic:spPr>
                      </pic:pic>
                    </a:graphicData>
                  </a:graphic>
                </wp:inline>
              </w:drawing>
            </w:r>
          </w:p>
        </w:tc>
      </w:tr>
      <w:tr w:rsidR="00D652AB" w:rsidRPr="00F67A3D" w:rsidTr="00743D31">
        <w:trPr>
          <w:cantSplit/>
          <w:trHeight w:val="200"/>
        </w:trPr>
        <w:tc>
          <w:tcPr>
            <w:tcW w:w="990" w:type="dxa"/>
            <w:vMerge w:val="restart"/>
            <w:tcBorders>
              <w:top w:val="nil"/>
              <w:left w:val="nil"/>
              <w:bottom w:val="nil"/>
              <w:right w:val="nil"/>
            </w:tcBorders>
            <w:vAlign w:val="bottom"/>
          </w:tcPr>
          <w:p w:rsidR="00D652AB" w:rsidRPr="00D652AB" w:rsidRDefault="00D652AB" w:rsidP="00D652AB">
            <w:pPr>
              <w:spacing w:before="160" w:after="160" w:line="276" w:lineRule="auto"/>
              <w:rPr>
                <w:rFonts w:eastAsia="Calibri"/>
                <w:sz w:val="20"/>
                <w:szCs w:val="22"/>
              </w:rPr>
            </w:pPr>
          </w:p>
        </w:tc>
        <w:tc>
          <w:tcPr>
            <w:tcW w:w="9295" w:type="dxa"/>
            <w:gridSpan w:val="2"/>
            <w:tcBorders>
              <w:top w:val="nil"/>
              <w:left w:val="nil"/>
              <w:bottom w:val="nil"/>
              <w:right w:val="nil"/>
            </w:tcBorders>
            <w:vAlign w:val="bottom"/>
          </w:tcPr>
          <w:p w:rsidR="00D652AB" w:rsidRPr="00D652AB" w:rsidRDefault="00743D31" w:rsidP="00D652AB">
            <w:pPr>
              <w:spacing w:before="160" w:line="276" w:lineRule="auto"/>
              <w:rPr>
                <w:rFonts w:eastAsia="Calibri"/>
                <w:i/>
                <w:sz w:val="24"/>
              </w:rPr>
            </w:pPr>
            <w:r>
              <w:rPr>
                <w:rFonts w:eastAsia="Calibri"/>
                <w:b/>
                <w:sz w:val="36"/>
                <w:szCs w:val="36"/>
              </w:rPr>
              <w:t xml:space="preserve">Guidelines for the </w:t>
            </w:r>
            <w:r w:rsidR="00D652AB">
              <w:rPr>
                <w:rFonts w:eastAsia="Calibri"/>
                <w:b/>
                <w:sz w:val="36"/>
                <w:szCs w:val="36"/>
              </w:rPr>
              <w:t>Professional Standards for Teachers</w:t>
            </w:r>
            <w:r w:rsidR="00D652AB" w:rsidRPr="00D652AB">
              <w:rPr>
                <w:rFonts w:eastAsia="Calibri"/>
                <w:b/>
                <w:sz w:val="36"/>
                <w:szCs w:val="36"/>
              </w:rPr>
              <w:t xml:space="preserve"> </w:t>
            </w:r>
          </w:p>
        </w:tc>
      </w:tr>
      <w:tr w:rsidR="00D652AB" w:rsidRPr="00F67A3D" w:rsidTr="00743D31">
        <w:trPr>
          <w:cantSplit/>
          <w:trHeight w:val="240"/>
        </w:trPr>
        <w:tc>
          <w:tcPr>
            <w:tcW w:w="990" w:type="dxa"/>
            <w:vMerge/>
            <w:tcBorders>
              <w:top w:val="nil"/>
              <w:left w:val="nil"/>
              <w:bottom w:val="nil"/>
              <w:right w:val="nil"/>
            </w:tcBorders>
            <w:vAlign w:val="bottom"/>
          </w:tcPr>
          <w:p w:rsidR="00D652AB" w:rsidRPr="00D652AB" w:rsidRDefault="00D652AB" w:rsidP="00D652AB">
            <w:pPr>
              <w:spacing w:before="160" w:after="160" w:line="400" w:lineRule="exact"/>
              <w:rPr>
                <w:rFonts w:eastAsia="Calibri"/>
                <w:color w:val="000000"/>
                <w:sz w:val="20"/>
                <w:szCs w:val="22"/>
              </w:rPr>
            </w:pPr>
          </w:p>
        </w:tc>
        <w:tc>
          <w:tcPr>
            <w:tcW w:w="9295" w:type="dxa"/>
            <w:gridSpan w:val="2"/>
            <w:tcBorders>
              <w:top w:val="nil"/>
              <w:left w:val="nil"/>
              <w:bottom w:val="nil"/>
              <w:right w:val="nil"/>
            </w:tcBorders>
          </w:tcPr>
          <w:p w:rsidR="00D652AB" w:rsidRPr="00D652AB" w:rsidRDefault="00FE529D" w:rsidP="00D652AB">
            <w:pPr>
              <w:spacing w:after="160" w:line="276" w:lineRule="auto"/>
              <w:rPr>
                <w:rFonts w:eastAsia="Calibri"/>
                <w:sz w:val="20"/>
                <w:szCs w:val="22"/>
              </w:rPr>
            </w:pPr>
            <w:r w:rsidRPr="00FE529D">
              <w:rPr>
                <w:rFonts w:eastAsia="Calibri"/>
                <w:sz w:val="20"/>
                <w:szCs w:val="22"/>
              </w:rPr>
              <w:pict>
                <v:rect id="_x0000_i1025" style="width:0;height:1.5pt" o:hrstd="t" o:hr="t" fillcolor="#aaa" stroked="f"/>
              </w:pict>
            </w:r>
          </w:p>
        </w:tc>
      </w:tr>
      <w:tr w:rsidR="00D652AB" w:rsidRPr="00F67A3D" w:rsidTr="00743D31">
        <w:trPr>
          <w:cantSplit/>
          <w:trHeight w:val="760"/>
        </w:trPr>
        <w:tc>
          <w:tcPr>
            <w:tcW w:w="990" w:type="dxa"/>
            <w:vMerge/>
            <w:tcBorders>
              <w:top w:val="nil"/>
              <w:left w:val="nil"/>
              <w:bottom w:val="nil"/>
              <w:right w:val="nil"/>
            </w:tcBorders>
            <w:vAlign w:val="bottom"/>
          </w:tcPr>
          <w:p w:rsidR="00D652AB" w:rsidRPr="00D652AB" w:rsidRDefault="00D652AB" w:rsidP="00D652AB">
            <w:pPr>
              <w:spacing w:before="160" w:after="160" w:line="400" w:lineRule="exact"/>
              <w:rPr>
                <w:rFonts w:eastAsia="Calibri"/>
                <w:color w:val="000000"/>
                <w:sz w:val="20"/>
                <w:szCs w:val="22"/>
              </w:rPr>
            </w:pPr>
          </w:p>
        </w:tc>
        <w:tc>
          <w:tcPr>
            <w:tcW w:w="9295" w:type="dxa"/>
            <w:gridSpan w:val="2"/>
            <w:tcBorders>
              <w:top w:val="nil"/>
              <w:left w:val="nil"/>
              <w:bottom w:val="nil"/>
              <w:right w:val="nil"/>
            </w:tcBorders>
          </w:tcPr>
          <w:p w:rsidR="00D652AB" w:rsidRPr="00D652AB" w:rsidRDefault="00C82863" w:rsidP="00D652AB">
            <w:pPr>
              <w:ind w:right="-108"/>
              <w:rPr>
                <w:rFonts w:cs="Arial"/>
                <w:sz w:val="24"/>
              </w:rPr>
            </w:pPr>
            <w:r>
              <w:rPr>
                <w:rFonts w:cs="Arial"/>
                <w:sz w:val="28"/>
                <w:szCs w:val="28"/>
              </w:rPr>
              <w:t>January 2015</w:t>
            </w:r>
            <w:bookmarkStart w:id="0" w:name="_GoBack"/>
            <w:bookmarkEnd w:id="0"/>
          </w:p>
          <w:p w:rsidR="00D652AB" w:rsidRPr="00D652AB" w:rsidRDefault="00D652AB" w:rsidP="00D652AB">
            <w:pPr>
              <w:ind w:right="-108"/>
              <w:rPr>
                <w:sz w:val="24"/>
              </w:rPr>
            </w:pPr>
          </w:p>
          <w:p w:rsidR="00D652AB" w:rsidRPr="00D652AB" w:rsidRDefault="00D652AB" w:rsidP="00D652AB">
            <w:pPr>
              <w:ind w:right="-108"/>
              <w:rPr>
                <w:sz w:val="24"/>
              </w:rPr>
            </w:pPr>
          </w:p>
          <w:p w:rsidR="00D652AB" w:rsidRPr="00D652AB" w:rsidRDefault="00D652AB" w:rsidP="00D652AB">
            <w:pPr>
              <w:ind w:right="-108"/>
              <w:rPr>
                <w:sz w:val="24"/>
              </w:rPr>
            </w:pPr>
          </w:p>
          <w:p w:rsidR="00D652AB" w:rsidRPr="00D652AB" w:rsidRDefault="00D652AB" w:rsidP="00D652AB">
            <w:pPr>
              <w:ind w:right="-108"/>
              <w:rPr>
                <w:sz w:val="24"/>
              </w:rPr>
            </w:pPr>
          </w:p>
          <w:p w:rsidR="00D652AB" w:rsidRPr="00D652AB" w:rsidRDefault="00D652AB" w:rsidP="00D652AB">
            <w:pPr>
              <w:ind w:right="-108"/>
              <w:rPr>
                <w:sz w:val="24"/>
              </w:rPr>
            </w:pPr>
          </w:p>
          <w:p w:rsidR="00D652AB" w:rsidRPr="00D652AB" w:rsidRDefault="00D652AB" w:rsidP="00D652AB">
            <w:pPr>
              <w:ind w:right="-108"/>
              <w:rPr>
                <w:sz w:val="24"/>
              </w:rPr>
            </w:pPr>
          </w:p>
        </w:tc>
      </w:tr>
      <w:tr w:rsidR="00D652AB" w:rsidRPr="00F67A3D" w:rsidTr="00743D31">
        <w:trPr>
          <w:cantSplit/>
          <w:trHeight w:val="4032"/>
        </w:trPr>
        <w:tc>
          <w:tcPr>
            <w:tcW w:w="990" w:type="dxa"/>
            <w:vMerge/>
            <w:tcBorders>
              <w:top w:val="nil"/>
              <w:left w:val="nil"/>
              <w:bottom w:val="nil"/>
              <w:right w:val="nil"/>
            </w:tcBorders>
            <w:vAlign w:val="bottom"/>
          </w:tcPr>
          <w:p w:rsidR="00D652AB" w:rsidRPr="00D652AB" w:rsidRDefault="00D652AB" w:rsidP="00D652AB">
            <w:pPr>
              <w:spacing w:before="160" w:after="160" w:line="400" w:lineRule="exact"/>
              <w:rPr>
                <w:rFonts w:eastAsia="Calibri"/>
                <w:color w:val="000000"/>
                <w:sz w:val="20"/>
                <w:szCs w:val="22"/>
              </w:rPr>
            </w:pPr>
          </w:p>
        </w:tc>
        <w:tc>
          <w:tcPr>
            <w:tcW w:w="9295" w:type="dxa"/>
            <w:gridSpan w:val="2"/>
            <w:tcBorders>
              <w:top w:val="nil"/>
              <w:left w:val="nil"/>
              <w:bottom w:val="nil"/>
              <w:right w:val="nil"/>
            </w:tcBorders>
            <w:vAlign w:val="bottom"/>
          </w:tcPr>
          <w:p w:rsidR="00D652AB" w:rsidRPr="00D652AB" w:rsidRDefault="00D652AB" w:rsidP="00D652AB">
            <w:pPr>
              <w:rPr>
                <w:rFonts w:eastAsia="Calibri"/>
                <w:b/>
                <w:sz w:val="20"/>
                <w:szCs w:val="22"/>
              </w:rPr>
            </w:pPr>
            <w:r w:rsidRPr="00D652AB">
              <w:rPr>
                <w:rFonts w:eastAsia="Calibri"/>
                <w:b/>
                <w:sz w:val="20"/>
                <w:szCs w:val="22"/>
              </w:rPr>
              <w:t>Massachusetts Department of Elementary and Secondary Education</w:t>
            </w:r>
          </w:p>
          <w:p w:rsidR="00D652AB" w:rsidRPr="00D652AB" w:rsidRDefault="00D652AB" w:rsidP="00D652AB">
            <w:pPr>
              <w:rPr>
                <w:rFonts w:eastAsia="Calibri"/>
                <w:sz w:val="20"/>
                <w:szCs w:val="22"/>
              </w:rPr>
            </w:pPr>
            <w:r w:rsidRPr="00D652AB">
              <w:rPr>
                <w:rFonts w:eastAsia="Calibri"/>
                <w:sz w:val="20"/>
                <w:szCs w:val="22"/>
              </w:rPr>
              <w:t>75 Pleasant Street, Malden, MA 02148-4906</w:t>
            </w:r>
          </w:p>
          <w:p w:rsidR="00D652AB" w:rsidRPr="00D652AB" w:rsidRDefault="00D652AB" w:rsidP="00D652AB">
            <w:pPr>
              <w:rPr>
                <w:rFonts w:eastAsia="Calibri"/>
                <w:sz w:val="20"/>
                <w:szCs w:val="22"/>
              </w:rPr>
            </w:pPr>
            <w:r w:rsidRPr="00D652AB">
              <w:rPr>
                <w:rFonts w:eastAsia="Calibri"/>
                <w:sz w:val="20"/>
                <w:szCs w:val="22"/>
              </w:rPr>
              <w:t>Phone 781-338-3000 TTY: N.E.T. Relay 800-439-2370</w:t>
            </w:r>
          </w:p>
          <w:p w:rsidR="00D652AB" w:rsidRPr="00D652AB" w:rsidRDefault="00D652AB" w:rsidP="00D652AB">
            <w:pPr>
              <w:rPr>
                <w:rFonts w:eastAsia="Calibri"/>
                <w:sz w:val="20"/>
                <w:szCs w:val="22"/>
              </w:rPr>
            </w:pPr>
            <w:r w:rsidRPr="00D652AB">
              <w:rPr>
                <w:rFonts w:eastAsia="Calibri"/>
                <w:sz w:val="20"/>
                <w:szCs w:val="22"/>
              </w:rPr>
              <w:t>www.doe.mass.edu</w:t>
            </w:r>
          </w:p>
        </w:tc>
      </w:tr>
      <w:tr w:rsidR="00D652AB" w:rsidRPr="00F67A3D" w:rsidTr="00743D31">
        <w:tblPrEx>
          <w:tblCellMar>
            <w:left w:w="108" w:type="dxa"/>
            <w:right w:w="108" w:type="dxa"/>
          </w:tblCellMar>
        </w:tblPrEx>
        <w:trPr>
          <w:gridAfter w:val="1"/>
          <w:wAfter w:w="205" w:type="dxa"/>
          <w:trHeight w:val="8235"/>
        </w:trPr>
        <w:tc>
          <w:tcPr>
            <w:tcW w:w="10080" w:type="dxa"/>
            <w:gridSpan w:val="2"/>
            <w:tcBorders>
              <w:top w:val="nil"/>
              <w:left w:val="nil"/>
              <w:bottom w:val="nil"/>
              <w:right w:val="nil"/>
            </w:tcBorders>
          </w:tcPr>
          <w:p w:rsidR="00D652AB" w:rsidRPr="00D652AB" w:rsidRDefault="009706BB" w:rsidP="00D652AB">
            <w:pPr>
              <w:spacing w:before="160" w:after="160" w:line="276" w:lineRule="auto"/>
              <w:jc w:val="center"/>
              <w:rPr>
                <w:rFonts w:eastAsia="Calibri"/>
                <w:sz w:val="20"/>
                <w:szCs w:val="22"/>
              </w:rPr>
            </w:pPr>
            <w:r>
              <w:rPr>
                <w:rFonts w:eastAsia="Calibri"/>
                <w:noProof/>
                <w:sz w:val="20"/>
                <w:szCs w:val="22"/>
                <w:lang w:eastAsia="zh-CN" w:bidi="km-KH"/>
              </w:rPr>
              <w:lastRenderedPageBreak/>
              <w:drawing>
                <wp:inline distT="0" distB="0" distL="0" distR="0">
                  <wp:extent cx="1977496" cy="800100"/>
                  <wp:effectExtent l="0" t="0" r="3704" b="0"/>
                  <wp:docPr id="7"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7992" cy="800301"/>
                          </a:xfrm>
                          <a:prstGeom prst="rect">
                            <a:avLst/>
                          </a:prstGeom>
                        </pic:spPr>
                      </pic:pic>
                    </a:graphicData>
                  </a:graphic>
                </wp:inline>
              </w:drawing>
            </w:r>
          </w:p>
          <w:p w:rsidR="00D652AB" w:rsidRPr="00D652AB" w:rsidRDefault="00D652AB" w:rsidP="00D652AB">
            <w:pPr>
              <w:rPr>
                <w:rFonts w:eastAsia="Calibri"/>
                <w:sz w:val="20"/>
                <w:szCs w:val="22"/>
              </w:rPr>
            </w:pPr>
          </w:p>
          <w:p w:rsidR="00D652AB" w:rsidRPr="00D652AB" w:rsidRDefault="00D652AB" w:rsidP="00D652AB">
            <w:pPr>
              <w:rPr>
                <w:rFonts w:eastAsia="Calibri"/>
                <w:sz w:val="20"/>
                <w:szCs w:val="22"/>
              </w:rPr>
            </w:pPr>
          </w:p>
          <w:p w:rsidR="00D652AB" w:rsidRPr="00D652AB" w:rsidRDefault="00D652AB" w:rsidP="00D652AB">
            <w:pPr>
              <w:jc w:val="center"/>
              <w:rPr>
                <w:sz w:val="18"/>
                <w:szCs w:val="20"/>
              </w:rPr>
            </w:pPr>
            <w:r w:rsidRPr="00D652AB">
              <w:rPr>
                <w:sz w:val="18"/>
                <w:szCs w:val="20"/>
              </w:rPr>
              <w:t xml:space="preserve">This document was prepared by the </w:t>
            </w:r>
            <w:r w:rsidRPr="00D652AB">
              <w:rPr>
                <w:sz w:val="18"/>
                <w:szCs w:val="20"/>
              </w:rPr>
              <w:br/>
              <w:t>Massachusetts Department of Elementary and Secondary Education</w:t>
            </w:r>
          </w:p>
          <w:p w:rsidR="00D652AB" w:rsidRPr="00D652AB" w:rsidRDefault="00D652AB" w:rsidP="00D652AB">
            <w:pPr>
              <w:jc w:val="center"/>
              <w:rPr>
                <w:sz w:val="18"/>
                <w:szCs w:val="20"/>
              </w:rPr>
            </w:pPr>
            <w:r w:rsidRPr="00D652AB">
              <w:rPr>
                <w:sz w:val="18"/>
                <w:szCs w:val="20"/>
              </w:rPr>
              <w:t>Mitchell D. Chester, Ed.D.</w:t>
            </w:r>
          </w:p>
          <w:p w:rsidR="00D652AB" w:rsidRPr="00D652AB" w:rsidRDefault="00D652AB" w:rsidP="00D652AB">
            <w:pPr>
              <w:jc w:val="center"/>
              <w:rPr>
                <w:sz w:val="18"/>
                <w:szCs w:val="20"/>
              </w:rPr>
            </w:pPr>
            <w:r w:rsidRPr="00D652AB">
              <w:rPr>
                <w:sz w:val="18"/>
                <w:szCs w:val="20"/>
              </w:rPr>
              <w:t xml:space="preserve">Commissioner </w:t>
            </w:r>
          </w:p>
          <w:p w:rsidR="00D652AB" w:rsidRPr="00D652AB" w:rsidRDefault="00D652AB" w:rsidP="00D652AB">
            <w:pPr>
              <w:jc w:val="center"/>
              <w:rPr>
                <w:sz w:val="18"/>
                <w:szCs w:val="20"/>
              </w:rPr>
            </w:pPr>
          </w:p>
          <w:p w:rsidR="00D652AB" w:rsidRPr="00D652AB" w:rsidRDefault="00D652AB" w:rsidP="00D652AB">
            <w:pPr>
              <w:rPr>
                <w:rFonts w:eastAsia="Calibri"/>
                <w:sz w:val="20"/>
                <w:szCs w:val="22"/>
              </w:rPr>
            </w:pPr>
          </w:p>
          <w:p w:rsidR="00D652AB" w:rsidRPr="00D652AB" w:rsidRDefault="00D652AB" w:rsidP="00D652AB">
            <w:pPr>
              <w:autoSpaceDE w:val="0"/>
              <w:autoSpaceDN w:val="0"/>
              <w:adjustRightInd w:val="0"/>
              <w:jc w:val="center"/>
              <w:rPr>
                <w:rFonts w:eastAsia="Calibri"/>
                <w:sz w:val="20"/>
                <w:szCs w:val="22"/>
              </w:rPr>
            </w:pPr>
          </w:p>
          <w:p w:rsidR="00D652AB" w:rsidRPr="00D652AB" w:rsidRDefault="00D652AB" w:rsidP="00D652AB">
            <w:pPr>
              <w:jc w:val="center"/>
              <w:rPr>
                <w:sz w:val="18"/>
                <w:szCs w:val="20"/>
              </w:rPr>
            </w:pPr>
            <w:r w:rsidRPr="00D652AB">
              <w:rPr>
                <w:sz w:val="18"/>
                <w:szCs w:val="20"/>
              </w:rPr>
              <w:t xml:space="preserve">The Massachusetts Department of Elementary and Secondary Education, an affirmative action employer, is committed to ensuring that all of its programs and facilities are accessible to all members of the public. </w:t>
            </w:r>
          </w:p>
          <w:p w:rsidR="00D652AB" w:rsidRPr="00D652AB" w:rsidRDefault="00D652AB" w:rsidP="00D652AB">
            <w:pPr>
              <w:jc w:val="center"/>
              <w:rPr>
                <w:sz w:val="18"/>
                <w:szCs w:val="20"/>
              </w:rPr>
            </w:pPr>
            <w:r w:rsidRPr="00D652AB">
              <w:rPr>
                <w:sz w:val="18"/>
                <w:szCs w:val="20"/>
              </w:rPr>
              <w:t xml:space="preserve">We do not discriminate on the basis of age, color, disability, national origin, race, religion, sex or sexual orientation. </w:t>
            </w:r>
          </w:p>
          <w:p w:rsidR="00D652AB" w:rsidRPr="00D652AB" w:rsidRDefault="00D652AB" w:rsidP="00D652AB">
            <w:pPr>
              <w:jc w:val="center"/>
              <w:rPr>
                <w:sz w:val="18"/>
                <w:szCs w:val="20"/>
              </w:rPr>
            </w:pPr>
            <w:r w:rsidRPr="00D652AB">
              <w:rPr>
                <w:sz w:val="18"/>
                <w:szCs w:val="20"/>
              </w:rPr>
              <w:t xml:space="preserve"> Inquiries regarding the Department’s compliance with Title IX and other civil rights laws may be directed to the </w:t>
            </w:r>
          </w:p>
          <w:p w:rsidR="00D652AB" w:rsidRPr="00D652AB" w:rsidRDefault="00D652AB" w:rsidP="00D652AB">
            <w:pPr>
              <w:jc w:val="center"/>
              <w:rPr>
                <w:sz w:val="18"/>
                <w:szCs w:val="20"/>
              </w:rPr>
            </w:pPr>
            <w:r w:rsidRPr="00D652AB">
              <w:rPr>
                <w:sz w:val="18"/>
                <w:szCs w:val="20"/>
              </w:rPr>
              <w:t xml:space="preserve">Human Resources Director, </w:t>
            </w:r>
            <w:r w:rsidRPr="00D652AB">
              <w:rPr>
                <w:snapToGrid w:val="0"/>
                <w:sz w:val="18"/>
                <w:szCs w:val="20"/>
              </w:rPr>
              <w:t xml:space="preserve">75 Pleasant </w:t>
            </w:r>
            <w:r w:rsidRPr="00D652AB">
              <w:rPr>
                <w:sz w:val="18"/>
                <w:szCs w:val="20"/>
              </w:rPr>
              <w:t>St., Malden, MA 02148-4906. Phone: 781-338-6105.</w:t>
            </w:r>
          </w:p>
          <w:p w:rsidR="00D652AB" w:rsidRPr="00D652AB" w:rsidRDefault="00D652AB" w:rsidP="00D652AB">
            <w:pPr>
              <w:rPr>
                <w:rFonts w:eastAsia="Calibri"/>
                <w:sz w:val="20"/>
                <w:szCs w:val="22"/>
              </w:rPr>
            </w:pPr>
          </w:p>
          <w:p w:rsidR="00D652AB" w:rsidRPr="00D652AB" w:rsidRDefault="00D652AB" w:rsidP="00D652AB">
            <w:pPr>
              <w:rPr>
                <w:rFonts w:eastAsia="Calibri"/>
                <w:sz w:val="20"/>
                <w:szCs w:val="22"/>
              </w:rPr>
            </w:pPr>
          </w:p>
          <w:p w:rsidR="00D652AB" w:rsidRPr="00D652AB" w:rsidRDefault="00D652AB" w:rsidP="00D652AB">
            <w:pPr>
              <w:jc w:val="center"/>
              <w:rPr>
                <w:sz w:val="18"/>
                <w:szCs w:val="20"/>
              </w:rPr>
            </w:pPr>
            <w:r w:rsidRPr="00D652AB">
              <w:rPr>
                <w:sz w:val="18"/>
                <w:szCs w:val="20"/>
              </w:rPr>
              <w:t>© 201</w:t>
            </w:r>
            <w:r w:rsidR="00496628">
              <w:rPr>
                <w:sz w:val="18"/>
                <w:szCs w:val="20"/>
              </w:rPr>
              <w:t>5</w:t>
            </w:r>
            <w:r w:rsidRPr="00D652AB">
              <w:rPr>
                <w:sz w:val="18"/>
                <w:szCs w:val="20"/>
              </w:rPr>
              <w:t xml:space="preserve"> Massachusetts Department of Elementary and Secondary Education</w:t>
            </w:r>
          </w:p>
          <w:p w:rsidR="00D652AB" w:rsidRPr="00D652AB" w:rsidRDefault="00D652AB" w:rsidP="00D652AB">
            <w:pPr>
              <w:jc w:val="center"/>
              <w:rPr>
                <w:i/>
                <w:iCs/>
                <w:sz w:val="18"/>
                <w:szCs w:val="20"/>
              </w:rPr>
            </w:pPr>
            <w:r w:rsidRPr="00D652AB">
              <w:rPr>
                <w:i/>
                <w:iCs/>
                <w:sz w:val="18"/>
                <w:szCs w:val="20"/>
              </w:rPr>
              <w:t>Permission is hereby granted to copy any or all parts of this document for non-commercial educational purposes. Please credit the “Massachusetts Department of Elementary and Secondary Education.”</w:t>
            </w:r>
          </w:p>
          <w:p w:rsidR="00D652AB" w:rsidRPr="00D652AB" w:rsidRDefault="00D652AB" w:rsidP="00D652AB">
            <w:pPr>
              <w:rPr>
                <w:rFonts w:eastAsia="Calibri"/>
                <w:sz w:val="20"/>
                <w:szCs w:val="22"/>
              </w:rPr>
            </w:pPr>
          </w:p>
          <w:p w:rsidR="00D652AB" w:rsidRPr="00D652AB" w:rsidRDefault="00D652AB" w:rsidP="00D652AB">
            <w:pPr>
              <w:jc w:val="center"/>
              <w:rPr>
                <w:i/>
                <w:iCs/>
                <w:sz w:val="18"/>
                <w:szCs w:val="20"/>
              </w:rPr>
            </w:pPr>
            <w:r w:rsidRPr="00D652AB">
              <w:rPr>
                <w:i/>
                <w:iCs/>
                <w:sz w:val="18"/>
                <w:szCs w:val="20"/>
              </w:rPr>
              <w:t>This document printed on recycled paper</w:t>
            </w:r>
          </w:p>
          <w:p w:rsidR="00D652AB" w:rsidRPr="00D652AB" w:rsidRDefault="00D652AB" w:rsidP="00D652AB">
            <w:pPr>
              <w:rPr>
                <w:rFonts w:eastAsia="Calibri"/>
                <w:sz w:val="20"/>
                <w:szCs w:val="22"/>
              </w:rPr>
            </w:pPr>
          </w:p>
          <w:p w:rsidR="00D652AB" w:rsidRPr="00D652AB" w:rsidRDefault="00D652AB" w:rsidP="00D652AB">
            <w:pPr>
              <w:jc w:val="center"/>
              <w:rPr>
                <w:rFonts w:eastAsia="Calibri"/>
                <w:sz w:val="20"/>
                <w:szCs w:val="22"/>
              </w:rPr>
            </w:pPr>
            <w:r w:rsidRPr="00D652AB">
              <w:rPr>
                <w:rFonts w:eastAsia="Calibri"/>
                <w:sz w:val="20"/>
                <w:szCs w:val="22"/>
              </w:rPr>
              <w:t>Massachusetts Department of Elementary and Secondary Education</w:t>
            </w:r>
          </w:p>
          <w:p w:rsidR="00D652AB" w:rsidRPr="00D652AB" w:rsidRDefault="00D652AB" w:rsidP="00D652AB">
            <w:pPr>
              <w:jc w:val="center"/>
              <w:rPr>
                <w:rFonts w:eastAsia="Calibri"/>
                <w:sz w:val="20"/>
                <w:szCs w:val="22"/>
              </w:rPr>
            </w:pPr>
            <w:r w:rsidRPr="00D652AB">
              <w:rPr>
                <w:rFonts w:eastAsia="Calibri"/>
                <w:sz w:val="20"/>
                <w:szCs w:val="22"/>
              </w:rPr>
              <w:t>75 Pleasant Street, Malden, MA 02148-4906</w:t>
            </w:r>
          </w:p>
          <w:p w:rsidR="00D652AB" w:rsidRPr="00D652AB" w:rsidRDefault="00D652AB" w:rsidP="00D652AB">
            <w:pPr>
              <w:jc w:val="center"/>
              <w:rPr>
                <w:rFonts w:eastAsia="Calibri"/>
                <w:sz w:val="20"/>
                <w:szCs w:val="22"/>
              </w:rPr>
            </w:pPr>
            <w:r w:rsidRPr="00D652AB">
              <w:rPr>
                <w:rFonts w:eastAsia="Calibri"/>
                <w:sz w:val="20"/>
                <w:szCs w:val="22"/>
              </w:rPr>
              <w:t>Phone 781-338-3000 TTY: N.E.T. Relay 800-439-2370</w:t>
            </w:r>
          </w:p>
          <w:p w:rsidR="00D652AB" w:rsidRPr="00D652AB" w:rsidRDefault="00D652AB" w:rsidP="00D652AB">
            <w:pPr>
              <w:jc w:val="center"/>
              <w:rPr>
                <w:rFonts w:eastAsia="Calibri"/>
                <w:sz w:val="20"/>
                <w:szCs w:val="22"/>
              </w:rPr>
            </w:pPr>
            <w:r w:rsidRPr="00D652AB">
              <w:rPr>
                <w:rFonts w:eastAsia="Calibri"/>
                <w:sz w:val="20"/>
                <w:szCs w:val="22"/>
              </w:rPr>
              <w:t>www.doe.mass.edu</w:t>
            </w:r>
          </w:p>
          <w:p w:rsidR="00D652AB" w:rsidRPr="00D652AB" w:rsidRDefault="003169F6" w:rsidP="00D652AB">
            <w:pPr>
              <w:jc w:val="center"/>
              <w:rPr>
                <w:rFonts w:eastAsia="Calibri"/>
                <w:sz w:val="18"/>
                <w:szCs w:val="22"/>
              </w:rPr>
            </w:pPr>
            <w:r>
              <w:rPr>
                <w:rFonts w:eastAsia="Calibri"/>
                <w:noProof/>
                <w:sz w:val="20"/>
                <w:szCs w:val="22"/>
                <w:lang w:eastAsia="zh-CN" w:bidi="km-KH"/>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D652AB" w:rsidRPr="00D652AB" w:rsidRDefault="00D652AB" w:rsidP="00D652AB">
      <w:pPr>
        <w:pStyle w:val="TOC1"/>
        <w:rPr>
          <w:rFonts w:eastAsia="Calibri"/>
          <w:b/>
          <w:bCs/>
          <w:caps/>
          <w:sz w:val="24"/>
          <w:szCs w:val="20"/>
        </w:rPr>
        <w:sectPr w:rsidR="00D652AB" w:rsidRPr="00D652AB" w:rsidSect="00D652AB">
          <w:footerReference w:type="default" r:id="rId14"/>
          <w:footnotePr>
            <w:numRestart w:val="eachSect"/>
          </w:footnotePr>
          <w:pgSz w:w="12240" w:h="15840"/>
          <w:pgMar w:top="1440" w:right="1440" w:bottom="1440" w:left="810" w:header="720" w:footer="720" w:gutter="0"/>
          <w:pgNumType w:fmt="lowerRoman" w:start="1"/>
          <w:cols w:space="720"/>
          <w:titlePg/>
          <w:docGrid w:linePitch="360"/>
        </w:sectPr>
      </w:pPr>
      <w:r w:rsidRPr="00D652AB">
        <w:rPr>
          <w:rFonts w:eastAsia="Calibri"/>
          <w:b/>
          <w:bCs/>
          <w:caps/>
          <w:sz w:val="24"/>
          <w:szCs w:val="20"/>
        </w:rPr>
        <w:br w:type="textWrapping" w:clear="all"/>
      </w:r>
    </w:p>
    <w:p w:rsidR="00D652AB" w:rsidRDefault="009706BB">
      <w:pPr>
        <w:rPr>
          <w:b/>
          <w:noProof/>
          <w:color w:val="365F91"/>
          <w:sz w:val="28"/>
          <w:lang w:eastAsia="zh-CN"/>
        </w:rPr>
      </w:pPr>
      <w:r>
        <w:rPr>
          <w:b/>
          <w:noProof/>
          <w:color w:val="365F91"/>
          <w:sz w:val="28"/>
          <w:lang w:eastAsia="zh-CN" w:bidi="km-KH"/>
        </w:rPr>
        <w:lastRenderedPageBreak/>
        <w:drawing>
          <wp:inline distT="0" distB="0" distL="0" distR="0">
            <wp:extent cx="2324100" cy="940316"/>
            <wp:effectExtent l="0" t="0" r="0" b="0"/>
            <wp:docPr id="8"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100" cy="940316"/>
                    </a:xfrm>
                    <a:prstGeom prst="rect">
                      <a:avLst/>
                    </a:prstGeom>
                  </pic:spPr>
                </pic:pic>
              </a:graphicData>
            </a:graphic>
          </wp:inline>
        </w:drawing>
      </w:r>
    </w:p>
    <w:p w:rsidR="00E03B3C" w:rsidRPr="000B36D3" w:rsidRDefault="00535139" w:rsidP="00E03B3C">
      <w:pPr>
        <w:rPr>
          <w:b/>
          <w:color w:val="365F91"/>
          <w:sz w:val="28"/>
        </w:rPr>
      </w:pPr>
      <w:r>
        <w:rPr>
          <w:b/>
          <w:noProof/>
          <w:color w:val="365F91"/>
          <w:sz w:val="28"/>
          <w:lang w:eastAsia="zh-CN"/>
        </w:rPr>
        <w:t>Guidelines for the Professional Standards for Teac</w:t>
      </w:r>
      <w:r w:rsidR="00F67A3D">
        <w:rPr>
          <w:b/>
          <w:noProof/>
          <w:color w:val="365F91"/>
          <w:sz w:val="28"/>
          <w:lang w:eastAsia="zh-CN"/>
        </w:rPr>
        <w:t>hers</w:t>
      </w:r>
    </w:p>
    <w:p w:rsidR="00E03B3C" w:rsidRDefault="00E03B3C" w:rsidP="00E03B3C"/>
    <w:p w:rsidR="00E03B3C" w:rsidRPr="000B36D3" w:rsidRDefault="00E03B3C" w:rsidP="00E03B3C">
      <w:pPr>
        <w:rPr>
          <w:color w:val="E36C0A"/>
          <w:sz w:val="28"/>
        </w:rPr>
      </w:pPr>
      <w:r w:rsidRPr="000B36D3">
        <w:rPr>
          <w:color w:val="E36C0A"/>
          <w:sz w:val="28"/>
        </w:rPr>
        <w:t>Overview</w:t>
      </w:r>
    </w:p>
    <w:p w:rsidR="00E03B3C" w:rsidRDefault="007C3A74" w:rsidP="00E03B3C">
      <w:r w:rsidRPr="007C3A74">
        <w:t>The Professional Standards for Teachers</w:t>
      </w:r>
      <w:r>
        <w:t xml:space="preserve"> (PSTs)</w:t>
      </w:r>
      <w:r w:rsidRPr="007C3A74">
        <w:t xml:space="preserve"> define the pedagogical and other professional knowledge and skills required of all teachers. These </w:t>
      </w:r>
      <w:r w:rsidR="00C22702">
        <w:t>PSTs</w:t>
      </w:r>
      <w:r w:rsidR="00605592">
        <w:t xml:space="preserve"> and indicators are used by Sponsoring O</w:t>
      </w:r>
      <w:r w:rsidRPr="007C3A74">
        <w:t>rganizations</w:t>
      </w:r>
      <w:r w:rsidR="0058005B">
        <w:rPr>
          <w:rStyle w:val="FootnoteReference"/>
        </w:rPr>
        <w:footnoteReference w:id="1"/>
      </w:r>
      <w:r w:rsidRPr="007C3A74">
        <w:t xml:space="preserve">in designing their teacher preparation programs and in preparing their </w:t>
      </w:r>
      <w:r w:rsidR="00714887">
        <w:t xml:space="preserve">teacher </w:t>
      </w:r>
      <w:r w:rsidRPr="007C3A74">
        <w:t>candidates. </w:t>
      </w:r>
      <w:r w:rsidR="0058005B">
        <w:t xml:space="preserve">The Board of Elementary and Secondary Education (BESE) approved </w:t>
      </w:r>
      <w:r w:rsidR="00DA765D">
        <w:t>updated</w:t>
      </w:r>
      <w:r w:rsidR="0058005B">
        <w:t xml:space="preserve"> PSTs</w:t>
      </w:r>
      <w:r w:rsidR="00BE25C2">
        <w:t xml:space="preserve"> </w:t>
      </w:r>
      <w:r w:rsidR="0058005B">
        <w:t xml:space="preserve">as of </w:t>
      </w:r>
      <w:r w:rsidR="00DA765D">
        <w:t>January 2014</w:t>
      </w:r>
      <w:r w:rsidR="0058005B">
        <w:t>.</w:t>
      </w:r>
      <w:r w:rsidR="00E03B3C">
        <w:t xml:space="preserve">The following Guidelines </w:t>
      </w:r>
      <w:proofErr w:type="gramStart"/>
      <w:r w:rsidR="00A60095">
        <w:t>are</w:t>
      </w:r>
      <w:proofErr w:type="gramEnd"/>
      <w:r w:rsidR="00E03B3C">
        <w:t xml:space="preserve"> designed to orient stak</w:t>
      </w:r>
      <w:r w:rsidR="00923559">
        <w:t>eholders (</w:t>
      </w:r>
      <w:r w:rsidR="005A6F2D">
        <w:t>teacher</w:t>
      </w:r>
      <w:r w:rsidR="00923559">
        <w:t xml:space="preserve"> candidates, </w:t>
      </w:r>
      <w:r w:rsidR="00D6492A">
        <w:t xml:space="preserve">Sponsoring Organization </w:t>
      </w:r>
      <w:r w:rsidR="00E03B3C">
        <w:t>administr</w:t>
      </w:r>
      <w:r w:rsidR="005A6F2D">
        <w:t>ators, faculty, and</w:t>
      </w:r>
      <w:r w:rsidR="00801306">
        <w:t xml:space="preserve"> Supervising P</w:t>
      </w:r>
      <w:r w:rsidR="00E03B3C">
        <w:t xml:space="preserve">ractitioners) to the </w:t>
      </w:r>
      <w:r w:rsidR="00B440E8">
        <w:t xml:space="preserve">updated/revised </w:t>
      </w:r>
      <w:r>
        <w:t>PSTs</w:t>
      </w:r>
      <w:r w:rsidR="00C22702">
        <w:t xml:space="preserve"> and indicators</w:t>
      </w:r>
      <w:r w:rsidR="00E03B3C">
        <w:t xml:space="preserve">, and </w:t>
      </w:r>
      <w:r w:rsidR="00A60095">
        <w:t xml:space="preserve">to explain </w:t>
      </w:r>
      <w:r w:rsidR="00E03B3C">
        <w:t xml:space="preserve">what they mean for stakeholders’ work across the Commonwealth. </w:t>
      </w:r>
      <w:r w:rsidR="00683DD1">
        <w:t>The</w:t>
      </w:r>
      <w:r w:rsidR="0038738D">
        <w:t xml:space="preserve"> PSTs </w:t>
      </w:r>
      <w:r w:rsidR="00C22702">
        <w:t xml:space="preserve">and indicators </w:t>
      </w:r>
      <w:r w:rsidR="0038738D">
        <w:t>are aligned to</w:t>
      </w:r>
      <w:r w:rsidR="00A60095">
        <w:t xml:space="preserve"> </w:t>
      </w:r>
      <w:r w:rsidR="0038738D">
        <w:t xml:space="preserve">the </w:t>
      </w:r>
      <w:hyperlink r:id="rId15" w:history="1">
        <w:r w:rsidR="00B440E8">
          <w:rPr>
            <w:rStyle w:val="Hyperlink"/>
          </w:rPr>
          <w:t xml:space="preserve">Massachusetts' Educator Evaluation </w:t>
        </w:r>
        <w:r w:rsidR="0058005B">
          <w:rPr>
            <w:rStyle w:val="Hyperlink"/>
          </w:rPr>
          <w:t>F</w:t>
        </w:r>
        <w:r w:rsidR="00B440E8">
          <w:rPr>
            <w:rStyle w:val="Hyperlink"/>
          </w:rPr>
          <w:t>ramework</w:t>
        </w:r>
      </w:hyperlink>
      <w:r w:rsidR="0058005B">
        <w:t>. This alignment</w:t>
      </w:r>
      <w:r w:rsidR="001E205D">
        <w:t xml:space="preserve"> </w:t>
      </w:r>
      <w:r w:rsidR="00A60095">
        <w:t>will ensure</w:t>
      </w:r>
      <w:r w:rsidR="0058005B">
        <w:t xml:space="preserve"> </w:t>
      </w:r>
      <w:r w:rsidR="00A60095">
        <w:t>e</w:t>
      </w:r>
      <w:r w:rsidR="00923559">
        <w:t>ducators complete their preparation p</w:t>
      </w:r>
      <w:r w:rsidR="00A60095">
        <w:t>rogram with the knowledge</w:t>
      </w:r>
      <w:r w:rsidR="00543B1D">
        <w:t xml:space="preserve"> and</w:t>
      </w:r>
      <w:r w:rsidR="00A60095">
        <w:t xml:space="preserve"> skill</w:t>
      </w:r>
      <w:r w:rsidR="00543B1D">
        <w:t>s</w:t>
      </w:r>
      <w:r w:rsidR="00A60095">
        <w:t xml:space="preserve"> necessary to be effective as </w:t>
      </w:r>
      <w:r w:rsidR="00B440E8">
        <w:t xml:space="preserve">beginning </w:t>
      </w:r>
      <w:r w:rsidR="00683DD1">
        <w:t>teacher</w:t>
      </w:r>
      <w:r w:rsidR="0058005B">
        <w:t>s</w:t>
      </w:r>
      <w:r w:rsidR="00A60095">
        <w:t xml:space="preserve">. </w:t>
      </w:r>
    </w:p>
    <w:p w:rsidR="00A60095" w:rsidRDefault="00A60095" w:rsidP="00E03B3C"/>
    <w:p w:rsidR="00543B1D" w:rsidRDefault="00A60095" w:rsidP="00E03B3C">
      <w:r>
        <w:t xml:space="preserve">This document </w:t>
      </w:r>
      <w:r w:rsidR="0058005B">
        <w:t xml:space="preserve">includes </w:t>
      </w:r>
      <w:r>
        <w:t xml:space="preserve">the </w:t>
      </w:r>
      <w:r w:rsidR="00AF27A2">
        <w:t>updated/revised</w:t>
      </w:r>
      <w:r>
        <w:t xml:space="preserve"> PSTs</w:t>
      </w:r>
      <w:r w:rsidR="00C84924">
        <w:t xml:space="preserve"> and indicators</w:t>
      </w:r>
      <w:r>
        <w:t xml:space="preserve">, as well as </w:t>
      </w:r>
      <w:r w:rsidR="00543B1D">
        <w:t>guidance</w:t>
      </w:r>
      <w:r>
        <w:t xml:space="preserve"> about how to </w:t>
      </w:r>
      <w:r w:rsidR="00923559">
        <w:t xml:space="preserve">use them. </w:t>
      </w:r>
      <w:r w:rsidR="00194370">
        <w:t xml:space="preserve">It also describes the Massachusetts Department of Elementary and Secondary Education’s (ESE) role in supporting the implementation of these new standards. </w:t>
      </w:r>
      <w:r w:rsidR="000919AC">
        <w:t>Teacher</w:t>
      </w:r>
      <w:r w:rsidR="00923559">
        <w:t xml:space="preserve"> candidates, </w:t>
      </w:r>
      <w:r w:rsidR="00D6492A">
        <w:t>Sponsoring Organization</w:t>
      </w:r>
      <w:r>
        <w:t xml:space="preserve"> administr</w:t>
      </w:r>
      <w:r w:rsidR="000919AC">
        <w:t>ators, faculty,</w:t>
      </w:r>
      <w:r w:rsidR="00362E4B">
        <w:t xml:space="preserve"> and</w:t>
      </w:r>
      <w:r w:rsidR="00801306">
        <w:t xml:space="preserve"> Supervising P</w:t>
      </w:r>
      <w:r>
        <w:t xml:space="preserve">ractitioners should use this document to strengthen their understanding of the expectations for new </w:t>
      </w:r>
      <w:r w:rsidR="00A27A8B">
        <w:t>teachers</w:t>
      </w:r>
      <w:r>
        <w:t xml:space="preserve"> and to guide their decisions </w:t>
      </w:r>
      <w:r w:rsidR="00DA765D">
        <w:t xml:space="preserve">in program design </w:t>
      </w:r>
      <w:r w:rsidR="00192E94">
        <w:t>to ensure readiness for full implementation in the 2016-2017 academic year</w:t>
      </w:r>
      <w:r w:rsidR="00DA765D">
        <w:t xml:space="preserve">. </w:t>
      </w:r>
      <w:r>
        <w:t xml:space="preserve"> </w:t>
      </w:r>
    </w:p>
    <w:p w:rsidR="00543B1D" w:rsidRDefault="00543B1D" w:rsidP="00E03B3C"/>
    <w:p w:rsidR="00DA765D" w:rsidRDefault="00A60095" w:rsidP="00E03B3C">
      <w:r>
        <w:t>Below is a summary of the contents in this document</w:t>
      </w:r>
      <w:r w:rsidR="0099513A">
        <w:t>:</w:t>
      </w:r>
    </w:p>
    <w:p w:rsidR="007C3A74" w:rsidRDefault="007C3A74" w:rsidP="00A60095">
      <w:pPr>
        <w:pStyle w:val="ListParagraph"/>
        <w:numPr>
          <w:ilvl w:val="0"/>
          <w:numId w:val="1"/>
        </w:numPr>
      </w:pPr>
      <w:r>
        <w:t>Context</w:t>
      </w:r>
      <w:r w:rsidR="00DA765D">
        <w:t xml:space="preserve"> </w:t>
      </w:r>
    </w:p>
    <w:p w:rsidR="00A60095" w:rsidRDefault="00FE529D" w:rsidP="00A60095">
      <w:pPr>
        <w:pStyle w:val="ListParagraph"/>
        <w:numPr>
          <w:ilvl w:val="0"/>
          <w:numId w:val="1"/>
        </w:numPr>
      </w:pPr>
      <w:hyperlink w:anchor="Audience" w:history="1">
        <w:r w:rsidR="00923559" w:rsidRPr="00923559">
          <w:rPr>
            <w:rStyle w:val="Hyperlink"/>
          </w:rPr>
          <w:t>Audience</w:t>
        </w:r>
      </w:hyperlink>
    </w:p>
    <w:p w:rsidR="00A60095" w:rsidRDefault="00FE529D" w:rsidP="00A60095">
      <w:pPr>
        <w:pStyle w:val="ListParagraph"/>
        <w:numPr>
          <w:ilvl w:val="0"/>
          <w:numId w:val="1"/>
        </w:numPr>
      </w:pPr>
      <w:hyperlink w:anchor="OrgAndStructureOfStandards" w:history="1">
        <w:r w:rsidR="00A60095" w:rsidRPr="00735F82">
          <w:rPr>
            <w:rStyle w:val="Hyperlink"/>
          </w:rPr>
          <w:t>Orga</w:t>
        </w:r>
        <w:r w:rsidR="00543B1D">
          <w:rPr>
            <w:rStyle w:val="Hyperlink"/>
          </w:rPr>
          <w:t>nization &amp; Structure of the PST</w:t>
        </w:r>
        <w:r w:rsidR="00075B75">
          <w:rPr>
            <w:rStyle w:val="Hyperlink"/>
          </w:rPr>
          <w:t>s &amp;</w:t>
        </w:r>
        <w:r w:rsidR="00543B1D">
          <w:rPr>
            <w:rStyle w:val="Hyperlink"/>
          </w:rPr>
          <w:t xml:space="preserve"> I</w:t>
        </w:r>
        <w:r w:rsidR="00A60095" w:rsidRPr="00735F82">
          <w:rPr>
            <w:rStyle w:val="Hyperlink"/>
          </w:rPr>
          <w:t>ndicators</w:t>
        </w:r>
      </w:hyperlink>
    </w:p>
    <w:p w:rsidR="00A60095" w:rsidRDefault="00FE529D" w:rsidP="00A60095">
      <w:pPr>
        <w:pStyle w:val="ListParagraph"/>
        <w:numPr>
          <w:ilvl w:val="0"/>
          <w:numId w:val="1"/>
        </w:numPr>
      </w:pPr>
      <w:hyperlink w:anchor="GuidelinesForSponsoringOrgs" w:history="1">
        <w:r w:rsidR="008D6F7E" w:rsidRPr="008D6F7E">
          <w:rPr>
            <w:rStyle w:val="Hyperlink"/>
          </w:rPr>
          <w:t>Considerations for Sponsoring Organizations</w:t>
        </w:r>
      </w:hyperlink>
    </w:p>
    <w:p w:rsidR="00A60095" w:rsidRDefault="00FE529D" w:rsidP="00A60095">
      <w:pPr>
        <w:pStyle w:val="ListParagraph"/>
        <w:numPr>
          <w:ilvl w:val="0"/>
          <w:numId w:val="1"/>
        </w:numPr>
      </w:pPr>
      <w:hyperlink w:anchor="Intersecting_Initiatives" w:history="1">
        <w:r w:rsidR="00A60095" w:rsidRPr="001978F0">
          <w:rPr>
            <w:rStyle w:val="Hyperlink"/>
          </w:rPr>
          <w:t>Intersecting initiatives</w:t>
        </w:r>
      </w:hyperlink>
    </w:p>
    <w:p w:rsidR="00A24F42" w:rsidRDefault="00FE529D" w:rsidP="00A60095">
      <w:pPr>
        <w:pStyle w:val="ListParagraph"/>
        <w:numPr>
          <w:ilvl w:val="0"/>
          <w:numId w:val="1"/>
        </w:numPr>
      </w:pPr>
      <w:hyperlink w:anchor="Timeline" w:history="1">
        <w:r w:rsidR="001978F0" w:rsidRPr="00E87575">
          <w:rPr>
            <w:rStyle w:val="Hyperlink"/>
          </w:rPr>
          <w:t xml:space="preserve">Timeline </w:t>
        </w:r>
        <w:r w:rsidR="00E87575" w:rsidRPr="00E87575">
          <w:rPr>
            <w:rStyle w:val="Hyperlink"/>
          </w:rPr>
          <w:t>for implementation &amp; ESE’s supporting role</w:t>
        </w:r>
      </w:hyperlink>
    </w:p>
    <w:p w:rsidR="00D32201" w:rsidRDefault="00D32201" w:rsidP="00A60095">
      <w:pPr>
        <w:pStyle w:val="ListParagraph"/>
        <w:numPr>
          <w:ilvl w:val="0"/>
          <w:numId w:val="1"/>
        </w:numPr>
      </w:pPr>
      <w:r w:rsidRPr="00934161">
        <w:t>Appendix</w:t>
      </w:r>
    </w:p>
    <w:bookmarkStart w:id="1" w:name="AppendixA"/>
    <w:p w:rsidR="00B26F1D" w:rsidRDefault="00FE529D" w:rsidP="00934161">
      <w:pPr>
        <w:pStyle w:val="ListParagraph"/>
        <w:numPr>
          <w:ilvl w:val="1"/>
          <w:numId w:val="38"/>
        </w:numPr>
      </w:pPr>
      <w:r>
        <w:fldChar w:fldCharType="begin"/>
      </w:r>
      <w:r w:rsidR="00797326">
        <w:instrText xml:space="preserve"> HYPERLINK  \l "_Appendix_A" </w:instrText>
      </w:r>
      <w:r>
        <w:fldChar w:fldCharType="separate"/>
      </w:r>
      <w:r w:rsidR="00B26F1D" w:rsidRPr="00797326">
        <w:rPr>
          <w:rStyle w:val="Hyperlink"/>
        </w:rPr>
        <w:t>Professional Standards for Teachers (with indicators)</w:t>
      </w:r>
      <w:r>
        <w:fldChar w:fldCharType="end"/>
      </w:r>
    </w:p>
    <w:bookmarkEnd w:id="1"/>
    <w:p w:rsidR="00535139" w:rsidRDefault="00FE529D" w:rsidP="00934161">
      <w:pPr>
        <w:pStyle w:val="ListParagraph"/>
        <w:numPr>
          <w:ilvl w:val="1"/>
          <w:numId w:val="38"/>
        </w:numPr>
      </w:pPr>
      <w:r>
        <w:fldChar w:fldCharType="begin"/>
      </w:r>
      <w:r w:rsidR="008E044E">
        <w:instrText>HYPERLINK \l "AppendixB"</w:instrText>
      </w:r>
      <w:r>
        <w:fldChar w:fldCharType="separate"/>
      </w:r>
      <w:r w:rsidR="00535139" w:rsidRPr="00535139">
        <w:rPr>
          <w:rStyle w:val="Hyperlink"/>
        </w:rPr>
        <w:t>Guidelines for Teacher Candidates</w:t>
      </w:r>
      <w:r>
        <w:fldChar w:fldCharType="end"/>
      </w:r>
    </w:p>
    <w:p w:rsidR="00535139" w:rsidRDefault="00FE529D" w:rsidP="00934161">
      <w:pPr>
        <w:pStyle w:val="ListParagraph"/>
        <w:numPr>
          <w:ilvl w:val="1"/>
          <w:numId w:val="38"/>
        </w:numPr>
      </w:pPr>
      <w:hyperlink w:anchor="AppendixC" w:history="1">
        <w:r w:rsidR="00535139" w:rsidRPr="00535139">
          <w:rPr>
            <w:rStyle w:val="Hyperlink"/>
          </w:rPr>
          <w:t>Guidelines for Program Supervisors &amp; Supervising Practitioners</w:t>
        </w:r>
      </w:hyperlink>
    </w:p>
    <w:p w:rsidR="00A60095" w:rsidRDefault="00A60095" w:rsidP="00A60095"/>
    <w:p w:rsidR="00541A5E" w:rsidRDefault="00541A5E" w:rsidP="00A60095">
      <w:pPr>
        <w:pStyle w:val="IntenseQuote"/>
        <w:spacing w:before="0" w:after="0"/>
      </w:pPr>
      <w:r>
        <w:t>Context</w:t>
      </w:r>
    </w:p>
    <w:p w:rsidR="007D5BB9" w:rsidRDefault="007D5BB9" w:rsidP="007D5BB9">
      <w:r>
        <w:t xml:space="preserve">The Board of Elementary and Secondary Education (BESE) and Department of Elementary and </w:t>
      </w:r>
    </w:p>
    <w:p w:rsidR="007D5BB9" w:rsidRDefault="007D5BB9" w:rsidP="007D5BB9">
      <w:r>
        <w:t xml:space="preserve">Secondary Education (ESE) have made educator effectiveness a priority in order to </w:t>
      </w:r>
      <w:r w:rsidR="00A021CE">
        <w:t xml:space="preserve">ensure all students are </w:t>
      </w:r>
      <w:r>
        <w:t xml:space="preserve">college and </w:t>
      </w:r>
      <w:r w:rsidR="00A021CE">
        <w:t>career ready</w:t>
      </w:r>
      <w:r>
        <w:t xml:space="preserve"> and </w:t>
      </w:r>
      <w:r w:rsidR="00A021CE">
        <w:t xml:space="preserve">to </w:t>
      </w:r>
      <w:r>
        <w:t xml:space="preserve">close achievement gaps. Our goal is to ensure that every classroom in the Commonwealth is staffed by an effective </w:t>
      </w:r>
      <w:r w:rsidR="00030EA9">
        <w:t>teacher</w:t>
      </w:r>
      <w:r>
        <w:t xml:space="preserve"> and schools and districts are organized to </w:t>
      </w:r>
      <w:r>
        <w:lastRenderedPageBreak/>
        <w:t xml:space="preserve">support student achievement and success. </w:t>
      </w:r>
      <w:r w:rsidR="00030EA9">
        <w:t xml:space="preserve">In support of achieving this goal, </w:t>
      </w:r>
      <w:r>
        <w:t xml:space="preserve">ESE is relying on preparation programs to </w:t>
      </w:r>
      <w:r w:rsidR="00030EA9">
        <w:t xml:space="preserve">prepare all </w:t>
      </w:r>
      <w:r w:rsidR="0011723A">
        <w:t>educators</w:t>
      </w:r>
      <w:r w:rsidR="00030EA9">
        <w:t xml:space="preserve"> to be effective.</w:t>
      </w:r>
    </w:p>
    <w:p w:rsidR="007D5BB9" w:rsidRDefault="007D5BB9" w:rsidP="00020704"/>
    <w:p w:rsidR="007D5BB9" w:rsidRDefault="007D5BB9" w:rsidP="00020704">
      <w:r>
        <w:t>ESE is committed to ensuring that preparation in Massachusetts results in effective educators ready to support the success of all students</w:t>
      </w:r>
      <w:r w:rsidR="00A13D85">
        <w:t xml:space="preserve"> </w:t>
      </w:r>
      <w:r w:rsidR="00B440E8">
        <w:t xml:space="preserve">on </w:t>
      </w:r>
      <w:r w:rsidR="00A13D85">
        <w:t>day one</w:t>
      </w:r>
      <w:r>
        <w:t xml:space="preserve">. The </w:t>
      </w:r>
      <w:hyperlink r:id="rId16" w:history="1">
        <w:r w:rsidRPr="00A6269F">
          <w:rPr>
            <w:rStyle w:val="Hyperlink"/>
          </w:rPr>
          <w:t>2012 Program Approval Standards</w:t>
        </w:r>
      </w:hyperlink>
      <w:r>
        <w:t xml:space="preserve"> set forth a high-bar for developing and delivering preparation to future educators in the Commonwealth. </w:t>
      </w:r>
      <w:r w:rsidR="00DA765D">
        <w:t>This preparation is the foundation for educator success with students in their own classrooms.</w:t>
      </w:r>
      <w:r w:rsidR="004E3990">
        <w:t xml:space="preserve"> The Program Approval Standards</w:t>
      </w:r>
      <w:r>
        <w:t xml:space="preserve"> and subsequent policies derived from the overall shift they communicate, emphasize the value of prepa</w:t>
      </w:r>
      <w:r w:rsidR="00BE25C2">
        <w:t>ration in Massachusetts and its</w:t>
      </w:r>
      <w:r w:rsidR="00DA765D">
        <w:t xml:space="preserve"> </w:t>
      </w:r>
      <w:r>
        <w:t xml:space="preserve">impact on the achievement of our </w:t>
      </w:r>
      <w:r w:rsidR="00682913">
        <w:t>Pre</w:t>
      </w:r>
      <w:r>
        <w:t xml:space="preserve">K-12 students. ESE’s work is driven by the belief that preparation can and should </w:t>
      </w:r>
      <w:r w:rsidR="004F3E99">
        <w:t>ensure</w:t>
      </w:r>
      <w:r>
        <w:t xml:space="preserve"> educators </w:t>
      </w:r>
      <w:r w:rsidR="004F3E99">
        <w:t>are effective</w:t>
      </w:r>
      <w:r>
        <w:t xml:space="preserve"> on the first day in the classroom. </w:t>
      </w:r>
    </w:p>
    <w:p w:rsidR="007D5BB9" w:rsidRDefault="007D5BB9" w:rsidP="00020704"/>
    <w:p w:rsidR="00BD4A40" w:rsidRPr="00BD4A40" w:rsidRDefault="00BE25C2" w:rsidP="00BD4A40">
      <w:pPr>
        <w:rPr>
          <w:bCs/>
        </w:rPr>
      </w:pPr>
      <w:r>
        <w:t xml:space="preserve">In support of this belief, </w:t>
      </w:r>
      <w:r w:rsidR="00E062C6" w:rsidRPr="00E062C6">
        <w:rPr>
          <w:bCs/>
        </w:rPr>
        <w:t xml:space="preserve">BESE passed </w:t>
      </w:r>
      <w:r w:rsidR="00F05F7C">
        <w:rPr>
          <w:bCs/>
        </w:rPr>
        <w:t>updated/revised</w:t>
      </w:r>
      <w:r w:rsidR="00E062C6" w:rsidRPr="00E062C6">
        <w:rPr>
          <w:bCs/>
        </w:rPr>
        <w:t xml:space="preserve"> PST</w:t>
      </w:r>
      <w:r w:rsidR="00A13D85">
        <w:rPr>
          <w:bCs/>
        </w:rPr>
        <w:t>s</w:t>
      </w:r>
      <w:r>
        <w:rPr>
          <w:bCs/>
        </w:rPr>
        <w:t xml:space="preserve"> </w:t>
      </w:r>
      <w:r w:rsidR="00F05F7C">
        <w:rPr>
          <w:bCs/>
        </w:rPr>
        <w:t>in January 2014. These</w:t>
      </w:r>
      <w:r w:rsidR="00E062C6" w:rsidRPr="00E062C6">
        <w:rPr>
          <w:bCs/>
        </w:rPr>
        <w:t xml:space="preserve"> standards align expectations for </w:t>
      </w:r>
      <w:r w:rsidR="00575DDA">
        <w:rPr>
          <w:bCs/>
        </w:rPr>
        <w:t xml:space="preserve">teacher </w:t>
      </w:r>
      <w:r w:rsidR="00E062C6">
        <w:rPr>
          <w:bCs/>
        </w:rPr>
        <w:t>preparation</w:t>
      </w:r>
      <w:r w:rsidR="00E062C6" w:rsidRPr="00E062C6">
        <w:rPr>
          <w:bCs/>
        </w:rPr>
        <w:t xml:space="preserve"> candidates with those for in-service teachers as outlined in the </w:t>
      </w:r>
      <w:hyperlink r:id="rId17" w:history="1">
        <w:r w:rsidR="00835ED3" w:rsidRPr="006B0B52">
          <w:rPr>
            <w:rStyle w:val="Hyperlink"/>
            <w:bCs/>
          </w:rPr>
          <w:t>M</w:t>
        </w:r>
        <w:r w:rsidR="00DA765D">
          <w:rPr>
            <w:rStyle w:val="Hyperlink"/>
            <w:bCs/>
          </w:rPr>
          <w:t>ass</w:t>
        </w:r>
        <w:r w:rsidR="0099513A">
          <w:rPr>
            <w:rStyle w:val="Hyperlink"/>
            <w:bCs/>
          </w:rPr>
          <w:t>a</w:t>
        </w:r>
        <w:r w:rsidR="00DA765D">
          <w:rPr>
            <w:rStyle w:val="Hyperlink"/>
            <w:bCs/>
          </w:rPr>
          <w:t>chusetts</w:t>
        </w:r>
        <w:r w:rsidR="00835ED3" w:rsidRPr="006B0B52">
          <w:rPr>
            <w:rStyle w:val="Hyperlink"/>
            <w:bCs/>
          </w:rPr>
          <w:t xml:space="preserve"> Educator Evaluation Framew</w:t>
        </w:r>
        <w:r w:rsidR="006B0B52" w:rsidRPr="006B0B52">
          <w:rPr>
            <w:rStyle w:val="Hyperlink"/>
            <w:bCs/>
          </w:rPr>
          <w:t>ork.</w:t>
        </w:r>
      </w:hyperlink>
      <w:r w:rsidR="00D56658">
        <w:rPr>
          <w:bCs/>
        </w:rPr>
        <w:t xml:space="preserve"> </w:t>
      </w:r>
      <w:r w:rsidR="00BD4A40" w:rsidRPr="00BD4A40">
        <w:rPr>
          <w:bCs/>
        </w:rPr>
        <w:t xml:space="preserve">As stated in the regulations, ESE is required to develop indicators in Guidelines. </w:t>
      </w:r>
      <w:r w:rsidR="00DA765D" w:rsidRPr="00BD4A40">
        <w:rPr>
          <w:bCs/>
        </w:rPr>
        <w:t>Indicators</w:t>
      </w:r>
      <w:r w:rsidR="00DA765D">
        <w:rPr>
          <w:bCs/>
        </w:rPr>
        <w:t xml:space="preserve"> are more specific than the PSTs and </w:t>
      </w:r>
      <w:r w:rsidR="00BD4A40" w:rsidRPr="00BD4A40">
        <w:rPr>
          <w:bCs/>
        </w:rPr>
        <w:t>help define the foundational skills on which teaching practice continues to improve with years of experience.</w:t>
      </w:r>
    </w:p>
    <w:p w:rsidR="00E062C6" w:rsidRDefault="00E062C6" w:rsidP="00020704"/>
    <w:p w:rsidR="00BD4A40" w:rsidRDefault="00BD4A40" w:rsidP="00BD4A40">
      <w:pPr>
        <w:rPr>
          <w:bCs/>
        </w:rPr>
      </w:pPr>
      <w:r>
        <w:rPr>
          <w:bCs/>
        </w:rPr>
        <w:t xml:space="preserve">In order to develop these indicators, </w:t>
      </w:r>
      <w:r w:rsidRPr="00BD4A40">
        <w:rPr>
          <w:bCs/>
        </w:rPr>
        <w:t xml:space="preserve">ESE convened a working group to develop a set of indicators </w:t>
      </w:r>
      <w:r>
        <w:rPr>
          <w:bCs/>
        </w:rPr>
        <w:t>for</w:t>
      </w:r>
      <w:r w:rsidR="00575DDA">
        <w:rPr>
          <w:bCs/>
        </w:rPr>
        <w:t xml:space="preserve"> the</w:t>
      </w:r>
      <w:r w:rsidRPr="00BD4A40">
        <w:rPr>
          <w:bCs/>
        </w:rPr>
        <w:t xml:space="preserve"> PSTs. The indicators</w:t>
      </w:r>
      <w:r>
        <w:rPr>
          <w:bCs/>
        </w:rPr>
        <w:t xml:space="preserve"> included </w:t>
      </w:r>
      <w:r w:rsidR="0099513A">
        <w:rPr>
          <w:bCs/>
        </w:rPr>
        <w:t>in these G</w:t>
      </w:r>
      <w:r>
        <w:rPr>
          <w:bCs/>
        </w:rPr>
        <w:t>uidelines</w:t>
      </w:r>
      <w:r w:rsidRPr="00BD4A40">
        <w:rPr>
          <w:bCs/>
        </w:rPr>
        <w:t xml:space="preserve"> reflect the proposals of this</w:t>
      </w:r>
      <w:r w:rsidR="0099513A">
        <w:rPr>
          <w:bCs/>
        </w:rPr>
        <w:t xml:space="preserve"> 20 person</w:t>
      </w:r>
      <w:r w:rsidRPr="00BD4A40">
        <w:rPr>
          <w:bCs/>
        </w:rPr>
        <w:t xml:space="preserve"> working group. The working group consisted of practicing teachers, principals, mentors and educator preparation professionals. </w:t>
      </w:r>
    </w:p>
    <w:p w:rsidR="00BD4A40" w:rsidRPr="00BD4A40" w:rsidRDefault="00BD4A40" w:rsidP="00BD4A40">
      <w:pPr>
        <w:rPr>
          <w:b/>
        </w:rPr>
      </w:pPr>
    </w:p>
    <w:p w:rsidR="00BD4A40" w:rsidRPr="00BD4A40" w:rsidRDefault="00BD4A40" w:rsidP="00BD4A40">
      <w:pPr>
        <w:rPr>
          <w:bCs/>
        </w:rPr>
      </w:pPr>
      <w:r w:rsidRPr="00BD4A40">
        <w:rPr>
          <w:bCs/>
        </w:rPr>
        <w:t xml:space="preserve">After a </w:t>
      </w:r>
      <w:r w:rsidR="00A13D85">
        <w:rPr>
          <w:bCs/>
        </w:rPr>
        <w:t xml:space="preserve">three-month </w:t>
      </w:r>
      <w:r w:rsidRPr="00BD4A40">
        <w:rPr>
          <w:bCs/>
        </w:rPr>
        <w:t>period of public comment, ESE reconvened the working group and final</w:t>
      </w:r>
      <w:r w:rsidR="00A13D85">
        <w:rPr>
          <w:bCs/>
        </w:rPr>
        <w:t>ized a</w:t>
      </w:r>
      <w:r w:rsidRPr="00BD4A40">
        <w:rPr>
          <w:bCs/>
        </w:rPr>
        <w:t xml:space="preserve"> set of indicators to </w:t>
      </w:r>
      <w:r w:rsidR="00A13D85">
        <w:rPr>
          <w:bCs/>
        </w:rPr>
        <w:t xml:space="preserve">present to </w:t>
      </w:r>
      <w:r w:rsidRPr="00BD4A40">
        <w:rPr>
          <w:bCs/>
        </w:rPr>
        <w:t>the Commissioner. The finalized set of indicators is being released with these Guid</w:t>
      </w:r>
      <w:r w:rsidR="00870A55">
        <w:rPr>
          <w:bCs/>
        </w:rPr>
        <w:t xml:space="preserve">elines to inform the use of PSTs </w:t>
      </w:r>
      <w:r w:rsidRPr="00BD4A40">
        <w:rPr>
          <w:bCs/>
        </w:rPr>
        <w:t>and indicators. A full overview of the timeline for PST revision work is provided below:</w:t>
      </w:r>
    </w:p>
    <w:p w:rsidR="00BD4A40" w:rsidRPr="00BD4A40" w:rsidRDefault="00BD4A40" w:rsidP="00BD4A40">
      <w:pPr>
        <w:numPr>
          <w:ilvl w:val="0"/>
          <w:numId w:val="14"/>
        </w:numPr>
        <w:rPr>
          <w:bCs/>
        </w:rPr>
      </w:pPr>
      <w:r w:rsidRPr="00BD4A40">
        <w:t xml:space="preserve">November 2013: </w:t>
      </w:r>
      <w:hyperlink r:id="rId18" w:history="1">
        <w:r w:rsidRPr="00BD4A40">
          <w:rPr>
            <w:rStyle w:val="Hyperlink"/>
          </w:rPr>
          <w:t>Proposed Regulations</w:t>
        </w:r>
      </w:hyperlink>
      <w:r w:rsidRPr="00BD4A40">
        <w:t>, 603 CMR 7.00, brought to the BESE for initial discussion</w:t>
      </w:r>
    </w:p>
    <w:p w:rsidR="00BD4A40" w:rsidRPr="00BD4A40" w:rsidRDefault="00173978" w:rsidP="00BD4A40">
      <w:pPr>
        <w:numPr>
          <w:ilvl w:val="0"/>
          <w:numId w:val="14"/>
        </w:numPr>
        <w:rPr>
          <w:i/>
          <w:u w:val="single"/>
        </w:rPr>
      </w:pPr>
      <w:r>
        <w:t xml:space="preserve">January 2014: </w:t>
      </w:r>
      <w:r w:rsidR="00BD4A40" w:rsidRPr="00BD4A40">
        <w:t>Following a period of</w:t>
      </w:r>
      <w:r w:rsidR="000962D4">
        <w:t xml:space="preserve"> public comment, the BESE adopted</w:t>
      </w:r>
      <w:r w:rsidR="00BD4A40" w:rsidRPr="00BD4A40">
        <w:t xml:space="preserve"> the revised Regulations</w:t>
      </w:r>
    </w:p>
    <w:p w:rsidR="00BD4A40" w:rsidRPr="00BD4A40" w:rsidRDefault="00BD4A40" w:rsidP="00BD4A40">
      <w:pPr>
        <w:numPr>
          <w:ilvl w:val="0"/>
          <w:numId w:val="14"/>
        </w:numPr>
        <w:rPr>
          <w:i/>
          <w:u w:val="single"/>
        </w:rPr>
      </w:pPr>
      <w:r w:rsidRPr="00BD4A40">
        <w:t xml:space="preserve">April-June 2014: Draft indicators developed with working group </w:t>
      </w:r>
    </w:p>
    <w:p w:rsidR="00BD4A40" w:rsidRPr="00BD4A40" w:rsidRDefault="00BD4A40" w:rsidP="00BD4A40">
      <w:pPr>
        <w:numPr>
          <w:ilvl w:val="0"/>
          <w:numId w:val="14"/>
        </w:numPr>
        <w:rPr>
          <w:i/>
          <w:u w:val="single"/>
        </w:rPr>
      </w:pPr>
      <w:r w:rsidRPr="00BD4A40">
        <w:t xml:space="preserve">July-September 2014: Draft indicators </w:t>
      </w:r>
      <w:r w:rsidR="000962D4">
        <w:t xml:space="preserve">sent </w:t>
      </w:r>
      <w:r w:rsidRPr="00BD4A40">
        <w:t>out for public comment</w:t>
      </w:r>
    </w:p>
    <w:p w:rsidR="00BD4A40" w:rsidRPr="00BD4A40" w:rsidRDefault="00BD4A40" w:rsidP="00BD4A40">
      <w:pPr>
        <w:numPr>
          <w:ilvl w:val="0"/>
          <w:numId w:val="14"/>
        </w:numPr>
        <w:rPr>
          <w:i/>
          <w:u w:val="single"/>
        </w:rPr>
      </w:pPr>
      <w:r w:rsidRPr="00BD4A40">
        <w:t>October 2014:  Reconvene</w:t>
      </w:r>
      <w:r w:rsidR="000962D4">
        <w:t>d</w:t>
      </w:r>
      <w:r w:rsidRPr="00BD4A40">
        <w:t xml:space="preserve"> working group for final discussions</w:t>
      </w:r>
    </w:p>
    <w:p w:rsidR="00BD4A40" w:rsidRDefault="00321563" w:rsidP="00020704">
      <w:pPr>
        <w:numPr>
          <w:ilvl w:val="0"/>
          <w:numId w:val="14"/>
        </w:numPr>
        <w:rPr>
          <w:i/>
          <w:u w:val="single"/>
        </w:rPr>
      </w:pPr>
      <w:r>
        <w:t>January 2015</w:t>
      </w:r>
      <w:r w:rsidR="00173978">
        <w:t>:</w:t>
      </w:r>
      <w:r w:rsidR="00BD4A40" w:rsidRPr="00BD4A40">
        <w:t xml:space="preserve"> </w:t>
      </w:r>
      <w:r w:rsidR="00555FC9">
        <w:t>Finalize</w:t>
      </w:r>
      <w:r w:rsidR="000962D4">
        <w:t>d</w:t>
      </w:r>
      <w:r w:rsidR="00555FC9">
        <w:t xml:space="preserve"> and release</w:t>
      </w:r>
      <w:r w:rsidR="000962D4">
        <w:t>d</w:t>
      </w:r>
      <w:r w:rsidR="00555FC9">
        <w:t xml:space="preserve"> Guidelines</w:t>
      </w:r>
      <w:r w:rsidR="00DA765D">
        <w:t xml:space="preserve"> </w:t>
      </w:r>
    </w:p>
    <w:p w:rsidR="00BD4A40" w:rsidRDefault="00BD4A40" w:rsidP="00BD4A40"/>
    <w:p w:rsidR="007D5BB9" w:rsidRPr="00BD4A40" w:rsidRDefault="007C3A74" w:rsidP="00BD4A40">
      <w:pPr>
        <w:rPr>
          <w:i/>
          <w:u w:val="single"/>
        </w:rPr>
      </w:pPr>
      <w:r>
        <w:t xml:space="preserve">The </w:t>
      </w:r>
      <w:r w:rsidR="00835ED3">
        <w:t>PSTs</w:t>
      </w:r>
      <w:r>
        <w:t xml:space="preserve"> </w:t>
      </w:r>
      <w:r w:rsidR="00A13D85">
        <w:t xml:space="preserve">and indicators </w:t>
      </w:r>
      <w:r>
        <w:t xml:space="preserve">outlined in these Guidelines </w:t>
      </w:r>
      <w:r w:rsidR="00E062C6">
        <w:t xml:space="preserve">help ensure that preparation in Massachusetts </w:t>
      </w:r>
      <w:r w:rsidR="00DA765D">
        <w:t xml:space="preserve">  </w:t>
      </w:r>
      <w:r w:rsidR="00E062C6">
        <w:t>result</w:t>
      </w:r>
      <w:r w:rsidR="00DA765D">
        <w:t>s</w:t>
      </w:r>
      <w:r w:rsidR="00E062C6">
        <w:t xml:space="preserve"> in </w:t>
      </w:r>
      <w:r w:rsidR="00C164D9">
        <w:t>teacher</w:t>
      </w:r>
      <w:r w:rsidR="00E062C6">
        <w:t>s who are ready</w:t>
      </w:r>
      <w:r w:rsidR="00BD4A40">
        <w:t xml:space="preserve"> for the </w:t>
      </w:r>
      <w:r w:rsidR="00C164D9">
        <w:t>classroom</w:t>
      </w:r>
      <w:r w:rsidR="00E062C6">
        <w:t xml:space="preserve"> on day one</w:t>
      </w:r>
      <w:r w:rsidR="00390C92">
        <w:t xml:space="preserve">.  </w:t>
      </w:r>
      <w:r w:rsidR="00DA765D">
        <w:t>We acknowledge that teaching is a profession in which individuals will grow in their expertise--indeed, the educator effectiveness policies are dedicated to supporting continuous improvement.  We are clear, however, that in order to make a difference with students, teachers must meet a standard for readiness on the first day in the classroom. Those standards and expectations are manifested in the PSTs</w:t>
      </w:r>
      <w:r w:rsidR="001B0E4E">
        <w:t xml:space="preserve"> and indicators</w:t>
      </w:r>
      <w:r w:rsidR="00DA765D">
        <w:t>.</w:t>
      </w:r>
      <w:r w:rsidR="00192E94">
        <w:t xml:space="preserve"> </w:t>
      </w:r>
      <w:r w:rsidR="00DA765D">
        <w:t xml:space="preserve"> </w:t>
      </w:r>
      <w:r w:rsidR="00192E94">
        <w:t xml:space="preserve"> </w:t>
      </w:r>
      <w:r w:rsidR="00390C92">
        <w:t xml:space="preserve">Additionally, these </w:t>
      </w:r>
      <w:r w:rsidR="00BD4A40">
        <w:t xml:space="preserve">PSTs </w:t>
      </w:r>
      <w:r w:rsidR="001B0E4E">
        <w:t xml:space="preserve">and indicators </w:t>
      </w:r>
      <w:r w:rsidR="00BD4A40">
        <w:t xml:space="preserve">are part of a comprehensive set of educator effectiveness policies. </w:t>
      </w:r>
      <w:r w:rsidR="00555FC9">
        <w:t>As part of the larger effor</w:t>
      </w:r>
      <w:r w:rsidR="00A13D85">
        <w:t>t</w:t>
      </w:r>
      <w:r w:rsidR="00BD4A40">
        <w:t xml:space="preserve">, they: </w:t>
      </w:r>
    </w:p>
    <w:p w:rsidR="007C3A74" w:rsidRDefault="007E6593" w:rsidP="007C3A74">
      <w:pPr>
        <w:pStyle w:val="ListParagraph"/>
        <w:numPr>
          <w:ilvl w:val="0"/>
          <w:numId w:val="29"/>
        </w:numPr>
      </w:pPr>
      <w:r>
        <w:rPr>
          <w:b/>
        </w:rPr>
        <w:t>Create a</w:t>
      </w:r>
      <w:r w:rsidR="007C3A74" w:rsidRPr="007E6593">
        <w:rPr>
          <w:b/>
        </w:rPr>
        <w:t xml:space="preserve">lignment across the </w:t>
      </w:r>
      <w:r w:rsidRPr="007E6593">
        <w:rPr>
          <w:b/>
        </w:rPr>
        <w:t>educator career continuum</w:t>
      </w:r>
      <w:r w:rsidR="002B1925">
        <w:t xml:space="preserve">: The </w:t>
      </w:r>
      <w:r>
        <w:t>PSTs</w:t>
      </w:r>
      <w:r w:rsidR="004D69B0">
        <w:t xml:space="preserve"> and indicators</w:t>
      </w:r>
      <w:r>
        <w:t xml:space="preserve"> make</w:t>
      </w:r>
      <w:r w:rsidR="00321563">
        <w:t xml:space="preserve"> a</w:t>
      </w:r>
      <w:r>
        <w:t xml:space="preserve"> </w:t>
      </w:r>
      <w:r w:rsidR="003D4F49">
        <w:t>clear</w:t>
      </w:r>
      <w:r>
        <w:t xml:space="preserve"> link between preparation </w:t>
      </w:r>
      <w:r w:rsidR="0099513A">
        <w:t>and employment in Massachusetts</w:t>
      </w:r>
      <w:r>
        <w:t>: the standards for which teachers are prepared are the same as those on which they are ev</w:t>
      </w:r>
      <w:r w:rsidR="006B396D">
        <w:t xml:space="preserve">aluated. This alignment ensures </w:t>
      </w:r>
      <w:r>
        <w:t xml:space="preserve">the </w:t>
      </w:r>
      <w:r>
        <w:lastRenderedPageBreak/>
        <w:t xml:space="preserve">ongoing growth and development of educators is grounded in consistent, high-expectations for teaching and leading in the Commonwealth. </w:t>
      </w:r>
    </w:p>
    <w:p w:rsidR="007E6593" w:rsidRDefault="007E6593" w:rsidP="007C3A74">
      <w:pPr>
        <w:pStyle w:val="ListParagraph"/>
        <w:numPr>
          <w:ilvl w:val="0"/>
          <w:numId w:val="29"/>
        </w:numPr>
      </w:pPr>
      <w:r w:rsidRPr="007E6593">
        <w:rPr>
          <w:b/>
        </w:rPr>
        <w:t>Strengthen preparation</w:t>
      </w:r>
      <w:r>
        <w:rPr>
          <w:b/>
        </w:rPr>
        <w:t xml:space="preserve"> provider</w:t>
      </w:r>
      <w:r w:rsidRPr="007E6593">
        <w:rPr>
          <w:b/>
        </w:rPr>
        <w:t>s</w:t>
      </w:r>
      <w:r>
        <w:rPr>
          <w:b/>
        </w:rPr>
        <w:t>’</w:t>
      </w:r>
      <w:r w:rsidRPr="007E6593">
        <w:rPr>
          <w:b/>
        </w:rPr>
        <w:t xml:space="preserve"> ability to meet district needs</w:t>
      </w:r>
      <w:r w:rsidR="002B1925">
        <w:t xml:space="preserve">: The </w:t>
      </w:r>
      <w:r>
        <w:t>PSTs</w:t>
      </w:r>
      <w:r w:rsidR="0028220C">
        <w:t xml:space="preserve"> and indicators</w:t>
      </w:r>
      <w:r>
        <w:t xml:space="preserve"> ensure</w:t>
      </w:r>
      <w:r w:rsidR="003D4F49">
        <w:t xml:space="preserve"> </w:t>
      </w:r>
      <w:r>
        <w:t xml:space="preserve">candidates are trained in a way that is consistent with the realities of teaching in Massachusetts classrooms. </w:t>
      </w:r>
      <w:r w:rsidR="00542369">
        <w:t>P</w:t>
      </w:r>
      <w:r>
        <w:t xml:space="preserve">roviders </w:t>
      </w:r>
      <w:r w:rsidR="00542369">
        <w:t xml:space="preserve">can build additional </w:t>
      </w:r>
      <w:r>
        <w:t xml:space="preserve">coursework and experiences that are supportive of the specific areas of need identified by partner districts. </w:t>
      </w:r>
    </w:p>
    <w:p w:rsidR="00E062C6" w:rsidRDefault="00E062C6" w:rsidP="00E062C6"/>
    <w:p w:rsidR="00E062C6" w:rsidRDefault="00BD4A40" w:rsidP="00E062C6">
      <w:pPr>
        <w:ind w:left="360"/>
      </w:pPr>
      <w:r w:rsidRPr="00BD4A40">
        <w:rPr>
          <w:bCs/>
        </w:rPr>
        <w:t xml:space="preserve">See </w:t>
      </w:r>
      <w:r w:rsidR="00555FC9">
        <w:rPr>
          <w:bCs/>
        </w:rPr>
        <w:t xml:space="preserve">the </w:t>
      </w:r>
      <w:hyperlink w:anchor="Intersecting_Initiatives" w:history="1">
        <w:r w:rsidR="00555FC9">
          <w:rPr>
            <w:rStyle w:val="Hyperlink"/>
            <w:bCs/>
          </w:rPr>
          <w:t>i</w:t>
        </w:r>
        <w:r w:rsidRPr="00BD4A40">
          <w:rPr>
            <w:rStyle w:val="Hyperlink"/>
            <w:bCs/>
          </w:rPr>
          <w:t>ntersecting Initiatives</w:t>
        </w:r>
      </w:hyperlink>
      <w:r w:rsidRPr="00BD4A40">
        <w:rPr>
          <w:bCs/>
        </w:rPr>
        <w:t xml:space="preserve"> </w:t>
      </w:r>
      <w:r w:rsidR="00555FC9">
        <w:rPr>
          <w:bCs/>
        </w:rPr>
        <w:t xml:space="preserve"> section below </w:t>
      </w:r>
      <w:r w:rsidRPr="00BD4A40">
        <w:rPr>
          <w:bCs/>
        </w:rPr>
        <w:t xml:space="preserve">for more information on related efforts to ensure </w:t>
      </w:r>
      <w:r w:rsidR="003D4F49">
        <w:rPr>
          <w:bCs/>
        </w:rPr>
        <w:t xml:space="preserve"> </w:t>
      </w:r>
      <w:r w:rsidR="003D4F49" w:rsidRPr="00BD4A40">
        <w:rPr>
          <w:bCs/>
        </w:rPr>
        <w:t xml:space="preserve"> </w:t>
      </w:r>
      <w:r w:rsidRPr="00BD4A40">
        <w:rPr>
          <w:bCs/>
        </w:rPr>
        <w:t>every teacher is highly effective for our students in Massachusetts.</w:t>
      </w:r>
    </w:p>
    <w:p w:rsidR="007E6593" w:rsidRPr="007C3A74" w:rsidRDefault="007E6593" w:rsidP="00E062C6">
      <w:pPr>
        <w:ind w:left="360"/>
      </w:pPr>
      <w:r>
        <w:t xml:space="preserve"> </w:t>
      </w:r>
    </w:p>
    <w:p w:rsidR="00A60095" w:rsidRDefault="00923559" w:rsidP="00A60095">
      <w:pPr>
        <w:pStyle w:val="IntenseQuote"/>
        <w:spacing w:before="0" w:after="0"/>
      </w:pPr>
      <w:bookmarkStart w:id="2" w:name="Audience"/>
      <w:r>
        <w:t>Audience</w:t>
      </w:r>
    </w:p>
    <w:bookmarkEnd w:id="2"/>
    <w:p w:rsidR="00E03B3C" w:rsidRDefault="00A60095" w:rsidP="00A60095">
      <w:r>
        <w:t>This document is designed for three main audiences:</w:t>
      </w:r>
      <w:r w:rsidR="004D47B9">
        <w:t xml:space="preserve"> 1) </w:t>
      </w:r>
      <w:r w:rsidR="00D6492A">
        <w:t>Sponsoring Organization</w:t>
      </w:r>
      <w:r w:rsidR="004D47B9">
        <w:t xml:space="preserve"> administrators and faculty; 2) </w:t>
      </w:r>
      <w:r w:rsidR="003D4F49">
        <w:t>T</w:t>
      </w:r>
      <w:r w:rsidR="00B51B9F">
        <w:t xml:space="preserve">eacher </w:t>
      </w:r>
      <w:r w:rsidR="003D4F49">
        <w:t>P</w:t>
      </w:r>
      <w:r w:rsidR="00543B1D">
        <w:t>reparation</w:t>
      </w:r>
      <w:r w:rsidR="004D47B9">
        <w:t xml:space="preserve"> </w:t>
      </w:r>
      <w:r w:rsidR="003D4F49">
        <w:t>C</w:t>
      </w:r>
      <w:r w:rsidR="004D47B9">
        <w:t>andidates</w:t>
      </w:r>
      <w:r w:rsidR="00801306">
        <w:t xml:space="preserve">; and 3) </w:t>
      </w:r>
      <w:r w:rsidR="002B1925">
        <w:t>Program S</w:t>
      </w:r>
      <w:r>
        <w:t>up</w:t>
      </w:r>
      <w:r w:rsidR="00801306">
        <w:t xml:space="preserve">ervisors and </w:t>
      </w:r>
      <w:r w:rsidR="002B1925">
        <w:t>S</w:t>
      </w:r>
      <w:r w:rsidR="00801306">
        <w:t xml:space="preserve">upervising </w:t>
      </w:r>
      <w:r w:rsidR="002B1925">
        <w:t>P</w:t>
      </w:r>
      <w:r>
        <w:t xml:space="preserve">ractitioners. The table below describes how each intended audience should </w:t>
      </w:r>
      <w:r w:rsidR="003D4F49">
        <w:t xml:space="preserve">use </w:t>
      </w:r>
      <w:r>
        <w:t>the information in this document.</w:t>
      </w:r>
      <w:r w:rsidR="00923559">
        <w:t xml:space="preserve"> Please note -</w:t>
      </w:r>
      <w:r w:rsidR="004D47B9">
        <w:t xml:space="preserve">separate pull-out documents for Candidates and Program Supervisors are included </w:t>
      </w:r>
      <w:r w:rsidR="006A4E51">
        <w:t>as appendices</w:t>
      </w:r>
      <w:r w:rsidR="004D47B9">
        <w:t xml:space="preserve"> of this document.</w:t>
      </w:r>
    </w:p>
    <w:p w:rsidR="00A60095" w:rsidRDefault="00A60095" w:rsidP="00A60095"/>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070"/>
        <w:gridCol w:w="7290"/>
      </w:tblGrid>
      <w:tr w:rsidR="00D32201" w:rsidRPr="00F67A3D" w:rsidTr="00F67A3D">
        <w:tc>
          <w:tcPr>
            <w:tcW w:w="2070" w:type="dxa"/>
            <w:shd w:val="clear" w:color="auto" w:fill="FABF8F"/>
          </w:tcPr>
          <w:p w:rsidR="00D32201" w:rsidRPr="00F67A3D" w:rsidRDefault="00D32201" w:rsidP="00A60095">
            <w:pPr>
              <w:rPr>
                <w:b/>
              </w:rPr>
            </w:pPr>
            <w:r w:rsidRPr="00F67A3D">
              <w:rPr>
                <w:b/>
              </w:rPr>
              <w:t>Audience</w:t>
            </w:r>
            <w:r w:rsidR="004D47B9" w:rsidRPr="00F67A3D">
              <w:rPr>
                <w:b/>
              </w:rPr>
              <w:t>:</w:t>
            </w:r>
          </w:p>
        </w:tc>
        <w:tc>
          <w:tcPr>
            <w:tcW w:w="7290" w:type="dxa"/>
            <w:shd w:val="clear" w:color="auto" w:fill="FABF8F"/>
          </w:tcPr>
          <w:p w:rsidR="00D32201" w:rsidRPr="00F67A3D" w:rsidRDefault="004D47B9" w:rsidP="00A60095">
            <w:pPr>
              <w:rPr>
                <w:b/>
              </w:rPr>
            </w:pPr>
            <w:r w:rsidRPr="00F67A3D">
              <w:rPr>
                <w:b/>
              </w:rPr>
              <w:t xml:space="preserve">Goals for </w:t>
            </w:r>
            <w:r w:rsidR="003D4F49">
              <w:rPr>
                <w:b/>
              </w:rPr>
              <w:t xml:space="preserve">PST Guideline </w:t>
            </w:r>
            <w:r w:rsidRPr="00F67A3D">
              <w:rPr>
                <w:b/>
              </w:rPr>
              <w:t>use:</w:t>
            </w:r>
          </w:p>
        </w:tc>
      </w:tr>
      <w:tr w:rsidR="00D32201" w:rsidRPr="00F67A3D" w:rsidTr="00F67A3D">
        <w:trPr>
          <w:trHeight w:val="1430"/>
        </w:trPr>
        <w:tc>
          <w:tcPr>
            <w:tcW w:w="2070" w:type="dxa"/>
            <w:vAlign w:val="center"/>
          </w:tcPr>
          <w:p w:rsidR="00D32201" w:rsidRPr="00F67A3D" w:rsidRDefault="00D6492A" w:rsidP="00543B1D">
            <w:r w:rsidRPr="00F67A3D">
              <w:t>Sponsoring Organization</w:t>
            </w:r>
            <w:r w:rsidR="00D32201" w:rsidRPr="00F67A3D">
              <w:t xml:space="preserve"> administrators </w:t>
            </w:r>
            <w:r w:rsidR="003D4F49">
              <w:t>and</w:t>
            </w:r>
            <w:r w:rsidR="00D32201" w:rsidRPr="00F67A3D">
              <w:t xml:space="preserve"> faculty</w:t>
            </w:r>
          </w:p>
        </w:tc>
        <w:tc>
          <w:tcPr>
            <w:tcW w:w="7290" w:type="dxa"/>
            <w:vAlign w:val="center"/>
          </w:tcPr>
          <w:p w:rsidR="00D32201" w:rsidRPr="00F67A3D" w:rsidRDefault="0098006B" w:rsidP="00F67A3D">
            <w:pPr>
              <w:pStyle w:val="ListParagraph"/>
              <w:numPr>
                <w:ilvl w:val="0"/>
                <w:numId w:val="26"/>
              </w:numPr>
            </w:pPr>
            <w:r w:rsidRPr="00F67A3D">
              <w:t>Inform overall program design including course offerings and practice-based components</w:t>
            </w:r>
          </w:p>
          <w:p w:rsidR="0098006B" w:rsidRPr="00F67A3D" w:rsidRDefault="0098006B" w:rsidP="00F67A3D">
            <w:pPr>
              <w:pStyle w:val="ListParagraph"/>
              <w:numPr>
                <w:ilvl w:val="0"/>
                <w:numId w:val="26"/>
              </w:numPr>
            </w:pPr>
            <w:r w:rsidRPr="00F67A3D">
              <w:t xml:space="preserve">Inform syllabus </w:t>
            </w:r>
            <w:r w:rsidR="003D4F49">
              <w:t>and</w:t>
            </w:r>
            <w:r w:rsidRPr="00F67A3D">
              <w:t xml:space="preserve"> assessment design</w:t>
            </w:r>
          </w:p>
          <w:p w:rsidR="00D32201" w:rsidRPr="00F67A3D" w:rsidRDefault="0098006B" w:rsidP="00F67A3D">
            <w:pPr>
              <w:pStyle w:val="ListParagraph"/>
              <w:numPr>
                <w:ilvl w:val="0"/>
                <w:numId w:val="26"/>
              </w:numPr>
            </w:pPr>
            <w:r w:rsidRPr="00F67A3D">
              <w:t>Help in providing targeted feedback to candidates</w:t>
            </w:r>
          </w:p>
        </w:tc>
      </w:tr>
      <w:tr w:rsidR="00D32201" w:rsidRPr="00F67A3D" w:rsidTr="00F67A3D">
        <w:trPr>
          <w:trHeight w:val="1880"/>
        </w:trPr>
        <w:tc>
          <w:tcPr>
            <w:tcW w:w="2070" w:type="dxa"/>
            <w:vAlign w:val="center"/>
          </w:tcPr>
          <w:p w:rsidR="00D32201" w:rsidRPr="00F67A3D" w:rsidRDefault="00B51B9F" w:rsidP="00543B1D">
            <w:r w:rsidRPr="00F67A3D">
              <w:t xml:space="preserve">Teacher </w:t>
            </w:r>
            <w:r w:rsidR="00543B1D" w:rsidRPr="00F67A3D">
              <w:t>C</w:t>
            </w:r>
            <w:r w:rsidR="00D32201" w:rsidRPr="00F67A3D">
              <w:t>andidates</w:t>
            </w:r>
          </w:p>
        </w:tc>
        <w:tc>
          <w:tcPr>
            <w:tcW w:w="7290" w:type="dxa"/>
            <w:vAlign w:val="center"/>
          </w:tcPr>
          <w:p w:rsidR="004D47B9" w:rsidRPr="00F67A3D" w:rsidRDefault="004D47B9" w:rsidP="00F67A3D">
            <w:pPr>
              <w:pStyle w:val="ListParagraph"/>
              <w:numPr>
                <w:ilvl w:val="0"/>
                <w:numId w:val="26"/>
              </w:numPr>
            </w:pPr>
            <w:r w:rsidRPr="00F67A3D">
              <w:t>Provide clarity about what to expect from a preparation program</w:t>
            </w:r>
          </w:p>
          <w:p w:rsidR="004D47B9" w:rsidRPr="00F67A3D" w:rsidRDefault="004D47B9" w:rsidP="00F67A3D">
            <w:pPr>
              <w:pStyle w:val="ListParagraph"/>
              <w:numPr>
                <w:ilvl w:val="0"/>
                <w:numId w:val="26"/>
              </w:numPr>
            </w:pPr>
            <w:r w:rsidRPr="00F67A3D">
              <w:t xml:space="preserve">Help candidates take ownership </w:t>
            </w:r>
            <w:r w:rsidR="00543B1D" w:rsidRPr="00F67A3D">
              <w:t xml:space="preserve"> for t</w:t>
            </w:r>
            <w:r w:rsidRPr="00F67A3D">
              <w:t>heir own learning by outlining the standards and indicators to know, practice, and demonstrate upon program completion</w:t>
            </w:r>
          </w:p>
          <w:p w:rsidR="004D47B9" w:rsidRPr="00F67A3D" w:rsidRDefault="004D47B9" w:rsidP="00F67A3D">
            <w:pPr>
              <w:pStyle w:val="ListParagraph"/>
              <w:numPr>
                <w:ilvl w:val="0"/>
                <w:numId w:val="26"/>
              </w:numPr>
            </w:pPr>
            <w:r w:rsidRPr="00F67A3D">
              <w:t>Empower candidates to be directive about the support they need to achieve their own goals and those outlined in the PSTs</w:t>
            </w:r>
            <w:r w:rsidR="00014630">
              <w:t xml:space="preserve"> and indicators</w:t>
            </w:r>
            <w:r w:rsidRPr="00F67A3D">
              <w:t>.</w:t>
            </w:r>
          </w:p>
        </w:tc>
      </w:tr>
      <w:tr w:rsidR="00D32201" w:rsidRPr="00F67A3D" w:rsidTr="00F67A3D">
        <w:trPr>
          <w:trHeight w:val="1700"/>
        </w:trPr>
        <w:tc>
          <w:tcPr>
            <w:tcW w:w="2070" w:type="dxa"/>
            <w:vAlign w:val="center"/>
          </w:tcPr>
          <w:p w:rsidR="00D32201" w:rsidRPr="00F67A3D" w:rsidRDefault="00923559" w:rsidP="00543B1D">
            <w:r w:rsidRPr="00F67A3D">
              <w:t xml:space="preserve">Program Supervisors </w:t>
            </w:r>
            <w:r w:rsidR="003D4F49">
              <w:t>and</w:t>
            </w:r>
            <w:r w:rsidRPr="00F67A3D">
              <w:t xml:space="preserve"> Supervising P</w:t>
            </w:r>
            <w:r w:rsidR="00D32201" w:rsidRPr="00F67A3D">
              <w:t>ractitioners</w:t>
            </w:r>
          </w:p>
        </w:tc>
        <w:tc>
          <w:tcPr>
            <w:tcW w:w="7290" w:type="dxa"/>
            <w:vAlign w:val="center"/>
          </w:tcPr>
          <w:p w:rsidR="00535139" w:rsidRPr="00F67A3D" w:rsidRDefault="00535139" w:rsidP="00F67A3D">
            <w:pPr>
              <w:pStyle w:val="ListParagraph"/>
              <w:numPr>
                <w:ilvl w:val="0"/>
                <w:numId w:val="26"/>
              </w:numPr>
              <w:rPr>
                <w:szCs w:val="22"/>
              </w:rPr>
            </w:pPr>
            <w:r w:rsidRPr="00F67A3D">
              <w:rPr>
                <w:szCs w:val="22"/>
              </w:rPr>
              <w:t>Strengthen the feedback and</w:t>
            </w:r>
            <w:r w:rsidR="00917B25">
              <w:rPr>
                <w:szCs w:val="22"/>
              </w:rPr>
              <w:t xml:space="preserve"> support </w:t>
            </w:r>
            <w:r w:rsidRPr="00F67A3D">
              <w:rPr>
                <w:szCs w:val="22"/>
              </w:rPr>
              <w:t xml:space="preserve">candidates receive during their field-based experience. </w:t>
            </w:r>
          </w:p>
          <w:p w:rsidR="00D32201" w:rsidRPr="00F67A3D" w:rsidRDefault="00535139" w:rsidP="00F67A3D">
            <w:pPr>
              <w:pStyle w:val="ListParagraph"/>
              <w:numPr>
                <w:ilvl w:val="0"/>
                <w:numId w:val="26"/>
              </w:numPr>
            </w:pPr>
            <w:r w:rsidRPr="00F67A3D">
              <w:rPr>
                <w:szCs w:val="22"/>
              </w:rPr>
              <w:t xml:space="preserve">Guide </w:t>
            </w:r>
            <w:r w:rsidR="00801306" w:rsidRPr="00F67A3D">
              <w:rPr>
                <w:szCs w:val="22"/>
              </w:rPr>
              <w:t>Program Supervisors and Supervising P</w:t>
            </w:r>
            <w:r w:rsidRPr="00F67A3D">
              <w:rPr>
                <w:szCs w:val="22"/>
              </w:rPr>
              <w:t xml:space="preserve">ractitioners as they </w:t>
            </w:r>
            <w:r w:rsidR="00543B1D" w:rsidRPr="00F67A3D">
              <w:rPr>
                <w:szCs w:val="22"/>
              </w:rPr>
              <w:t>implement</w:t>
            </w:r>
            <w:r w:rsidRPr="00F67A3D">
              <w:rPr>
                <w:szCs w:val="22"/>
              </w:rPr>
              <w:t xml:space="preserve"> practicum experiences that</w:t>
            </w:r>
            <w:r w:rsidR="00543B1D" w:rsidRPr="00F67A3D">
              <w:rPr>
                <w:szCs w:val="22"/>
              </w:rPr>
              <w:t xml:space="preserve"> will give candidates exposure, </w:t>
            </w:r>
            <w:r w:rsidRPr="00F67A3D">
              <w:rPr>
                <w:szCs w:val="22"/>
              </w:rPr>
              <w:t xml:space="preserve">experience </w:t>
            </w:r>
            <w:r w:rsidR="00801306" w:rsidRPr="00F67A3D">
              <w:rPr>
                <w:szCs w:val="22"/>
              </w:rPr>
              <w:t>and</w:t>
            </w:r>
            <w:r w:rsidRPr="00F67A3D">
              <w:rPr>
                <w:szCs w:val="22"/>
              </w:rPr>
              <w:t xml:space="preserve"> practice </w:t>
            </w:r>
            <w:r w:rsidR="00543B1D" w:rsidRPr="00F67A3D">
              <w:rPr>
                <w:szCs w:val="22"/>
              </w:rPr>
              <w:t>across indicators</w:t>
            </w:r>
            <w:r w:rsidRPr="00F67A3D">
              <w:t>.</w:t>
            </w:r>
          </w:p>
        </w:tc>
      </w:tr>
    </w:tbl>
    <w:p w:rsidR="00543B1D" w:rsidRDefault="00543B1D" w:rsidP="00543B1D">
      <w:pPr>
        <w:rPr>
          <w:bCs/>
          <w:i/>
          <w:iCs/>
          <w:color w:val="1F497D"/>
        </w:rPr>
      </w:pPr>
      <w:bookmarkStart w:id="3" w:name="OrgAndStructureOfStandards"/>
    </w:p>
    <w:p w:rsidR="008111CF" w:rsidRDefault="008111CF" w:rsidP="008A6682">
      <w:pPr>
        <w:pStyle w:val="IntenseQuote"/>
        <w:spacing w:after="0"/>
      </w:pPr>
      <w:r>
        <w:t xml:space="preserve">Organization and </w:t>
      </w:r>
      <w:r w:rsidR="00543B1D">
        <w:t>S</w:t>
      </w:r>
      <w:r w:rsidR="000B42EF">
        <w:t xml:space="preserve">tructure of PSTs </w:t>
      </w:r>
      <w:r>
        <w:t>&amp; Indicators</w:t>
      </w:r>
    </w:p>
    <w:bookmarkEnd w:id="3"/>
    <w:p w:rsidR="00541A5E" w:rsidRDefault="00DC72DC">
      <w:r>
        <w:t xml:space="preserve">The </w:t>
      </w:r>
      <w:r w:rsidR="002B7F57">
        <w:t>PSTs</w:t>
      </w:r>
      <w:r w:rsidR="00052BD4">
        <w:t xml:space="preserve"> and indicators</w:t>
      </w:r>
      <w:r w:rsidR="002B7F57">
        <w:t xml:space="preserve"> are</w:t>
      </w:r>
      <w:r w:rsidR="00D6492A">
        <w:t xml:space="preserve"> intentionally aligned to the </w:t>
      </w:r>
      <w:r w:rsidR="00835ED3">
        <w:t xml:space="preserve">MA </w:t>
      </w:r>
      <w:r w:rsidR="002B7F57">
        <w:t xml:space="preserve">Educator Evaluation </w:t>
      </w:r>
      <w:r w:rsidR="00835ED3">
        <w:t>F</w:t>
      </w:r>
      <w:r w:rsidR="00D6492A">
        <w:t>ramework</w:t>
      </w:r>
      <w:r w:rsidR="002B7F57">
        <w:t xml:space="preserve"> to ensure that candidates are in fact ready for the expe</w:t>
      </w:r>
      <w:r>
        <w:t>ctations they will encounter on the job</w:t>
      </w:r>
      <w:r w:rsidR="002B7F57">
        <w:t xml:space="preserve">. </w:t>
      </w:r>
      <w:r w:rsidR="00C840A4">
        <w:t xml:space="preserve"> ESE was intentional in maintaining the exact language of indicators that are currently part of the </w:t>
      </w:r>
      <w:hyperlink r:id="rId19" w:history="1">
        <w:r w:rsidR="00C840A4" w:rsidRPr="00C840A4">
          <w:rPr>
            <w:rStyle w:val="Hyperlink"/>
          </w:rPr>
          <w:t>Standards of Effective Teaching Practice</w:t>
        </w:r>
      </w:hyperlink>
      <w:r w:rsidR="00C840A4">
        <w:t xml:space="preserve">. In </w:t>
      </w:r>
      <w:r w:rsidR="003D4F49">
        <w:t xml:space="preserve">an </w:t>
      </w:r>
      <w:r w:rsidR="009F127E">
        <w:t>effort to strengthen</w:t>
      </w:r>
      <w:r w:rsidR="00C840A4">
        <w:t xml:space="preserve"> the alignment between preparation and in-service expectations, indicators were not changed; however, there are a few differences </w:t>
      </w:r>
      <w:r w:rsidR="009F127E">
        <w:t xml:space="preserve">embedded in the PSTs </w:t>
      </w:r>
      <w:r w:rsidR="00C84299">
        <w:t xml:space="preserve">and indicators </w:t>
      </w:r>
      <w:r w:rsidR="009F127E">
        <w:t>that should be noted</w:t>
      </w:r>
      <w:r w:rsidR="00C840A4">
        <w:t>:</w:t>
      </w:r>
    </w:p>
    <w:p w:rsidR="00C840A4" w:rsidRDefault="00C840A4" w:rsidP="00C840A4">
      <w:pPr>
        <w:pStyle w:val="ListParagraph"/>
        <w:numPr>
          <w:ilvl w:val="0"/>
          <w:numId w:val="28"/>
        </w:numPr>
      </w:pPr>
      <w:r>
        <w:t xml:space="preserve">Addition of two indicators specific to the developmental needs of </w:t>
      </w:r>
      <w:r w:rsidR="000C542D">
        <w:t>beginning</w:t>
      </w:r>
      <w:r>
        <w:t xml:space="preserve"> teachers</w:t>
      </w:r>
      <w:r w:rsidR="003D4F49">
        <w:t xml:space="preserve"> (below)</w:t>
      </w:r>
      <w:r w:rsidR="009F127E">
        <w:t xml:space="preserve">. The working group felt that the knowledge and skills specified in these indicators were so essential to effective preparation that they must be made more explicit.  </w:t>
      </w:r>
    </w:p>
    <w:p w:rsidR="00C840A4" w:rsidRDefault="00C840A4" w:rsidP="00C840A4">
      <w:pPr>
        <w:pStyle w:val="ListParagraph"/>
        <w:numPr>
          <w:ilvl w:val="1"/>
          <w:numId w:val="28"/>
        </w:numPr>
      </w:pPr>
      <w:r>
        <w:lastRenderedPageBreak/>
        <w:t>Social and Emotional Learning Indicator</w:t>
      </w:r>
      <w:r w:rsidR="00B51B9F">
        <w:t xml:space="preserve"> (2.e)</w:t>
      </w:r>
    </w:p>
    <w:p w:rsidR="00C840A4" w:rsidRDefault="00C840A4" w:rsidP="00C840A4">
      <w:pPr>
        <w:pStyle w:val="ListParagraph"/>
        <w:numPr>
          <w:ilvl w:val="1"/>
          <w:numId w:val="28"/>
        </w:numPr>
      </w:pPr>
      <w:r>
        <w:t>Classroom Management indicator</w:t>
      </w:r>
      <w:r w:rsidR="00B51B9F">
        <w:t xml:space="preserve"> (2.f)</w:t>
      </w:r>
    </w:p>
    <w:p w:rsidR="00C840A4" w:rsidRDefault="00C840A4" w:rsidP="00C840A4">
      <w:pPr>
        <w:pStyle w:val="ListParagraph"/>
        <w:numPr>
          <w:ilvl w:val="0"/>
          <w:numId w:val="28"/>
        </w:numPr>
      </w:pPr>
      <w:r>
        <w:t>Addition of five indicators specific to Sheltered English Immersion</w:t>
      </w:r>
      <w:r w:rsidR="009F127E">
        <w:t xml:space="preserve"> (SEI)</w:t>
      </w:r>
      <w:r>
        <w:t xml:space="preserve"> requirements. Enhanced requirements for current educators, under the </w:t>
      </w:r>
      <w:hyperlink r:id="rId20" w:history="1">
        <w:r w:rsidRPr="00321563">
          <w:rPr>
            <w:rStyle w:val="Hyperlink"/>
          </w:rPr>
          <w:t>Rethinking Equity and Teaching for English Language Learners (RETELL)</w:t>
        </w:r>
      </w:hyperlink>
      <w:r>
        <w:t xml:space="preserve"> initiative</w:t>
      </w:r>
      <w:r w:rsidR="00321563">
        <w:t>,</w:t>
      </w:r>
      <w:r>
        <w:t xml:space="preserve"> were put in place after the </w:t>
      </w:r>
      <w:r w:rsidR="00835ED3">
        <w:t>Standards and Indicators of Effective Teaching Practice</w:t>
      </w:r>
      <w:r>
        <w:t xml:space="preserve"> were developed. They are embedded in the PSTs</w:t>
      </w:r>
      <w:r w:rsidR="001D5752">
        <w:t xml:space="preserve"> and indicators</w:t>
      </w:r>
      <w:r>
        <w:t xml:space="preserve"> in response to the ongoing efforts in PK-12 system. </w:t>
      </w:r>
    </w:p>
    <w:p w:rsidR="00C840A4" w:rsidRDefault="00C840A4" w:rsidP="00C840A4">
      <w:pPr>
        <w:pStyle w:val="ListParagraph"/>
        <w:numPr>
          <w:ilvl w:val="0"/>
          <w:numId w:val="28"/>
        </w:numPr>
      </w:pPr>
      <w:r>
        <w:t>Differentiation of expectations by indicator</w:t>
      </w:r>
      <w:r w:rsidR="009F127E">
        <w:t xml:space="preserve">. See below. </w:t>
      </w:r>
    </w:p>
    <w:p w:rsidR="008A6682" w:rsidRDefault="008A6682">
      <w:pPr>
        <w:rPr>
          <w:color w:val="E36C0A"/>
        </w:rPr>
      </w:pPr>
    </w:p>
    <w:p w:rsidR="009F127E" w:rsidRPr="009F127E" w:rsidRDefault="008A6682" w:rsidP="008A6682">
      <w:pPr>
        <w:pStyle w:val="IntenseQuote"/>
        <w:spacing w:after="0"/>
      </w:pPr>
      <w:r>
        <w:t>Indicator Differentiation</w:t>
      </w:r>
    </w:p>
    <w:p w:rsidR="0010691E" w:rsidRDefault="002B7F57">
      <w:r>
        <w:t xml:space="preserve">Understanding that teachers will progress on each standard throughout their career, the </w:t>
      </w:r>
      <w:r w:rsidR="00542369">
        <w:t>PST</w:t>
      </w:r>
      <w:r>
        <w:t xml:space="preserve">s and </w:t>
      </w:r>
      <w:r w:rsidR="00835ED3">
        <w:t>i</w:t>
      </w:r>
      <w:r>
        <w:t>ndicators describe</w:t>
      </w:r>
      <w:r w:rsidR="0027013A">
        <w:t xml:space="preserve"> the level of </w:t>
      </w:r>
      <w:r>
        <w:t>practice</w:t>
      </w:r>
      <w:r w:rsidR="0027013A">
        <w:t xml:space="preserve"> </w:t>
      </w:r>
      <w:r>
        <w:t xml:space="preserve">that candidates should demonstrate by the time they complete their </w:t>
      </w:r>
      <w:r w:rsidR="005C28DF">
        <w:t>teacher</w:t>
      </w:r>
      <w:r>
        <w:t xml:space="preserve"> preparation program and are endorsed for licensure. The diagram below defines each leve</w:t>
      </w:r>
      <w:r w:rsidR="0027013A">
        <w:t xml:space="preserve">l of practice and what it means </w:t>
      </w:r>
      <w:r>
        <w:t>for teacher candidates during their preparation:</w:t>
      </w:r>
    </w:p>
    <w:p w:rsidR="002B7F57" w:rsidRDefault="002B7F57"/>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160"/>
        <w:gridCol w:w="7200"/>
      </w:tblGrid>
      <w:tr w:rsidR="002B7F57" w:rsidRPr="00F67A3D" w:rsidTr="00F67A3D">
        <w:tc>
          <w:tcPr>
            <w:tcW w:w="2160" w:type="dxa"/>
            <w:shd w:val="clear" w:color="auto" w:fill="FABF8F"/>
          </w:tcPr>
          <w:p w:rsidR="002B7F57" w:rsidRPr="00F67A3D" w:rsidRDefault="00721FAE" w:rsidP="007645A9">
            <w:pPr>
              <w:rPr>
                <w:b/>
              </w:rPr>
            </w:pPr>
            <w:r w:rsidRPr="00F67A3D">
              <w:rPr>
                <w:b/>
              </w:rPr>
              <w:t>Level of P</w:t>
            </w:r>
            <w:r w:rsidR="002B7F57" w:rsidRPr="00F67A3D">
              <w:rPr>
                <w:b/>
              </w:rPr>
              <w:t>ractice</w:t>
            </w:r>
          </w:p>
        </w:tc>
        <w:tc>
          <w:tcPr>
            <w:tcW w:w="7200" w:type="dxa"/>
            <w:shd w:val="clear" w:color="auto" w:fill="FABF8F"/>
          </w:tcPr>
          <w:p w:rsidR="002B7F57" w:rsidRPr="00F67A3D" w:rsidRDefault="001C58CE" w:rsidP="007645A9">
            <w:pPr>
              <w:rPr>
                <w:b/>
              </w:rPr>
            </w:pPr>
            <w:r w:rsidRPr="00F67A3D">
              <w:rPr>
                <w:b/>
              </w:rPr>
              <w:t>Expectations for Candidates</w:t>
            </w:r>
          </w:p>
        </w:tc>
      </w:tr>
      <w:tr w:rsidR="002B7F57" w:rsidRPr="00F67A3D" w:rsidTr="00F67A3D">
        <w:tc>
          <w:tcPr>
            <w:tcW w:w="2160" w:type="dxa"/>
            <w:vAlign w:val="center"/>
          </w:tcPr>
          <w:p w:rsidR="002B7F57" w:rsidRPr="00F67A3D" w:rsidRDefault="002B7F57" w:rsidP="001C58CE">
            <w:r w:rsidRPr="00F67A3D">
              <w:t>Introduction</w:t>
            </w:r>
          </w:p>
        </w:tc>
        <w:tc>
          <w:tcPr>
            <w:tcW w:w="7200" w:type="dxa"/>
          </w:tcPr>
          <w:p w:rsidR="00CF3B2E" w:rsidRPr="00F67A3D" w:rsidRDefault="00500356" w:rsidP="00F67A3D">
            <w:pPr>
              <w:spacing w:before="100" w:beforeAutospacing="1" w:after="100" w:afterAutospacing="1"/>
              <w:outlineLvl w:val="2"/>
              <w:rPr>
                <w:bCs/>
                <w:color w:val="000000"/>
              </w:rPr>
            </w:pPr>
            <w:r w:rsidRPr="00F67A3D">
              <w:rPr>
                <w:bCs/>
                <w:color w:val="000000"/>
              </w:rPr>
              <w:t>C</w:t>
            </w:r>
            <w:r w:rsidR="00541A5E" w:rsidRPr="00F67A3D">
              <w:rPr>
                <w:bCs/>
                <w:color w:val="000000"/>
              </w:rPr>
              <w:t>andidates show understanding through coursework and/or in field-based experiences.</w:t>
            </w:r>
          </w:p>
        </w:tc>
      </w:tr>
      <w:tr w:rsidR="002B7F57" w:rsidRPr="00F67A3D" w:rsidTr="00F67A3D">
        <w:tc>
          <w:tcPr>
            <w:tcW w:w="2160" w:type="dxa"/>
            <w:vAlign w:val="center"/>
          </w:tcPr>
          <w:p w:rsidR="002B7F57" w:rsidRPr="00F67A3D" w:rsidRDefault="002B7F57" w:rsidP="001C58CE">
            <w:r w:rsidRPr="00F67A3D">
              <w:t>Practice</w:t>
            </w:r>
          </w:p>
        </w:tc>
        <w:tc>
          <w:tcPr>
            <w:tcW w:w="7200" w:type="dxa"/>
          </w:tcPr>
          <w:p w:rsidR="002B7F57" w:rsidRPr="00F67A3D" w:rsidRDefault="00500356" w:rsidP="007645A9">
            <w:r w:rsidRPr="00F67A3D">
              <w:rPr>
                <w:bCs/>
                <w:color w:val="000000"/>
              </w:rPr>
              <w:t>C</w:t>
            </w:r>
            <w:r w:rsidR="00541A5E" w:rsidRPr="00F67A3D">
              <w:rPr>
                <w:bCs/>
                <w:color w:val="000000"/>
              </w:rPr>
              <w:t>andidates have opportunities to practice, to be observed, and to receive feedback through coursework and/or in field-based experience</w:t>
            </w:r>
            <w:r w:rsidR="003D4F49">
              <w:rPr>
                <w:bCs/>
                <w:color w:val="000000"/>
              </w:rPr>
              <w:t>s</w:t>
            </w:r>
            <w:r w:rsidR="00541A5E" w:rsidRPr="00F67A3D">
              <w:rPr>
                <w:bCs/>
                <w:color w:val="000000"/>
              </w:rPr>
              <w:t>.</w:t>
            </w:r>
          </w:p>
        </w:tc>
      </w:tr>
      <w:tr w:rsidR="002B7F57" w:rsidRPr="00F67A3D" w:rsidTr="00F67A3D">
        <w:tc>
          <w:tcPr>
            <w:tcW w:w="2160" w:type="dxa"/>
            <w:vAlign w:val="center"/>
          </w:tcPr>
          <w:p w:rsidR="002B7F57" w:rsidRPr="00F67A3D" w:rsidRDefault="00C267EF" w:rsidP="001C58CE">
            <w:r>
              <w:t xml:space="preserve">Demonstrate </w:t>
            </w:r>
          </w:p>
        </w:tc>
        <w:tc>
          <w:tcPr>
            <w:tcW w:w="7200" w:type="dxa"/>
          </w:tcPr>
          <w:p w:rsidR="002B7F57" w:rsidRPr="00F67A3D" w:rsidRDefault="00500356" w:rsidP="00A23E82">
            <w:r w:rsidRPr="00F67A3D">
              <w:rPr>
                <w:bCs/>
                <w:color w:val="000000"/>
              </w:rPr>
              <w:t>C</w:t>
            </w:r>
            <w:r w:rsidR="00541A5E" w:rsidRPr="00F67A3D">
              <w:rPr>
                <w:bCs/>
                <w:color w:val="000000"/>
              </w:rPr>
              <w:t xml:space="preserve">andidates </w:t>
            </w:r>
            <w:r w:rsidR="001D225A">
              <w:rPr>
                <w:bCs/>
                <w:color w:val="000000"/>
              </w:rPr>
              <w:t xml:space="preserve">consistently </w:t>
            </w:r>
            <w:r w:rsidRPr="00F67A3D">
              <w:rPr>
                <w:bCs/>
                <w:color w:val="000000"/>
              </w:rPr>
              <w:t xml:space="preserve">demonstrate </w:t>
            </w:r>
            <w:r w:rsidR="00C242BD">
              <w:rPr>
                <w:bCs/>
                <w:color w:val="000000"/>
              </w:rPr>
              <w:t>competency</w:t>
            </w:r>
            <w:r w:rsidRPr="00F67A3D">
              <w:rPr>
                <w:bCs/>
                <w:color w:val="000000"/>
              </w:rPr>
              <w:t xml:space="preserve"> through coursework and in field-based experience</w:t>
            </w:r>
            <w:r w:rsidR="00215FF9">
              <w:rPr>
                <w:bCs/>
                <w:color w:val="000000"/>
              </w:rPr>
              <w:t>s</w:t>
            </w:r>
            <w:r w:rsidR="00B30BB0">
              <w:rPr>
                <w:bCs/>
                <w:color w:val="000000"/>
              </w:rPr>
              <w:t xml:space="preserve"> as measured by the teacher performance assessment</w:t>
            </w:r>
            <w:r w:rsidR="00541A5E" w:rsidRPr="00F67A3D">
              <w:rPr>
                <w:bCs/>
                <w:color w:val="000000"/>
              </w:rPr>
              <w:t>.</w:t>
            </w:r>
          </w:p>
        </w:tc>
      </w:tr>
    </w:tbl>
    <w:p w:rsidR="002B7F57" w:rsidRDefault="002B7F57"/>
    <w:p w:rsidR="00DA6597" w:rsidRDefault="00B51B9F">
      <w:r>
        <w:t>As outlined b</w:t>
      </w:r>
      <w:r w:rsidR="00DA6597">
        <w:t xml:space="preserve">elow, each </w:t>
      </w:r>
      <w:r w:rsidR="00541A5E">
        <w:t>indicator</w:t>
      </w:r>
      <w:r w:rsidR="00923559">
        <w:t xml:space="preserve"> has a corresponding level of p</w:t>
      </w:r>
      <w:r w:rsidR="00DA6597">
        <w:t>ractice. It i</w:t>
      </w:r>
      <w:r w:rsidR="00923559">
        <w:t>s important to note that these levels of p</w:t>
      </w:r>
      <w:r w:rsidR="00DA6597">
        <w:t xml:space="preserve">ractice do not suggest a hierarchy or </w:t>
      </w:r>
      <w:r w:rsidR="00C267EF">
        <w:t>priority</w:t>
      </w:r>
      <w:r w:rsidR="00DA6597">
        <w:t xml:space="preserve">. Rather, candidates should experience thoughtful exposure to each indicator and have appropriate opportunities to practice or demonstrate the indicators that are most critical for their success as a </w:t>
      </w:r>
      <w:r w:rsidR="00835ED3">
        <w:t xml:space="preserve">beginning </w:t>
      </w:r>
      <w:r w:rsidR="00DA6597">
        <w:t>teacher.</w:t>
      </w:r>
    </w:p>
    <w:p w:rsidR="00721FAE" w:rsidRPr="00721FAE" w:rsidRDefault="00721FAE" w:rsidP="00ED60B0">
      <w:pPr>
        <w:rPr>
          <w:sz w:val="24"/>
          <w:szCs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5"/>
        <w:gridCol w:w="635"/>
        <w:gridCol w:w="90"/>
        <w:gridCol w:w="90"/>
        <w:gridCol w:w="805"/>
        <w:gridCol w:w="545"/>
        <w:gridCol w:w="134"/>
        <w:gridCol w:w="850"/>
        <w:gridCol w:w="96"/>
        <w:gridCol w:w="1440"/>
      </w:tblGrid>
      <w:tr w:rsidR="00541A5E" w:rsidRPr="00F67A3D" w:rsidTr="00F67A3D">
        <w:trPr>
          <w:trHeight w:val="1205"/>
        </w:trPr>
        <w:tc>
          <w:tcPr>
            <w:tcW w:w="10260" w:type="dxa"/>
            <w:gridSpan w:val="10"/>
            <w:shd w:val="clear" w:color="auto" w:fill="F2DBDB"/>
            <w:vAlign w:val="center"/>
          </w:tcPr>
          <w:p w:rsidR="00541A5E" w:rsidRPr="00F67A3D" w:rsidRDefault="00541A5E" w:rsidP="00F67A3D">
            <w:pPr>
              <w:widowControl w:val="0"/>
              <w:rPr>
                <w:snapToGrid w:val="0"/>
                <w:szCs w:val="22"/>
              </w:rPr>
            </w:pPr>
            <w:r w:rsidRPr="00F67A3D">
              <w:rPr>
                <w:b/>
                <w:snapToGrid w:val="0"/>
                <w:szCs w:val="22"/>
              </w:rPr>
              <w:t>(1) Curriculum, Planning, and Assessment standard</w:t>
            </w:r>
            <w:r w:rsidRPr="00F67A3D">
              <w:rPr>
                <w:snapToGrid w:val="0"/>
                <w:szCs w:val="22"/>
              </w:rPr>
              <w: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tc>
      </w:tr>
      <w:tr w:rsidR="0058005B" w:rsidRPr="00F67A3D" w:rsidTr="00F67A3D">
        <w:tc>
          <w:tcPr>
            <w:tcW w:w="6390" w:type="dxa"/>
            <w:gridSpan w:val="4"/>
            <w:shd w:val="clear" w:color="auto" w:fill="E5B8B7"/>
            <w:vAlign w:val="center"/>
          </w:tcPr>
          <w:p w:rsidR="00541A5E" w:rsidRPr="00F67A3D" w:rsidRDefault="00541A5E" w:rsidP="00F67A3D">
            <w:pPr>
              <w:widowControl w:val="0"/>
              <w:rPr>
                <w:snapToGrid w:val="0"/>
                <w:szCs w:val="22"/>
              </w:rPr>
            </w:pPr>
          </w:p>
        </w:tc>
        <w:tc>
          <w:tcPr>
            <w:tcW w:w="1484" w:type="dxa"/>
            <w:gridSpan w:val="3"/>
            <w:shd w:val="clear" w:color="auto" w:fill="E5B8B7"/>
          </w:tcPr>
          <w:p w:rsidR="00541A5E" w:rsidRPr="00F67A3D" w:rsidRDefault="00541A5E" w:rsidP="00F67A3D">
            <w:pPr>
              <w:widowControl w:val="0"/>
              <w:jc w:val="center"/>
              <w:rPr>
                <w:snapToGrid w:val="0"/>
                <w:szCs w:val="22"/>
              </w:rPr>
            </w:pPr>
            <w:r w:rsidRPr="00F67A3D">
              <w:rPr>
                <w:b/>
                <w:snapToGrid w:val="0"/>
                <w:szCs w:val="22"/>
              </w:rPr>
              <w:t>Introduction</w:t>
            </w:r>
          </w:p>
        </w:tc>
        <w:tc>
          <w:tcPr>
            <w:tcW w:w="946" w:type="dxa"/>
            <w:gridSpan w:val="2"/>
            <w:shd w:val="clear" w:color="auto" w:fill="E5B8B7"/>
          </w:tcPr>
          <w:p w:rsidR="00541A5E" w:rsidRPr="00F67A3D" w:rsidRDefault="00541A5E" w:rsidP="00F67A3D">
            <w:pPr>
              <w:widowControl w:val="0"/>
              <w:jc w:val="center"/>
              <w:rPr>
                <w:snapToGrid w:val="0"/>
                <w:szCs w:val="22"/>
              </w:rPr>
            </w:pPr>
            <w:r w:rsidRPr="00F67A3D">
              <w:rPr>
                <w:b/>
                <w:snapToGrid w:val="0"/>
                <w:szCs w:val="22"/>
              </w:rPr>
              <w:t>Practice</w:t>
            </w:r>
          </w:p>
        </w:tc>
        <w:tc>
          <w:tcPr>
            <w:tcW w:w="1440" w:type="dxa"/>
            <w:shd w:val="clear" w:color="auto" w:fill="E5B8B7"/>
          </w:tcPr>
          <w:p w:rsidR="00541A5E" w:rsidRPr="00F67A3D" w:rsidRDefault="00541A5E" w:rsidP="00F67A3D">
            <w:pPr>
              <w:widowControl w:val="0"/>
              <w:jc w:val="center"/>
              <w:rPr>
                <w:snapToGrid w:val="0"/>
                <w:szCs w:val="22"/>
              </w:rPr>
            </w:pPr>
            <w:r w:rsidRPr="00F67A3D">
              <w:rPr>
                <w:b/>
                <w:snapToGrid w:val="0"/>
                <w:szCs w:val="22"/>
              </w:rPr>
              <w:t>Demonstrate</w:t>
            </w:r>
          </w:p>
        </w:tc>
      </w:tr>
      <w:tr w:rsidR="0058005B" w:rsidRPr="00F67A3D" w:rsidTr="00F67A3D">
        <w:tc>
          <w:tcPr>
            <w:tcW w:w="6390" w:type="dxa"/>
            <w:gridSpan w:val="4"/>
            <w:shd w:val="clear" w:color="auto" w:fill="E5B8B7"/>
            <w:vAlign w:val="center"/>
          </w:tcPr>
          <w:p w:rsidR="00541A5E" w:rsidRPr="00F67A3D" w:rsidRDefault="00541A5E" w:rsidP="00F67A3D">
            <w:pPr>
              <w:widowControl w:val="0"/>
              <w:rPr>
                <w:snapToGrid w:val="0"/>
                <w:szCs w:val="22"/>
              </w:rPr>
            </w:pPr>
            <w:r w:rsidRPr="00F67A3D">
              <w:rPr>
                <w:snapToGrid w:val="0"/>
                <w:szCs w:val="22"/>
              </w:rPr>
              <w:t>(a)  Curriculum and Planning indicator: Knows the subject matter well, has a good grasp of child development and how students learn, and designs effective and rigorous standards-based units of instruction consisting of well-structured lessons with measurable outcomes.</w:t>
            </w:r>
          </w:p>
        </w:tc>
        <w:tc>
          <w:tcPr>
            <w:tcW w:w="1484" w:type="dxa"/>
            <w:gridSpan w:val="3"/>
            <w:shd w:val="clear" w:color="auto" w:fill="E5B8B7"/>
            <w:vAlign w:val="center"/>
          </w:tcPr>
          <w:p w:rsidR="00541A5E" w:rsidRPr="00F67A3D" w:rsidRDefault="00541A5E" w:rsidP="00F67A3D">
            <w:pPr>
              <w:widowControl w:val="0"/>
              <w:jc w:val="center"/>
              <w:rPr>
                <w:snapToGrid w:val="0"/>
                <w:szCs w:val="22"/>
              </w:rPr>
            </w:pPr>
          </w:p>
        </w:tc>
        <w:tc>
          <w:tcPr>
            <w:tcW w:w="946" w:type="dxa"/>
            <w:gridSpan w:val="2"/>
            <w:shd w:val="clear" w:color="auto" w:fill="E5B8B7"/>
            <w:vAlign w:val="center"/>
          </w:tcPr>
          <w:p w:rsidR="00541A5E" w:rsidRPr="00F67A3D" w:rsidRDefault="00541A5E" w:rsidP="00F67A3D">
            <w:pPr>
              <w:widowControl w:val="0"/>
              <w:jc w:val="center"/>
              <w:rPr>
                <w:snapToGrid w:val="0"/>
                <w:szCs w:val="22"/>
              </w:rPr>
            </w:pPr>
          </w:p>
        </w:tc>
        <w:tc>
          <w:tcPr>
            <w:tcW w:w="1440" w:type="dxa"/>
            <w:shd w:val="clear" w:color="auto" w:fill="E5B8B7"/>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rPr>
          <w:trHeight w:val="1277"/>
        </w:trPr>
        <w:tc>
          <w:tcPr>
            <w:tcW w:w="6390" w:type="dxa"/>
            <w:gridSpan w:val="4"/>
            <w:shd w:val="clear" w:color="auto" w:fill="E5B8B7"/>
            <w:vAlign w:val="center"/>
          </w:tcPr>
          <w:p w:rsidR="00541A5E" w:rsidRPr="00F67A3D" w:rsidRDefault="00541A5E" w:rsidP="00F67A3D">
            <w:pPr>
              <w:widowControl w:val="0"/>
              <w:rPr>
                <w:snapToGrid w:val="0"/>
                <w:szCs w:val="22"/>
              </w:rPr>
            </w:pPr>
            <w:r w:rsidRPr="00F67A3D">
              <w:rPr>
                <w:snapToGrid w:val="0"/>
                <w:szCs w:val="22"/>
              </w:rPr>
              <w:t>(b)  Assessment indicator: Uses a variety of informal and formal methods of assessment to measure student learning, growth, and understanding, develop differentiated and enhanced learning experiences, and improve future instruction.</w:t>
            </w:r>
          </w:p>
        </w:tc>
        <w:tc>
          <w:tcPr>
            <w:tcW w:w="1484" w:type="dxa"/>
            <w:gridSpan w:val="3"/>
            <w:shd w:val="clear" w:color="auto" w:fill="E5B8B7"/>
            <w:vAlign w:val="center"/>
          </w:tcPr>
          <w:p w:rsidR="00541A5E" w:rsidRPr="00F67A3D" w:rsidRDefault="00541A5E" w:rsidP="00F67A3D">
            <w:pPr>
              <w:widowControl w:val="0"/>
              <w:jc w:val="center"/>
              <w:rPr>
                <w:snapToGrid w:val="0"/>
                <w:szCs w:val="22"/>
              </w:rPr>
            </w:pPr>
          </w:p>
        </w:tc>
        <w:tc>
          <w:tcPr>
            <w:tcW w:w="946" w:type="dxa"/>
            <w:gridSpan w:val="2"/>
            <w:shd w:val="clear" w:color="auto" w:fill="E5B8B7"/>
            <w:vAlign w:val="center"/>
          </w:tcPr>
          <w:p w:rsidR="00541A5E" w:rsidRPr="00F67A3D" w:rsidRDefault="00541A5E" w:rsidP="00F67A3D">
            <w:pPr>
              <w:widowControl w:val="0"/>
              <w:jc w:val="center"/>
              <w:rPr>
                <w:snapToGrid w:val="0"/>
                <w:szCs w:val="22"/>
              </w:rPr>
            </w:pPr>
          </w:p>
        </w:tc>
        <w:tc>
          <w:tcPr>
            <w:tcW w:w="1440" w:type="dxa"/>
            <w:shd w:val="clear" w:color="auto" w:fill="E5B8B7"/>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rPr>
          <w:trHeight w:val="710"/>
        </w:trPr>
        <w:tc>
          <w:tcPr>
            <w:tcW w:w="6390" w:type="dxa"/>
            <w:gridSpan w:val="4"/>
            <w:shd w:val="clear" w:color="auto" w:fill="E5B8B7"/>
            <w:vAlign w:val="center"/>
          </w:tcPr>
          <w:p w:rsidR="00541A5E" w:rsidRPr="00F67A3D" w:rsidRDefault="00541A5E" w:rsidP="00F67A3D">
            <w:pPr>
              <w:widowControl w:val="0"/>
              <w:rPr>
                <w:snapToGrid w:val="0"/>
                <w:szCs w:val="22"/>
              </w:rPr>
            </w:pPr>
            <w:r w:rsidRPr="00F67A3D">
              <w:rPr>
                <w:snapToGrid w:val="0"/>
                <w:szCs w:val="22"/>
              </w:rPr>
              <w:t>(c)  Analysis indicator: Analyzes data from assessments, draws conclusions, and shares them appropriately.</w:t>
            </w:r>
          </w:p>
        </w:tc>
        <w:tc>
          <w:tcPr>
            <w:tcW w:w="1484" w:type="dxa"/>
            <w:gridSpan w:val="3"/>
            <w:shd w:val="clear" w:color="auto" w:fill="E5B8B7"/>
            <w:vAlign w:val="center"/>
          </w:tcPr>
          <w:p w:rsidR="00541A5E" w:rsidRPr="00F67A3D" w:rsidRDefault="00541A5E" w:rsidP="00F67A3D">
            <w:pPr>
              <w:widowControl w:val="0"/>
              <w:jc w:val="center"/>
              <w:rPr>
                <w:snapToGrid w:val="0"/>
                <w:szCs w:val="22"/>
              </w:rPr>
            </w:pPr>
          </w:p>
        </w:tc>
        <w:tc>
          <w:tcPr>
            <w:tcW w:w="946" w:type="dxa"/>
            <w:gridSpan w:val="2"/>
            <w:shd w:val="clear" w:color="auto" w:fill="E5B8B7"/>
            <w:vAlign w:val="center"/>
          </w:tcPr>
          <w:p w:rsidR="00541A5E" w:rsidRPr="00F67A3D" w:rsidRDefault="00541A5E" w:rsidP="00F67A3D">
            <w:pPr>
              <w:widowControl w:val="0"/>
              <w:jc w:val="center"/>
              <w:rPr>
                <w:snapToGrid w:val="0"/>
                <w:szCs w:val="22"/>
              </w:rPr>
            </w:pPr>
            <w:r w:rsidRPr="00F67A3D">
              <w:rPr>
                <w:snapToGrid w:val="0"/>
                <w:szCs w:val="22"/>
              </w:rPr>
              <w:t>X</w:t>
            </w:r>
          </w:p>
        </w:tc>
        <w:tc>
          <w:tcPr>
            <w:tcW w:w="1440" w:type="dxa"/>
            <w:shd w:val="clear" w:color="auto" w:fill="E5B8B7"/>
            <w:vAlign w:val="center"/>
          </w:tcPr>
          <w:p w:rsidR="00541A5E" w:rsidRPr="00F67A3D" w:rsidRDefault="00541A5E" w:rsidP="00F67A3D">
            <w:pPr>
              <w:widowControl w:val="0"/>
              <w:jc w:val="center"/>
              <w:rPr>
                <w:snapToGrid w:val="0"/>
                <w:szCs w:val="22"/>
              </w:rPr>
            </w:pPr>
          </w:p>
        </w:tc>
      </w:tr>
      <w:tr w:rsidR="0058005B" w:rsidRPr="00F67A3D" w:rsidTr="00F67A3D">
        <w:trPr>
          <w:trHeight w:val="980"/>
        </w:trPr>
        <w:tc>
          <w:tcPr>
            <w:tcW w:w="6390" w:type="dxa"/>
            <w:gridSpan w:val="4"/>
            <w:shd w:val="clear" w:color="auto" w:fill="E5B8B7"/>
            <w:vAlign w:val="center"/>
          </w:tcPr>
          <w:p w:rsidR="00541A5E" w:rsidRPr="00F67A3D" w:rsidRDefault="00721FAE" w:rsidP="00F67A3D">
            <w:pPr>
              <w:widowControl w:val="0"/>
              <w:rPr>
                <w:snapToGrid w:val="0"/>
                <w:szCs w:val="22"/>
              </w:rPr>
            </w:pPr>
            <w:r w:rsidRPr="00F67A3D">
              <w:rPr>
                <w:snapToGrid w:val="0"/>
                <w:szCs w:val="22"/>
              </w:rPr>
              <w:lastRenderedPageBreak/>
              <w:t xml:space="preserve">SEI </w:t>
            </w:r>
            <w:r w:rsidR="00541A5E" w:rsidRPr="00F67A3D">
              <w:rPr>
                <w:snapToGrid w:val="0"/>
                <w:szCs w:val="22"/>
              </w:rPr>
              <w:t>Indicator (a) Uses instructional planning, materials, and student engagement approaches that support students of diverse cultural and linguistic backgrounds, strengths, and challenges.</w:t>
            </w:r>
          </w:p>
        </w:tc>
        <w:tc>
          <w:tcPr>
            <w:tcW w:w="1484" w:type="dxa"/>
            <w:gridSpan w:val="3"/>
            <w:shd w:val="clear" w:color="auto" w:fill="E5B8B7"/>
            <w:vAlign w:val="center"/>
          </w:tcPr>
          <w:p w:rsidR="00541A5E" w:rsidRPr="00F67A3D" w:rsidRDefault="00541A5E" w:rsidP="00F67A3D">
            <w:pPr>
              <w:widowControl w:val="0"/>
              <w:jc w:val="center"/>
              <w:rPr>
                <w:b/>
                <w:snapToGrid w:val="0"/>
                <w:szCs w:val="22"/>
              </w:rPr>
            </w:pPr>
          </w:p>
          <w:p w:rsidR="00541A5E" w:rsidRPr="00F67A3D" w:rsidRDefault="00541A5E" w:rsidP="00F67A3D">
            <w:pPr>
              <w:widowControl w:val="0"/>
              <w:jc w:val="center"/>
              <w:rPr>
                <w:b/>
                <w:snapToGrid w:val="0"/>
                <w:szCs w:val="22"/>
              </w:rPr>
            </w:pPr>
          </w:p>
        </w:tc>
        <w:tc>
          <w:tcPr>
            <w:tcW w:w="946" w:type="dxa"/>
            <w:gridSpan w:val="2"/>
            <w:shd w:val="clear" w:color="auto" w:fill="E5B8B7"/>
            <w:vAlign w:val="center"/>
          </w:tcPr>
          <w:p w:rsidR="00541A5E" w:rsidRPr="00F67A3D" w:rsidRDefault="00541A5E" w:rsidP="00F67A3D">
            <w:pPr>
              <w:widowControl w:val="0"/>
              <w:jc w:val="center"/>
              <w:rPr>
                <w:snapToGrid w:val="0"/>
                <w:szCs w:val="22"/>
              </w:rPr>
            </w:pPr>
          </w:p>
        </w:tc>
        <w:tc>
          <w:tcPr>
            <w:tcW w:w="1440" w:type="dxa"/>
            <w:shd w:val="clear" w:color="auto" w:fill="E5B8B7"/>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rPr>
          <w:trHeight w:val="1520"/>
        </w:trPr>
        <w:tc>
          <w:tcPr>
            <w:tcW w:w="6390" w:type="dxa"/>
            <w:gridSpan w:val="4"/>
            <w:shd w:val="clear" w:color="auto" w:fill="E5B8B7"/>
            <w:vAlign w:val="center"/>
          </w:tcPr>
          <w:p w:rsidR="00721FAE" w:rsidRPr="00F67A3D" w:rsidRDefault="00721FAE" w:rsidP="00F67A3D">
            <w:pPr>
              <w:widowControl w:val="0"/>
              <w:rPr>
                <w:snapToGrid w:val="0"/>
                <w:szCs w:val="22"/>
              </w:rPr>
            </w:pPr>
            <w:r w:rsidRPr="00F67A3D">
              <w:rPr>
                <w:snapToGrid w:val="0"/>
                <w:szCs w:val="22"/>
              </w:rPr>
              <w:t xml:space="preserve">SEI </w:t>
            </w:r>
            <w:r w:rsidR="00541A5E" w:rsidRPr="00F67A3D">
              <w:rPr>
                <w:snapToGrid w:val="0"/>
                <w:szCs w:val="22"/>
              </w:rPr>
              <w:t>Indicator (c) Demonstrates knowledge of the difference between social and academic language and the importance of this difference in planning, differentiating and delivering effective instruction for English language learners at various levels of English language proficiency and literacy.</w:t>
            </w:r>
          </w:p>
        </w:tc>
        <w:tc>
          <w:tcPr>
            <w:tcW w:w="1484" w:type="dxa"/>
            <w:gridSpan w:val="3"/>
            <w:shd w:val="clear" w:color="auto" w:fill="E5B8B7"/>
            <w:vAlign w:val="center"/>
          </w:tcPr>
          <w:p w:rsidR="00541A5E" w:rsidRPr="00F67A3D" w:rsidRDefault="00541A5E" w:rsidP="00F67A3D">
            <w:pPr>
              <w:widowControl w:val="0"/>
              <w:jc w:val="center"/>
              <w:rPr>
                <w:b/>
                <w:snapToGrid w:val="0"/>
                <w:szCs w:val="22"/>
              </w:rPr>
            </w:pPr>
          </w:p>
        </w:tc>
        <w:tc>
          <w:tcPr>
            <w:tcW w:w="946" w:type="dxa"/>
            <w:gridSpan w:val="2"/>
            <w:shd w:val="clear" w:color="auto" w:fill="E5B8B7"/>
            <w:vAlign w:val="center"/>
          </w:tcPr>
          <w:p w:rsidR="00541A5E" w:rsidRPr="00F67A3D" w:rsidRDefault="00541A5E" w:rsidP="00F67A3D">
            <w:pPr>
              <w:widowControl w:val="0"/>
              <w:jc w:val="center"/>
              <w:rPr>
                <w:snapToGrid w:val="0"/>
                <w:szCs w:val="22"/>
              </w:rPr>
            </w:pPr>
          </w:p>
        </w:tc>
        <w:tc>
          <w:tcPr>
            <w:tcW w:w="1440" w:type="dxa"/>
            <w:shd w:val="clear" w:color="auto" w:fill="E5B8B7"/>
            <w:vAlign w:val="center"/>
          </w:tcPr>
          <w:p w:rsidR="00541A5E" w:rsidRPr="00F67A3D" w:rsidRDefault="00541A5E" w:rsidP="00F67A3D">
            <w:pPr>
              <w:widowControl w:val="0"/>
              <w:jc w:val="center"/>
              <w:rPr>
                <w:snapToGrid w:val="0"/>
                <w:szCs w:val="22"/>
              </w:rPr>
            </w:pPr>
            <w:r w:rsidRPr="00F67A3D">
              <w:rPr>
                <w:snapToGrid w:val="0"/>
                <w:szCs w:val="22"/>
              </w:rPr>
              <w:t>X</w:t>
            </w:r>
          </w:p>
        </w:tc>
      </w:tr>
      <w:tr w:rsidR="00541A5E" w:rsidRPr="00F67A3D" w:rsidTr="00F67A3D">
        <w:tc>
          <w:tcPr>
            <w:tcW w:w="10260" w:type="dxa"/>
            <w:gridSpan w:val="10"/>
            <w:shd w:val="clear" w:color="auto" w:fill="EAF1DD"/>
            <w:vAlign w:val="center"/>
          </w:tcPr>
          <w:p w:rsidR="00541A5E" w:rsidRPr="00F67A3D" w:rsidRDefault="00541A5E" w:rsidP="00F67A3D">
            <w:pPr>
              <w:widowControl w:val="0"/>
              <w:rPr>
                <w:snapToGrid w:val="0"/>
                <w:szCs w:val="22"/>
              </w:rPr>
            </w:pPr>
            <w:r w:rsidRPr="00F67A3D">
              <w:rPr>
                <w:b/>
                <w:snapToGrid w:val="0"/>
                <w:szCs w:val="22"/>
                <w:shd w:val="clear" w:color="auto" w:fill="EAF1DD"/>
              </w:rPr>
              <w:t>(2) Teaching All Students standard:</w:t>
            </w:r>
            <w:r w:rsidRPr="00F67A3D">
              <w:rPr>
                <w:snapToGrid w:val="0"/>
                <w:szCs w:val="22"/>
                <w:shd w:val="clear" w:color="auto" w:fill="EAF1DD"/>
              </w:rPr>
              <w:t xml:space="preserve"> Promotes the learning and growth of all students through instructional practices that establish high expectations, create a safe and effective classroom </w:t>
            </w:r>
            <w:r w:rsidRPr="00F67A3D">
              <w:rPr>
                <w:snapToGrid w:val="0"/>
                <w:szCs w:val="22"/>
              </w:rPr>
              <w:t>environment, and demonstrate cultural proficiency.</w:t>
            </w:r>
          </w:p>
        </w:tc>
      </w:tr>
      <w:tr w:rsidR="0058005B" w:rsidRPr="00F67A3D" w:rsidTr="00F67A3D">
        <w:tc>
          <w:tcPr>
            <w:tcW w:w="6300" w:type="dxa"/>
            <w:gridSpan w:val="3"/>
            <w:shd w:val="clear" w:color="auto" w:fill="D6E3BC"/>
            <w:vAlign w:val="center"/>
          </w:tcPr>
          <w:p w:rsidR="00541A5E" w:rsidRPr="00F67A3D" w:rsidRDefault="00541A5E" w:rsidP="00F67A3D">
            <w:pPr>
              <w:widowControl w:val="0"/>
              <w:rPr>
                <w:snapToGrid w:val="0"/>
                <w:szCs w:val="22"/>
              </w:rPr>
            </w:pPr>
          </w:p>
        </w:tc>
        <w:tc>
          <w:tcPr>
            <w:tcW w:w="1440" w:type="dxa"/>
            <w:gridSpan w:val="3"/>
            <w:shd w:val="clear" w:color="auto" w:fill="D6E3BC"/>
          </w:tcPr>
          <w:p w:rsidR="00541A5E" w:rsidRPr="00F67A3D" w:rsidRDefault="00541A5E" w:rsidP="00F67A3D">
            <w:pPr>
              <w:widowControl w:val="0"/>
              <w:jc w:val="center"/>
              <w:rPr>
                <w:snapToGrid w:val="0"/>
                <w:szCs w:val="22"/>
              </w:rPr>
            </w:pPr>
            <w:r w:rsidRPr="00F67A3D">
              <w:rPr>
                <w:b/>
                <w:snapToGrid w:val="0"/>
                <w:szCs w:val="22"/>
              </w:rPr>
              <w:t>Introduction</w:t>
            </w:r>
          </w:p>
        </w:tc>
        <w:tc>
          <w:tcPr>
            <w:tcW w:w="1080" w:type="dxa"/>
            <w:gridSpan w:val="3"/>
            <w:shd w:val="clear" w:color="auto" w:fill="D6E3BC"/>
          </w:tcPr>
          <w:p w:rsidR="00541A5E" w:rsidRPr="00F67A3D" w:rsidRDefault="00541A5E" w:rsidP="00F67A3D">
            <w:pPr>
              <w:widowControl w:val="0"/>
              <w:jc w:val="center"/>
              <w:rPr>
                <w:snapToGrid w:val="0"/>
                <w:szCs w:val="22"/>
              </w:rPr>
            </w:pPr>
            <w:r w:rsidRPr="00F67A3D">
              <w:rPr>
                <w:b/>
                <w:snapToGrid w:val="0"/>
                <w:szCs w:val="22"/>
              </w:rPr>
              <w:t>Practice</w:t>
            </w:r>
          </w:p>
        </w:tc>
        <w:tc>
          <w:tcPr>
            <w:tcW w:w="1440" w:type="dxa"/>
            <w:shd w:val="clear" w:color="auto" w:fill="D6E3BC"/>
          </w:tcPr>
          <w:p w:rsidR="00541A5E" w:rsidRPr="00F67A3D" w:rsidRDefault="00541A5E" w:rsidP="00F67A3D">
            <w:pPr>
              <w:widowControl w:val="0"/>
              <w:jc w:val="center"/>
              <w:rPr>
                <w:b/>
                <w:snapToGrid w:val="0"/>
                <w:szCs w:val="22"/>
              </w:rPr>
            </w:pPr>
            <w:r w:rsidRPr="00F67A3D">
              <w:rPr>
                <w:b/>
                <w:snapToGrid w:val="0"/>
                <w:szCs w:val="22"/>
              </w:rPr>
              <w:t>Demonstrate</w:t>
            </w:r>
          </w:p>
        </w:tc>
      </w:tr>
      <w:tr w:rsidR="0058005B" w:rsidRPr="00F67A3D" w:rsidTr="00F67A3D">
        <w:tc>
          <w:tcPr>
            <w:tcW w:w="6300" w:type="dxa"/>
            <w:gridSpan w:val="3"/>
            <w:shd w:val="clear" w:color="auto" w:fill="D6E3BC"/>
            <w:vAlign w:val="center"/>
          </w:tcPr>
          <w:p w:rsidR="00541A5E" w:rsidRPr="00F67A3D" w:rsidRDefault="00541A5E" w:rsidP="00F67A3D">
            <w:pPr>
              <w:widowControl w:val="0"/>
              <w:rPr>
                <w:snapToGrid w:val="0"/>
                <w:szCs w:val="22"/>
              </w:rPr>
            </w:pPr>
            <w:r w:rsidRPr="00F67A3D">
              <w:rPr>
                <w:snapToGrid w:val="0"/>
                <w:szCs w:val="22"/>
              </w:rPr>
              <w:t>(a)  Instruction indicator: Uses instructional practices that reflect high expectations regarding content and quality of effort and work, engage all students, and are personalized to accommodate diverse learning styles, needs, interests, and levels of readiness.</w:t>
            </w:r>
          </w:p>
        </w:tc>
        <w:tc>
          <w:tcPr>
            <w:tcW w:w="1440" w:type="dxa"/>
            <w:gridSpan w:val="3"/>
            <w:shd w:val="clear" w:color="auto" w:fill="D6E3BC"/>
          </w:tcPr>
          <w:p w:rsidR="00541A5E" w:rsidRPr="00F67A3D" w:rsidRDefault="00541A5E" w:rsidP="00F67A3D">
            <w:pPr>
              <w:widowControl w:val="0"/>
              <w:jc w:val="center"/>
              <w:rPr>
                <w:snapToGrid w:val="0"/>
                <w:color w:val="FF0000"/>
                <w:szCs w:val="22"/>
              </w:rPr>
            </w:pPr>
          </w:p>
        </w:tc>
        <w:tc>
          <w:tcPr>
            <w:tcW w:w="1080" w:type="dxa"/>
            <w:gridSpan w:val="3"/>
            <w:shd w:val="clear" w:color="auto" w:fill="D6E3BC"/>
            <w:vAlign w:val="center"/>
          </w:tcPr>
          <w:p w:rsidR="00541A5E" w:rsidRPr="00F67A3D" w:rsidRDefault="00541A5E" w:rsidP="00F67A3D">
            <w:pPr>
              <w:widowControl w:val="0"/>
              <w:jc w:val="center"/>
              <w:rPr>
                <w:snapToGrid w:val="0"/>
                <w:szCs w:val="22"/>
              </w:rPr>
            </w:pPr>
          </w:p>
        </w:tc>
        <w:tc>
          <w:tcPr>
            <w:tcW w:w="1440" w:type="dxa"/>
            <w:shd w:val="clear" w:color="auto" w:fill="D6E3BC"/>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c>
          <w:tcPr>
            <w:tcW w:w="6300" w:type="dxa"/>
            <w:gridSpan w:val="3"/>
            <w:shd w:val="clear" w:color="auto" w:fill="D6E3BC"/>
            <w:vAlign w:val="center"/>
          </w:tcPr>
          <w:p w:rsidR="00541A5E" w:rsidRPr="00F67A3D" w:rsidRDefault="00541A5E" w:rsidP="00F67A3D">
            <w:pPr>
              <w:widowControl w:val="0"/>
              <w:rPr>
                <w:snapToGrid w:val="0"/>
                <w:szCs w:val="22"/>
              </w:rPr>
            </w:pPr>
            <w:r w:rsidRPr="00F67A3D">
              <w:rPr>
                <w:snapToGrid w:val="0"/>
                <w:szCs w:val="22"/>
              </w:rPr>
              <w:t>(b)  Learning Environment indicator: Creates and maintains a safe and collaborative learning environment that values diversity and motivates students to take academic risks, challenge themselves, and claim ownership of their learning.</w:t>
            </w:r>
          </w:p>
        </w:tc>
        <w:tc>
          <w:tcPr>
            <w:tcW w:w="1440" w:type="dxa"/>
            <w:gridSpan w:val="3"/>
            <w:shd w:val="clear" w:color="auto" w:fill="D6E3BC"/>
          </w:tcPr>
          <w:p w:rsidR="00541A5E" w:rsidRPr="00F67A3D" w:rsidRDefault="00541A5E" w:rsidP="00F67A3D">
            <w:pPr>
              <w:widowControl w:val="0"/>
              <w:jc w:val="center"/>
              <w:rPr>
                <w:snapToGrid w:val="0"/>
                <w:szCs w:val="22"/>
              </w:rPr>
            </w:pPr>
          </w:p>
        </w:tc>
        <w:tc>
          <w:tcPr>
            <w:tcW w:w="1080" w:type="dxa"/>
            <w:gridSpan w:val="3"/>
            <w:shd w:val="clear" w:color="auto" w:fill="D6E3BC"/>
            <w:vAlign w:val="center"/>
          </w:tcPr>
          <w:p w:rsidR="00541A5E" w:rsidRPr="00F67A3D" w:rsidRDefault="00541A5E" w:rsidP="00F67A3D">
            <w:pPr>
              <w:widowControl w:val="0"/>
              <w:jc w:val="center"/>
              <w:rPr>
                <w:snapToGrid w:val="0"/>
                <w:szCs w:val="22"/>
              </w:rPr>
            </w:pPr>
          </w:p>
        </w:tc>
        <w:tc>
          <w:tcPr>
            <w:tcW w:w="1440" w:type="dxa"/>
            <w:shd w:val="clear" w:color="auto" w:fill="D6E3BC"/>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rPr>
          <w:trHeight w:val="863"/>
        </w:trPr>
        <w:tc>
          <w:tcPr>
            <w:tcW w:w="6300" w:type="dxa"/>
            <w:gridSpan w:val="3"/>
            <w:shd w:val="clear" w:color="auto" w:fill="D6E3BC"/>
            <w:vAlign w:val="center"/>
          </w:tcPr>
          <w:p w:rsidR="00541A5E" w:rsidRPr="00F67A3D" w:rsidRDefault="00541A5E" w:rsidP="00F67A3D">
            <w:pPr>
              <w:widowControl w:val="0"/>
              <w:rPr>
                <w:snapToGrid w:val="0"/>
                <w:szCs w:val="22"/>
              </w:rPr>
            </w:pPr>
            <w:r w:rsidRPr="00F67A3D">
              <w:rPr>
                <w:snapToGrid w:val="0"/>
                <w:szCs w:val="22"/>
              </w:rPr>
              <w:t>(c)  Cultural Proficiency indicator: Actively creates and maintains an environment in which students' diverse backgrounds, identities, strengths, and challenges are respected.</w:t>
            </w:r>
          </w:p>
        </w:tc>
        <w:tc>
          <w:tcPr>
            <w:tcW w:w="1440" w:type="dxa"/>
            <w:gridSpan w:val="3"/>
            <w:shd w:val="clear" w:color="auto" w:fill="D6E3BC"/>
          </w:tcPr>
          <w:p w:rsidR="00541A5E" w:rsidRPr="00F67A3D" w:rsidRDefault="00541A5E" w:rsidP="00F67A3D">
            <w:pPr>
              <w:widowControl w:val="0"/>
              <w:jc w:val="center"/>
              <w:rPr>
                <w:snapToGrid w:val="0"/>
                <w:szCs w:val="22"/>
              </w:rPr>
            </w:pPr>
          </w:p>
        </w:tc>
        <w:tc>
          <w:tcPr>
            <w:tcW w:w="1080" w:type="dxa"/>
            <w:gridSpan w:val="3"/>
            <w:shd w:val="clear" w:color="auto" w:fill="D6E3BC"/>
            <w:vAlign w:val="center"/>
          </w:tcPr>
          <w:p w:rsidR="00541A5E" w:rsidRPr="00F67A3D" w:rsidRDefault="00541A5E" w:rsidP="00F67A3D">
            <w:pPr>
              <w:widowControl w:val="0"/>
              <w:jc w:val="center"/>
              <w:rPr>
                <w:snapToGrid w:val="0"/>
                <w:szCs w:val="22"/>
              </w:rPr>
            </w:pPr>
          </w:p>
        </w:tc>
        <w:tc>
          <w:tcPr>
            <w:tcW w:w="1440" w:type="dxa"/>
            <w:shd w:val="clear" w:color="auto" w:fill="D6E3BC"/>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c>
          <w:tcPr>
            <w:tcW w:w="6300" w:type="dxa"/>
            <w:gridSpan w:val="3"/>
            <w:shd w:val="clear" w:color="auto" w:fill="D6E3BC"/>
            <w:vAlign w:val="center"/>
          </w:tcPr>
          <w:p w:rsidR="00541A5E" w:rsidRPr="00F67A3D" w:rsidRDefault="00541A5E" w:rsidP="00F67A3D">
            <w:pPr>
              <w:widowControl w:val="0"/>
              <w:rPr>
                <w:snapToGrid w:val="0"/>
                <w:szCs w:val="22"/>
              </w:rPr>
            </w:pPr>
            <w:r w:rsidRPr="00F67A3D">
              <w:rPr>
                <w:snapToGrid w:val="0"/>
                <w:szCs w:val="22"/>
              </w:rPr>
              <w:t>(d)  Expectations indicator: Plans and implements lessons that set clear and high expectations and make knowledge accessible for all students.</w:t>
            </w:r>
          </w:p>
        </w:tc>
        <w:tc>
          <w:tcPr>
            <w:tcW w:w="1440" w:type="dxa"/>
            <w:gridSpan w:val="3"/>
            <w:shd w:val="clear" w:color="auto" w:fill="D6E3BC"/>
          </w:tcPr>
          <w:p w:rsidR="00541A5E" w:rsidRPr="00F67A3D" w:rsidRDefault="00541A5E" w:rsidP="00F67A3D">
            <w:pPr>
              <w:widowControl w:val="0"/>
              <w:jc w:val="center"/>
              <w:rPr>
                <w:snapToGrid w:val="0"/>
                <w:szCs w:val="22"/>
              </w:rPr>
            </w:pPr>
          </w:p>
        </w:tc>
        <w:tc>
          <w:tcPr>
            <w:tcW w:w="1080" w:type="dxa"/>
            <w:gridSpan w:val="3"/>
            <w:shd w:val="clear" w:color="auto" w:fill="D6E3BC"/>
            <w:vAlign w:val="center"/>
          </w:tcPr>
          <w:p w:rsidR="00541A5E" w:rsidRPr="00F67A3D" w:rsidRDefault="00541A5E" w:rsidP="00F67A3D">
            <w:pPr>
              <w:widowControl w:val="0"/>
              <w:jc w:val="center"/>
              <w:rPr>
                <w:snapToGrid w:val="0"/>
                <w:szCs w:val="22"/>
              </w:rPr>
            </w:pPr>
          </w:p>
        </w:tc>
        <w:tc>
          <w:tcPr>
            <w:tcW w:w="1440" w:type="dxa"/>
            <w:shd w:val="clear" w:color="auto" w:fill="D6E3BC"/>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c>
          <w:tcPr>
            <w:tcW w:w="6300" w:type="dxa"/>
            <w:gridSpan w:val="3"/>
            <w:shd w:val="clear" w:color="auto" w:fill="D6E3BC"/>
            <w:vAlign w:val="center"/>
          </w:tcPr>
          <w:p w:rsidR="00541A5E" w:rsidRPr="00F67A3D" w:rsidRDefault="00541A5E" w:rsidP="00F67A3D">
            <w:pPr>
              <w:widowControl w:val="0"/>
              <w:rPr>
                <w:snapToGrid w:val="0"/>
                <w:szCs w:val="22"/>
              </w:rPr>
            </w:pPr>
            <w:r w:rsidRPr="00F67A3D">
              <w:rPr>
                <w:snapToGrid w:val="0"/>
                <w:szCs w:val="22"/>
              </w:rPr>
              <w:t xml:space="preserve">(e) Social and Emotional Learning Indicator: Employs a variety of strategies to assist students to develop social emotional-competencies: self-awareness, self-management, social awareness, relationship skills, and responsible decision-making. </w:t>
            </w:r>
          </w:p>
        </w:tc>
        <w:tc>
          <w:tcPr>
            <w:tcW w:w="1440" w:type="dxa"/>
            <w:gridSpan w:val="3"/>
            <w:shd w:val="clear" w:color="auto" w:fill="D6E3BC"/>
          </w:tcPr>
          <w:p w:rsidR="00541A5E" w:rsidRPr="00F67A3D" w:rsidRDefault="00541A5E" w:rsidP="00F67A3D">
            <w:pPr>
              <w:widowControl w:val="0"/>
              <w:jc w:val="center"/>
              <w:rPr>
                <w:snapToGrid w:val="0"/>
                <w:szCs w:val="22"/>
              </w:rPr>
            </w:pPr>
          </w:p>
        </w:tc>
        <w:tc>
          <w:tcPr>
            <w:tcW w:w="1080" w:type="dxa"/>
            <w:gridSpan w:val="3"/>
            <w:shd w:val="clear" w:color="auto" w:fill="D6E3BC"/>
            <w:vAlign w:val="center"/>
          </w:tcPr>
          <w:p w:rsidR="00541A5E" w:rsidRPr="00F67A3D" w:rsidRDefault="00541A5E" w:rsidP="00F67A3D">
            <w:pPr>
              <w:widowControl w:val="0"/>
              <w:jc w:val="center"/>
              <w:rPr>
                <w:snapToGrid w:val="0"/>
                <w:szCs w:val="22"/>
              </w:rPr>
            </w:pPr>
            <w:r w:rsidRPr="00F67A3D">
              <w:rPr>
                <w:snapToGrid w:val="0"/>
                <w:szCs w:val="22"/>
              </w:rPr>
              <w:t>X</w:t>
            </w:r>
          </w:p>
        </w:tc>
        <w:tc>
          <w:tcPr>
            <w:tcW w:w="1440" w:type="dxa"/>
            <w:shd w:val="clear" w:color="auto" w:fill="D6E3BC"/>
            <w:vAlign w:val="center"/>
          </w:tcPr>
          <w:p w:rsidR="00541A5E" w:rsidRPr="00F67A3D" w:rsidRDefault="00541A5E" w:rsidP="00F67A3D">
            <w:pPr>
              <w:widowControl w:val="0"/>
              <w:jc w:val="center"/>
              <w:rPr>
                <w:snapToGrid w:val="0"/>
                <w:szCs w:val="22"/>
              </w:rPr>
            </w:pPr>
          </w:p>
        </w:tc>
      </w:tr>
      <w:tr w:rsidR="0058005B" w:rsidRPr="00F67A3D" w:rsidTr="00F67A3D">
        <w:tc>
          <w:tcPr>
            <w:tcW w:w="6300" w:type="dxa"/>
            <w:gridSpan w:val="3"/>
            <w:shd w:val="clear" w:color="auto" w:fill="D6E3BC"/>
            <w:vAlign w:val="center"/>
          </w:tcPr>
          <w:p w:rsidR="00541A5E" w:rsidRPr="00F67A3D" w:rsidRDefault="00541A5E" w:rsidP="00F67A3D">
            <w:pPr>
              <w:widowControl w:val="0"/>
              <w:rPr>
                <w:snapToGrid w:val="0"/>
                <w:szCs w:val="22"/>
              </w:rPr>
            </w:pPr>
            <w:r w:rsidRPr="00F67A3D">
              <w:rPr>
                <w:snapToGrid w:val="0"/>
                <w:szCs w:val="22"/>
              </w:rPr>
              <w:t xml:space="preserve">(f)  Classroom Management Indicator:  Employs a variety of classroom management strategies, and establishes and maintains effective routines and procedures that promote positive student behavior. </w:t>
            </w:r>
          </w:p>
        </w:tc>
        <w:tc>
          <w:tcPr>
            <w:tcW w:w="1440" w:type="dxa"/>
            <w:gridSpan w:val="3"/>
            <w:shd w:val="clear" w:color="auto" w:fill="D6E3BC"/>
          </w:tcPr>
          <w:p w:rsidR="00541A5E" w:rsidRPr="00F67A3D" w:rsidRDefault="00541A5E" w:rsidP="00F67A3D">
            <w:pPr>
              <w:widowControl w:val="0"/>
              <w:jc w:val="center"/>
              <w:rPr>
                <w:snapToGrid w:val="0"/>
                <w:szCs w:val="22"/>
              </w:rPr>
            </w:pPr>
          </w:p>
        </w:tc>
        <w:tc>
          <w:tcPr>
            <w:tcW w:w="1080" w:type="dxa"/>
            <w:gridSpan w:val="3"/>
            <w:shd w:val="clear" w:color="auto" w:fill="D6E3BC"/>
            <w:vAlign w:val="center"/>
          </w:tcPr>
          <w:p w:rsidR="00541A5E" w:rsidRPr="00F67A3D" w:rsidRDefault="00541A5E" w:rsidP="00F67A3D">
            <w:pPr>
              <w:widowControl w:val="0"/>
              <w:jc w:val="center"/>
              <w:rPr>
                <w:snapToGrid w:val="0"/>
                <w:szCs w:val="22"/>
              </w:rPr>
            </w:pPr>
          </w:p>
        </w:tc>
        <w:tc>
          <w:tcPr>
            <w:tcW w:w="1440" w:type="dxa"/>
            <w:shd w:val="clear" w:color="auto" w:fill="D6E3BC"/>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c>
          <w:tcPr>
            <w:tcW w:w="6300" w:type="dxa"/>
            <w:gridSpan w:val="3"/>
            <w:shd w:val="clear" w:color="auto" w:fill="D6E3BC"/>
            <w:vAlign w:val="center"/>
          </w:tcPr>
          <w:p w:rsidR="00541A5E" w:rsidRPr="00F67A3D" w:rsidRDefault="00721FAE" w:rsidP="00F67A3D">
            <w:pPr>
              <w:spacing w:after="200"/>
              <w:contextualSpacing/>
              <w:rPr>
                <w:rFonts w:eastAsia="Calibri"/>
                <w:szCs w:val="22"/>
              </w:rPr>
            </w:pPr>
            <w:r w:rsidRPr="00F67A3D">
              <w:rPr>
                <w:rFonts w:eastAsia="Calibri"/>
                <w:szCs w:val="22"/>
              </w:rPr>
              <w:t xml:space="preserve">SEI </w:t>
            </w:r>
            <w:r w:rsidR="00541A5E" w:rsidRPr="00F67A3D">
              <w:rPr>
                <w:rFonts w:eastAsia="Calibri"/>
                <w:szCs w:val="22"/>
              </w:rPr>
              <w:t>Indicator (b) Uses effective strategies and techniques for making content accessible to English language learners.</w:t>
            </w:r>
          </w:p>
        </w:tc>
        <w:tc>
          <w:tcPr>
            <w:tcW w:w="1440" w:type="dxa"/>
            <w:gridSpan w:val="3"/>
            <w:shd w:val="clear" w:color="auto" w:fill="D6E3BC"/>
          </w:tcPr>
          <w:p w:rsidR="00541A5E" w:rsidRPr="00F67A3D" w:rsidRDefault="00541A5E" w:rsidP="00F67A3D">
            <w:pPr>
              <w:widowControl w:val="0"/>
              <w:jc w:val="center"/>
              <w:rPr>
                <w:b/>
                <w:snapToGrid w:val="0"/>
                <w:szCs w:val="22"/>
              </w:rPr>
            </w:pPr>
          </w:p>
        </w:tc>
        <w:tc>
          <w:tcPr>
            <w:tcW w:w="1080" w:type="dxa"/>
            <w:gridSpan w:val="3"/>
            <w:shd w:val="clear" w:color="auto" w:fill="D6E3BC"/>
            <w:vAlign w:val="center"/>
          </w:tcPr>
          <w:p w:rsidR="00541A5E" w:rsidRPr="00F67A3D" w:rsidRDefault="00541A5E" w:rsidP="00F67A3D">
            <w:pPr>
              <w:widowControl w:val="0"/>
              <w:jc w:val="center"/>
              <w:rPr>
                <w:snapToGrid w:val="0"/>
                <w:szCs w:val="22"/>
              </w:rPr>
            </w:pPr>
          </w:p>
        </w:tc>
        <w:tc>
          <w:tcPr>
            <w:tcW w:w="1440" w:type="dxa"/>
            <w:shd w:val="clear" w:color="auto" w:fill="D6E3BC"/>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c>
          <w:tcPr>
            <w:tcW w:w="6300" w:type="dxa"/>
            <w:gridSpan w:val="3"/>
            <w:shd w:val="clear" w:color="auto" w:fill="D6E3BC"/>
            <w:vAlign w:val="center"/>
          </w:tcPr>
          <w:p w:rsidR="00541A5E" w:rsidRPr="00F67A3D" w:rsidRDefault="00721FAE" w:rsidP="00F67A3D">
            <w:pPr>
              <w:widowControl w:val="0"/>
              <w:rPr>
                <w:snapToGrid w:val="0"/>
                <w:szCs w:val="22"/>
              </w:rPr>
            </w:pPr>
            <w:r w:rsidRPr="00F67A3D">
              <w:rPr>
                <w:snapToGrid w:val="0"/>
                <w:szCs w:val="22"/>
              </w:rPr>
              <w:t xml:space="preserve">SEI </w:t>
            </w:r>
            <w:r w:rsidR="00541A5E" w:rsidRPr="00F67A3D">
              <w:rPr>
                <w:snapToGrid w:val="0"/>
                <w:szCs w:val="22"/>
              </w:rPr>
              <w:t>Indicator (d) Creates and maintains a safe and collaborative learning environment that values diversity and motivates students to meet high standards of conduct, effort and performance.</w:t>
            </w:r>
          </w:p>
        </w:tc>
        <w:tc>
          <w:tcPr>
            <w:tcW w:w="1440" w:type="dxa"/>
            <w:gridSpan w:val="3"/>
            <w:shd w:val="clear" w:color="auto" w:fill="D6E3BC"/>
          </w:tcPr>
          <w:p w:rsidR="00541A5E" w:rsidRPr="00F67A3D" w:rsidRDefault="00541A5E" w:rsidP="00F67A3D">
            <w:pPr>
              <w:widowControl w:val="0"/>
              <w:jc w:val="center"/>
              <w:rPr>
                <w:b/>
                <w:snapToGrid w:val="0"/>
                <w:szCs w:val="22"/>
              </w:rPr>
            </w:pPr>
          </w:p>
        </w:tc>
        <w:tc>
          <w:tcPr>
            <w:tcW w:w="1080" w:type="dxa"/>
            <w:gridSpan w:val="3"/>
            <w:shd w:val="clear" w:color="auto" w:fill="D6E3BC"/>
            <w:vAlign w:val="center"/>
          </w:tcPr>
          <w:p w:rsidR="00541A5E" w:rsidRPr="00F67A3D" w:rsidRDefault="00541A5E" w:rsidP="00F67A3D">
            <w:pPr>
              <w:widowControl w:val="0"/>
              <w:jc w:val="center"/>
              <w:rPr>
                <w:snapToGrid w:val="0"/>
                <w:szCs w:val="22"/>
              </w:rPr>
            </w:pPr>
          </w:p>
        </w:tc>
        <w:tc>
          <w:tcPr>
            <w:tcW w:w="1440" w:type="dxa"/>
            <w:shd w:val="clear" w:color="auto" w:fill="D6E3BC"/>
            <w:vAlign w:val="center"/>
          </w:tcPr>
          <w:p w:rsidR="00541A5E" w:rsidRPr="00F67A3D" w:rsidRDefault="00541A5E" w:rsidP="00F67A3D">
            <w:pPr>
              <w:widowControl w:val="0"/>
              <w:jc w:val="center"/>
              <w:rPr>
                <w:snapToGrid w:val="0"/>
                <w:szCs w:val="22"/>
              </w:rPr>
            </w:pPr>
            <w:r w:rsidRPr="00F67A3D">
              <w:rPr>
                <w:snapToGrid w:val="0"/>
                <w:szCs w:val="22"/>
              </w:rPr>
              <w:t>X</w:t>
            </w:r>
          </w:p>
        </w:tc>
      </w:tr>
      <w:tr w:rsidR="00541A5E" w:rsidRPr="00F67A3D" w:rsidTr="00F67A3D">
        <w:tc>
          <w:tcPr>
            <w:tcW w:w="10260" w:type="dxa"/>
            <w:gridSpan w:val="10"/>
            <w:shd w:val="clear" w:color="auto" w:fill="E5DFEC"/>
            <w:vAlign w:val="center"/>
          </w:tcPr>
          <w:p w:rsidR="00541A5E" w:rsidRPr="00F67A3D" w:rsidRDefault="00541A5E" w:rsidP="00F67A3D">
            <w:pPr>
              <w:widowControl w:val="0"/>
              <w:rPr>
                <w:snapToGrid w:val="0"/>
                <w:szCs w:val="22"/>
              </w:rPr>
            </w:pPr>
            <w:r w:rsidRPr="00F67A3D">
              <w:rPr>
                <w:b/>
                <w:snapToGrid w:val="0"/>
                <w:szCs w:val="22"/>
              </w:rPr>
              <w:t>(3) Family and Community Engagement standard:</w:t>
            </w:r>
            <w:r w:rsidRPr="00F67A3D">
              <w:rPr>
                <w:snapToGrid w:val="0"/>
                <w:szCs w:val="22"/>
              </w:rPr>
              <w:t xml:space="preserve"> Promotes the learning and growth of all students through effective partnerships with families, caregivers, community members, and organizations.</w:t>
            </w:r>
          </w:p>
        </w:tc>
      </w:tr>
      <w:tr w:rsidR="0058005B" w:rsidRPr="00F67A3D" w:rsidTr="00F67A3D">
        <w:tc>
          <w:tcPr>
            <w:tcW w:w="6210" w:type="dxa"/>
            <w:gridSpan w:val="2"/>
            <w:shd w:val="clear" w:color="auto" w:fill="CCC0D9"/>
            <w:vAlign w:val="center"/>
          </w:tcPr>
          <w:p w:rsidR="00541A5E" w:rsidRPr="00F67A3D" w:rsidRDefault="00541A5E" w:rsidP="00F67A3D">
            <w:pPr>
              <w:widowControl w:val="0"/>
              <w:rPr>
                <w:snapToGrid w:val="0"/>
                <w:szCs w:val="22"/>
              </w:rPr>
            </w:pPr>
          </w:p>
        </w:tc>
        <w:tc>
          <w:tcPr>
            <w:tcW w:w="1530" w:type="dxa"/>
            <w:gridSpan w:val="4"/>
            <w:shd w:val="clear" w:color="auto" w:fill="CCC0D9"/>
          </w:tcPr>
          <w:p w:rsidR="00541A5E" w:rsidRPr="00F67A3D" w:rsidRDefault="00541A5E" w:rsidP="00F67A3D">
            <w:pPr>
              <w:widowControl w:val="0"/>
              <w:jc w:val="center"/>
              <w:rPr>
                <w:snapToGrid w:val="0"/>
                <w:szCs w:val="22"/>
              </w:rPr>
            </w:pPr>
            <w:r w:rsidRPr="00F67A3D">
              <w:rPr>
                <w:b/>
                <w:snapToGrid w:val="0"/>
                <w:szCs w:val="22"/>
              </w:rPr>
              <w:t>Introduction</w:t>
            </w:r>
          </w:p>
        </w:tc>
        <w:tc>
          <w:tcPr>
            <w:tcW w:w="1080" w:type="dxa"/>
            <w:gridSpan w:val="3"/>
            <w:shd w:val="clear" w:color="auto" w:fill="CCC0D9"/>
          </w:tcPr>
          <w:p w:rsidR="00541A5E" w:rsidRPr="00F67A3D" w:rsidRDefault="00541A5E" w:rsidP="00F67A3D">
            <w:pPr>
              <w:widowControl w:val="0"/>
              <w:jc w:val="center"/>
              <w:rPr>
                <w:snapToGrid w:val="0"/>
                <w:szCs w:val="22"/>
              </w:rPr>
            </w:pPr>
            <w:r w:rsidRPr="00F67A3D">
              <w:rPr>
                <w:b/>
                <w:snapToGrid w:val="0"/>
                <w:szCs w:val="22"/>
              </w:rPr>
              <w:t>Practice</w:t>
            </w:r>
          </w:p>
        </w:tc>
        <w:tc>
          <w:tcPr>
            <w:tcW w:w="1440" w:type="dxa"/>
            <w:shd w:val="clear" w:color="auto" w:fill="CCC0D9"/>
          </w:tcPr>
          <w:p w:rsidR="00541A5E" w:rsidRPr="00F67A3D" w:rsidRDefault="00541A5E" w:rsidP="00F67A3D">
            <w:pPr>
              <w:widowControl w:val="0"/>
              <w:jc w:val="center"/>
              <w:rPr>
                <w:snapToGrid w:val="0"/>
                <w:szCs w:val="22"/>
              </w:rPr>
            </w:pPr>
            <w:r w:rsidRPr="00F67A3D">
              <w:rPr>
                <w:b/>
                <w:snapToGrid w:val="0"/>
                <w:szCs w:val="22"/>
              </w:rPr>
              <w:t>Demonstrate</w:t>
            </w:r>
          </w:p>
        </w:tc>
      </w:tr>
      <w:tr w:rsidR="0058005B" w:rsidRPr="00F67A3D" w:rsidTr="00F67A3D">
        <w:tc>
          <w:tcPr>
            <w:tcW w:w="6210" w:type="dxa"/>
            <w:gridSpan w:val="2"/>
            <w:shd w:val="clear" w:color="auto" w:fill="CCC0D9"/>
            <w:vAlign w:val="center"/>
          </w:tcPr>
          <w:p w:rsidR="00541A5E" w:rsidRPr="00F67A3D" w:rsidRDefault="00541A5E" w:rsidP="00F67A3D">
            <w:pPr>
              <w:widowControl w:val="0"/>
              <w:rPr>
                <w:snapToGrid w:val="0"/>
                <w:szCs w:val="22"/>
              </w:rPr>
            </w:pPr>
            <w:r w:rsidRPr="00F67A3D">
              <w:rPr>
                <w:snapToGrid w:val="0"/>
                <w:szCs w:val="22"/>
              </w:rPr>
              <w:t>(a)  Engagement indicator: Welcomes and encourages every family to become active participants in the classroom and school community.</w:t>
            </w:r>
          </w:p>
        </w:tc>
        <w:tc>
          <w:tcPr>
            <w:tcW w:w="1530" w:type="dxa"/>
            <w:gridSpan w:val="4"/>
            <w:shd w:val="clear" w:color="auto" w:fill="CCC0D9"/>
            <w:vAlign w:val="center"/>
          </w:tcPr>
          <w:p w:rsidR="00541A5E" w:rsidRPr="00F67A3D" w:rsidRDefault="00541A5E" w:rsidP="00F67A3D">
            <w:pPr>
              <w:widowControl w:val="0"/>
              <w:jc w:val="center"/>
              <w:rPr>
                <w:snapToGrid w:val="0"/>
                <w:szCs w:val="22"/>
              </w:rPr>
            </w:pPr>
          </w:p>
          <w:p w:rsidR="00541A5E" w:rsidRPr="00F67A3D" w:rsidRDefault="00541A5E" w:rsidP="00F67A3D">
            <w:pPr>
              <w:widowControl w:val="0"/>
              <w:jc w:val="center"/>
              <w:rPr>
                <w:snapToGrid w:val="0"/>
                <w:szCs w:val="22"/>
              </w:rPr>
            </w:pPr>
          </w:p>
        </w:tc>
        <w:tc>
          <w:tcPr>
            <w:tcW w:w="1080" w:type="dxa"/>
            <w:gridSpan w:val="3"/>
            <w:shd w:val="clear" w:color="auto" w:fill="CCC0D9"/>
            <w:vAlign w:val="center"/>
          </w:tcPr>
          <w:p w:rsidR="00541A5E" w:rsidRPr="00F67A3D" w:rsidRDefault="00541A5E" w:rsidP="00F67A3D">
            <w:pPr>
              <w:widowControl w:val="0"/>
              <w:jc w:val="center"/>
              <w:rPr>
                <w:snapToGrid w:val="0"/>
                <w:szCs w:val="22"/>
              </w:rPr>
            </w:pPr>
            <w:r w:rsidRPr="00F67A3D">
              <w:rPr>
                <w:snapToGrid w:val="0"/>
                <w:szCs w:val="22"/>
              </w:rPr>
              <w:t>X</w:t>
            </w:r>
          </w:p>
          <w:p w:rsidR="00541A5E" w:rsidRPr="00F67A3D" w:rsidRDefault="00541A5E" w:rsidP="00F67A3D">
            <w:pPr>
              <w:widowControl w:val="0"/>
              <w:jc w:val="center"/>
              <w:rPr>
                <w:snapToGrid w:val="0"/>
                <w:color w:val="FF0000"/>
                <w:szCs w:val="22"/>
              </w:rPr>
            </w:pPr>
          </w:p>
        </w:tc>
        <w:tc>
          <w:tcPr>
            <w:tcW w:w="1440" w:type="dxa"/>
            <w:shd w:val="clear" w:color="auto" w:fill="CCC0D9"/>
            <w:vAlign w:val="center"/>
          </w:tcPr>
          <w:p w:rsidR="00541A5E" w:rsidRPr="00F67A3D" w:rsidRDefault="00541A5E" w:rsidP="00F67A3D">
            <w:pPr>
              <w:widowControl w:val="0"/>
              <w:jc w:val="center"/>
              <w:rPr>
                <w:snapToGrid w:val="0"/>
                <w:szCs w:val="22"/>
              </w:rPr>
            </w:pPr>
          </w:p>
        </w:tc>
      </w:tr>
      <w:tr w:rsidR="0058005B" w:rsidRPr="00F67A3D" w:rsidTr="00F67A3D">
        <w:tc>
          <w:tcPr>
            <w:tcW w:w="6210" w:type="dxa"/>
            <w:gridSpan w:val="2"/>
            <w:shd w:val="clear" w:color="auto" w:fill="CCC0D9"/>
            <w:vAlign w:val="center"/>
          </w:tcPr>
          <w:p w:rsidR="00541A5E" w:rsidRPr="00F67A3D" w:rsidRDefault="00541A5E" w:rsidP="00F67A3D">
            <w:pPr>
              <w:widowControl w:val="0"/>
              <w:rPr>
                <w:snapToGrid w:val="0"/>
                <w:szCs w:val="22"/>
              </w:rPr>
            </w:pPr>
            <w:r w:rsidRPr="00F67A3D">
              <w:rPr>
                <w:snapToGrid w:val="0"/>
                <w:szCs w:val="22"/>
              </w:rPr>
              <w:t xml:space="preserve">(b) Collaboration indicator: Collaborates with families and </w:t>
            </w:r>
            <w:r w:rsidRPr="00F67A3D">
              <w:rPr>
                <w:snapToGrid w:val="0"/>
                <w:szCs w:val="22"/>
              </w:rPr>
              <w:lastRenderedPageBreak/>
              <w:t>communities to create and implement strategies for supporting student learning and development both at home and at school.</w:t>
            </w:r>
          </w:p>
        </w:tc>
        <w:tc>
          <w:tcPr>
            <w:tcW w:w="1530" w:type="dxa"/>
            <w:gridSpan w:val="4"/>
            <w:shd w:val="clear" w:color="auto" w:fill="CCC0D9"/>
            <w:vAlign w:val="center"/>
          </w:tcPr>
          <w:p w:rsidR="00541A5E" w:rsidRPr="00F67A3D" w:rsidRDefault="00541A5E" w:rsidP="00F67A3D">
            <w:pPr>
              <w:widowControl w:val="0"/>
              <w:jc w:val="center"/>
              <w:rPr>
                <w:snapToGrid w:val="0"/>
                <w:szCs w:val="22"/>
              </w:rPr>
            </w:pPr>
          </w:p>
        </w:tc>
        <w:tc>
          <w:tcPr>
            <w:tcW w:w="1080" w:type="dxa"/>
            <w:gridSpan w:val="3"/>
            <w:shd w:val="clear" w:color="auto" w:fill="CCC0D9"/>
            <w:vAlign w:val="center"/>
          </w:tcPr>
          <w:p w:rsidR="00541A5E" w:rsidRPr="00F67A3D" w:rsidRDefault="00541A5E" w:rsidP="00F67A3D">
            <w:pPr>
              <w:widowControl w:val="0"/>
              <w:jc w:val="center"/>
              <w:rPr>
                <w:snapToGrid w:val="0"/>
                <w:szCs w:val="22"/>
              </w:rPr>
            </w:pPr>
            <w:r w:rsidRPr="00F67A3D">
              <w:rPr>
                <w:snapToGrid w:val="0"/>
                <w:szCs w:val="22"/>
              </w:rPr>
              <w:t>X</w:t>
            </w:r>
          </w:p>
        </w:tc>
        <w:tc>
          <w:tcPr>
            <w:tcW w:w="1440" w:type="dxa"/>
            <w:shd w:val="clear" w:color="auto" w:fill="CCC0D9"/>
            <w:vAlign w:val="center"/>
          </w:tcPr>
          <w:p w:rsidR="00541A5E" w:rsidRPr="00F67A3D" w:rsidRDefault="00541A5E" w:rsidP="00F67A3D">
            <w:pPr>
              <w:widowControl w:val="0"/>
              <w:jc w:val="center"/>
              <w:rPr>
                <w:snapToGrid w:val="0"/>
                <w:szCs w:val="22"/>
              </w:rPr>
            </w:pPr>
          </w:p>
        </w:tc>
      </w:tr>
      <w:tr w:rsidR="0058005B" w:rsidRPr="00F67A3D" w:rsidTr="00F67A3D">
        <w:tc>
          <w:tcPr>
            <w:tcW w:w="6210" w:type="dxa"/>
            <w:gridSpan w:val="2"/>
            <w:shd w:val="clear" w:color="auto" w:fill="CCC0D9"/>
            <w:vAlign w:val="center"/>
          </w:tcPr>
          <w:p w:rsidR="00541A5E" w:rsidRPr="00F67A3D" w:rsidRDefault="00541A5E" w:rsidP="00F67A3D">
            <w:pPr>
              <w:widowControl w:val="0"/>
              <w:rPr>
                <w:snapToGrid w:val="0"/>
                <w:szCs w:val="22"/>
              </w:rPr>
            </w:pPr>
            <w:r w:rsidRPr="00F67A3D">
              <w:rPr>
                <w:snapToGrid w:val="0"/>
                <w:szCs w:val="22"/>
              </w:rPr>
              <w:lastRenderedPageBreak/>
              <w:t>(c)  Communication indicator: Engages in regular, two-way, and culturally proficient communication with families about student learning and performance.</w:t>
            </w:r>
          </w:p>
        </w:tc>
        <w:tc>
          <w:tcPr>
            <w:tcW w:w="1530" w:type="dxa"/>
            <w:gridSpan w:val="4"/>
            <w:shd w:val="clear" w:color="auto" w:fill="CCC0D9"/>
            <w:vAlign w:val="center"/>
          </w:tcPr>
          <w:p w:rsidR="00541A5E" w:rsidRPr="00F67A3D" w:rsidRDefault="00541A5E" w:rsidP="00F67A3D">
            <w:pPr>
              <w:widowControl w:val="0"/>
              <w:jc w:val="center"/>
              <w:rPr>
                <w:snapToGrid w:val="0"/>
                <w:szCs w:val="22"/>
              </w:rPr>
            </w:pPr>
          </w:p>
        </w:tc>
        <w:tc>
          <w:tcPr>
            <w:tcW w:w="1080" w:type="dxa"/>
            <w:gridSpan w:val="3"/>
            <w:shd w:val="clear" w:color="auto" w:fill="CCC0D9"/>
            <w:vAlign w:val="center"/>
          </w:tcPr>
          <w:p w:rsidR="00541A5E" w:rsidRPr="00F67A3D" w:rsidRDefault="00541A5E" w:rsidP="00F67A3D">
            <w:pPr>
              <w:widowControl w:val="0"/>
              <w:jc w:val="center"/>
              <w:rPr>
                <w:snapToGrid w:val="0"/>
                <w:szCs w:val="22"/>
              </w:rPr>
            </w:pPr>
            <w:r w:rsidRPr="00F67A3D">
              <w:rPr>
                <w:snapToGrid w:val="0"/>
                <w:szCs w:val="22"/>
              </w:rPr>
              <w:t>X</w:t>
            </w:r>
          </w:p>
        </w:tc>
        <w:tc>
          <w:tcPr>
            <w:tcW w:w="1440" w:type="dxa"/>
            <w:shd w:val="clear" w:color="auto" w:fill="CCC0D9"/>
            <w:vAlign w:val="center"/>
          </w:tcPr>
          <w:p w:rsidR="00541A5E" w:rsidRPr="00F67A3D" w:rsidRDefault="00541A5E" w:rsidP="00F67A3D">
            <w:pPr>
              <w:widowControl w:val="0"/>
              <w:jc w:val="center"/>
              <w:rPr>
                <w:snapToGrid w:val="0"/>
                <w:szCs w:val="22"/>
              </w:rPr>
            </w:pPr>
          </w:p>
        </w:tc>
      </w:tr>
      <w:tr w:rsidR="0058005B" w:rsidRPr="00F67A3D" w:rsidTr="00F67A3D">
        <w:trPr>
          <w:trHeight w:val="1142"/>
        </w:trPr>
        <w:tc>
          <w:tcPr>
            <w:tcW w:w="6210" w:type="dxa"/>
            <w:gridSpan w:val="2"/>
            <w:shd w:val="clear" w:color="auto" w:fill="CCC0D9"/>
            <w:vAlign w:val="center"/>
          </w:tcPr>
          <w:p w:rsidR="00541A5E" w:rsidRPr="00F67A3D" w:rsidRDefault="00721FAE" w:rsidP="00F67A3D">
            <w:pPr>
              <w:widowControl w:val="0"/>
              <w:rPr>
                <w:snapToGrid w:val="0"/>
                <w:szCs w:val="22"/>
              </w:rPr>
            </w:pPr>
            <w:r w:rsidRPr="00F67A3D">
              <w:rPr>
                <w:snapToGrid w:val="0"/>
                <w:szCs w:val="22"/>
              </w:rPr>
              <w:t xml:space="preserve">SEI </w:t>
            </w:r>
            <w:r w:rsidR="00541A5E" w:rsidRPr="00F67A3D">
              <w:rPr>
                <w:snapToGrid w:val="0"/>
                <w:szCs w:val="22"/>
              </w:rPr>
              <w:t>Indicator (e) Collaborates with families, recognizing the significance of native language and culture to create and implement strategies for supporting student learning and development both at home and at school.</w:t>
            </w:r>
          </w:p>
        </w:tc>
        <w:tc>
          <w:tcPr>
            <w:tcW w:w="1530" w:type="dxa"/>
            <w:gridSpan w:val="4"/>
            <w:shd w:val="clear" w:color="auto" w:fill="CCC0D9"/>
            <w:vAlign w:val="center"/>
          </w:tcPr>
          <w:p w:rsidR="00541A5E" w:rsidRPr="00F67A3D" w:rsidRDefault="00541A5E" w:rsidP="00F67A3D">
            <w:pPr>
              <w:widowControl w:val="0"/>
              <w:jc w:val="center"/>
              <w:rPr>
                <w:snapToGrid w:val="0"/>
                <w:szCs w:val="22"/>
              </w:rPr>
            </w:pPr>
          </w:p>
        </w:tc>
        <w:tc>
          <w:tcPr>
            <w:tcW w:w="1080" w:type="dxa"/>
            <w:gridSpan w:val="3"/>
            <w:shd w:val="clear" w:color="auto" w:fill="CCC0D9"/>
            <w:vAlign w:val="center"/>
          </w:tcPr>
          <w:p w:rsidR="00541A5E" w:rsidRPr="00F67A3D" w:rsidRDefault="00541A5E" w:rsidP="00F67A3D">
            <w:pPr>
              <w:widowControl w:val="0"/>
              <w:jc w:val="center"/>
              <w:rPr>
                <w:snapToGrid w:val="0"/>
                <w:szCs w:val="22"/>
              </w:rPr>
            </w:pPr>
            <w:r w:rsidRPr="00F67A3D">
              <w:rPr>
                <w:snapToGrid w:val="0"/>
                <w:szCs w:val="22"/>
              </w:rPr>
              <w:t>X</w:t>
            </w:r>
          </w:p>
        </w:tc>
        <w:tc>
          <w:tcPr>
            <w:tcW w:w="1440" w:type="dxa"/>
            <w:shd w:val="clear" w:color="auto" w:fill="CCC0D9"/>
            <w:vAlign w:val="center"/>
          </w:tcPr>
          <w:p w:rsidR="00541A5E" w:rsidRPr="00F67A3D" w:rsidRDefault="00541A5E" w:rsidP="00F67A3D">
            <w:pPr>
              <w:widowControl w:val="0"/>
              <w:jc w:val="center"/>
              <w:rPr>
                <w:snapToGrid w:val="0"/>
                <w:szCs w:val="22"/>
              </w:rPr>
            </w:pPr>
          </w:p>
        </w:tc>
      </w:tr>
      <w:tr w:rsidR="00541A5E" w:rsidRPr="00F67A3D" w:rsidTr="00F67A3D">
        <w:tc>
          <w:tcPr>
            <w:tcW w:w="10260" w:type="dxa"/>
            <w:gridSpan w:val="10"/>
            <w:shd w:val="clear" w:color="auto" w:fill="FDE9D9"/>
            <w:vAlign w:val="center"/>
          </w:tcPr>
          <w:p w:rsidR="00541A5E" w:rsidRPr="00F67A3D" w:rsidRDefault="00541A5E" w:rsidP="00F67A3D">
            <w:pPr>
              <w:widowControl w:val="0"/>
              <w:rPr>
                <w:snapToGrid w:val="0"/>
                <w:szCs w:val="22"/>
              </w:rPr>
            </w:pPr>
            <w:r w:rsidRPr="00F67A3D">
              <w:rPr>
                <w:b/>
                <w:snapToGrid w:val="0"/>
                <w:szCs w:val="22"/>
              </w:rPr>
              <w:t>(4) Professional Culture standard:</w:t>
            </w:r>
            <w:r w:rsidRPr="00F67A3D">
              <w:rPr>
                <w:snapToGrid w:val="0"/>
                <w:szCs w:val="22"/>
              </w:rPr>
              <w:t xml:space="preserve"> Promotes the learning and growth of all students through ethical, culturally proficient, skilled, and collaborative practice.</w:t>
            </w:r>
          </w:p>
        </w:tc>
      </w:tr>
      <w:tr w:rsidR="0058005B" w:rsidRPr="00F67A3D" w:rsidTr="00F67A3D">
        <w:tc>
          <w:tcPr>
            <w:tcW w:w="5575" w:type="dxa"/>
            <w:shd w:val="clear" w:color="auto" w:fill="FBD4B4"/>
            <w:vAlign w:val="center"/>
          </w:tcPr>
          <w:p w:rsidR="00541A5E" w:rsidRPr="00F67A3D" w:rsidRDefault="00541A5E" w:rsidP="00F67A3D">
            <w:pPr>
              <w:widowControl w:val="0"/>
              <w:rPr>
                <w:snapToGrid w:val="0"/>
                <w:szCs w:val="22"/>
              </w:rPr>
            </w:pPr>
          </w:p>
        </w:tc>
        <w:tc>
          <w:tcPr>
            <w:tcW w:w="1620" w:type="dxa"/>
            <w:gridSpan w:val="4"/>
            <w:shd w:val="clear" w:color="auto" w:fill="FBD4B4"/>
          </w:tcPr>
          <w:p w:rsidR="00541A5E" w:rsidRPr="00F67A3D" w:rsidRDefault="00541A5E" w:rsidP="00F67A3D">
            <w:pPr>
              <w:widowControl w:val="0"/>
              <w:jc w:val="center"/>
              <w:rPr>
                <w:snapToGrid w:val="0"/>
                <w:szCs w:val="22"/>
              </w:rPr>
            </w:pPr>
            <w:r w:rsidRPr="00F67A3D">
              <w:rPr>
                <w:b/>
                <w:snapToGrid w:val="0"/>
                <w:szCs w:val="22"/>
              </w:rPr>
              <w:t>Introduction</w:t>
            </w:r>
          </w:p>
        </w:tc>
        <w:tc>
          <w:tcPr>
            <w:tcW w:w="1529" w:type="dxa"/>
            <w:gridSpan w:val="3"/>
            <w:shd w:val="clear" w:color="auto" w:fill="FBD4B4"/>
          </w:tcPr>
          <w:p w:rsidR="00541A5E" w:rsidRPr="00F67A3D" w:rsidRDefault="00541A5E" w:rsidP="00F67A3D">
            <w:pPr>
              <w:widowControl w:val="0"/>
              <w:jc w:val="center"/>
              <w:rPr>
                <w:snapToGrid w:val="0"/>
                <w:szCs w:val="22"/>
              </w:rPr>
            </w:pPr>
            <w:r w:rsidRPr="00F67A3D">
              <w:rPr>
                <w:b/>
                <w:snapToGrid w:val="0"/>
                <w:szCs w:val="22"/>
              </w:rPr>
              <w:t>Practice</w:t>
            </w:r>
          </w:p>
        </w:tc>
        <w:tc>
          <w:tcPr>
            <w:tcW w:w="1536" w:type="dxa"/>
            <w:gridSpan w:val="2"/>
            <w:shd w:val="clear" w:color="auto" w:fill="FBD4B4"/>
          </w:tcPr>
          <w:p w:rsidR="00541A5E" w:rsidRPr="00F67A3D" w:rsidRDefault="00541A5E" w:rsidP="00F67A3D">
            <w:pPr>
              <w:widowControl w:val="0"/>
              <w:jc w:val="center"/>
              <w:rPr>
                <w:snapToGrid w:val="0"/>
                <w:szCs w:val="22"/>
              </w:rPr>
            </w:pPr>
            <w:r w:rsidRPr="00F67A3D">
              <w:rPr>
                <w:b/>
                <w:snapToGrid w:val="0"/>
                <w:szCs w:val="22"/>
              </w:rPr>
              <w:t>Demonstrate</w:t>
            </w:r>
          </w:p>
        </w:tc>
      </w:tr>
      <w:tr w:rsidR="0058005B" w:rsidRPr="00F67A3D" w:rsidTr="00F67A3D">
        <w:tc>
          <w:tcPr>
            <w:tcW w:w="5575" w:type="dxa"/>
            <w:shd w:val="clear" w:color="auto" w:fill="FBD4B4"/>
            <w:vAlign w:val="center"/>
          </w:tcPr>
          <w:p w:rsidR="00541A5E" w:rsidRPr="00F67A3D" w:rsidRDefault="00541A5E" w:rsidP="00F67A3D">
            <w:pPr>
              <w:widowControl w:val="0"/>
              <w:rPr>
                <w:snapToGrid w:val="0"/>
                <w:szCs w:val="22"/>
              </w:rPr>
            </w:pPr>
            <w:r w:rsidRPr="00F67A3D">
              <w:rPr>
                <w:snapToGrid w:val="0"/>
                <w:szCs w:val="22"/>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c>
        <w:tc>
          <w:tcPr>
            <w:tcW w:w="1620" w:type="dxa"/>
            <w:gridSpan w:val="4"/>
            <w:shd w:val="clear" w:color="auto" w:fill="FBD4B4"/>
            <w:vAlign w:val="center"/>
          </w:tcPr>
          <w:p w:rsidR="00541A5E" w:rsidRPr="00F67A3D" w:rsidRDefault="00541A5E" w:rsidP="00F67A3D">
            <w:pPr>
              <w:widowControl w:val="0"/>
              <w:jc w:val="center"/>
              <w:rPr>
                <w:snapToGrid w:val="0"/>
                <w:szCs w:val="22"/>
              </w:rPr>
            </w:pPr>
          </w:p>
        </w:tc>
        <w:tc>
          <w:tcPr>
            <w:tcW w:w="1529" w:type="dxa"/>
            <w:gridSpan w:val="3"/>
            <w:shd w:val="clear" w:color="auto" w:fill="FBD4B4"/>
            <w:vAlign w:val="center"/>
          </w:tcPr>
          <w:p w:rsidR="00541A5E" w:rsidRPr="00F67A3D" w:rsidRDefault="00541A5E" w:rsidP="00F67A3D">
            <w:pPr>
              <w:widowControl w:val="0"/>
              <w:jc w:val="center"/>
              <w:rPr>
                <w:snapToGrid w:val="0"/>
                <w:szCs w:val="22"/>
              </w:rPr>
            </w:pPr>
          </w:p>
        </w:tc>
        <w:tc>
          <w:tcPr>
            <w:tcW w:w="1536" w:type="dxa"/>
            <w:gridSpan w:val="2"/>
            <w:shd w:val="clear" w:color="auto" w:fill="FBD4B4"/>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c>
          <w:tcPr>
            <w:tcW w:w="5575" w:type="dxa"/>
            <w:shd w:val="clear" w:color="auto" w:fill="FBD4B4"/>
            <w:vAlign w:val="center"/>
          </w:tcPr>
          <w:p w:rsidR="00541A5E" w:rsidRPr="00F67A3D" w:rsidRDefault="00541A5E" w:rsidP="00F67A3D">
            <w:pPr>
              <w:widowControl w:val="0"/>
              <w:rPr>
                <w:snapToGrid w:val="0"/>
                <w:szCs w:val="22"/>
              </w:rPr>
            </w:pPr>
            <w:r w:rsidRPr="00F67A3D">
              <w:rPr>
                <w:snapToGrid w:val="0"/>
                <w:szCs w:val="22"/>
              </w:rPr>
              <w:t>(b)  Professional Growth indicator: Actively pursues professional development and learning opportunities to improve quality of practice or build the expertise and experience to assume different instructional and leadership roles.</w:t>
            </w:r>
          </w:p>
        </w:tc>
        <w:tc>
          <w:tcPr>
            <w:tcW w:w="1620" w:type="dxa"/>
            <w:gridSpan w:val="4"/>
            <w:shd w:val="clear" w:color="auto" w:fill="FBD4B4"/>
            <w:vAlign w:val="center"/>
          </w:tcPr>
          <w:p w:rsidR="00541A5E" w:rsidRPr="00F67A3D" w:rsidRDefault="00541A5E" w:rsidP="00F67A3D">
            <w:pPr>
              <w:widowControl w:val="0"/>
              <w:jc w:val="center"/>
              <w:rPr>
                <w:snapToGrid w:val="0"/>
                <w:szCs w:val="22"/>
              </w:rPr>
            </w:pPr>
            <w:r w:rsidRPr="00F67A3D">
              <w:rPr>
                <w:snapToGrid w:val="0"/>
                <w:szCs w:val="22"/>
              </w:rPr>
              <w:t>X</w:t>
            </w:r>
          </w:p>
        </w:tc>
        <w:tc>
          <w:tcPr>
            <w:tcW w:w="1529" w:type="dxa"/>
            <w:gridSpan w:val="3"/>
            <w:shd w:val="clear" w:color="auto" w:fill="FBD4B4"/>
            <w:vAlign w:val="center"/>
          </w:tcPr>
          <w:p w:rsidR="00541A5E" w:rsidRPr="00F67A3D" w:rsidRDefault="00541A5E" w:rsidP="00F67A3D">
            <w:pPr>
              <w:widowControl w:val="0"/>
              <w:jc w:val="center"/>
              <w:rPr>
                <w:snapToGrid w:val="0"/>
                <w:szCs w:val="22"/>
              </w:rPr>
            </w:pPr>
          </w:p>
        </w:tc>
        <w:tc>
          <w:tcPr>
            <w:tcW w:w="1536" w:type="dxa"/>
            <w:gridSpan w:val="2"/>
            <w:shd w:val="clear" w:color="auto" w:fill="FBD4B4"/>
            <w:vAlign w:val="center"/>
          </w:tcPr>
          <w:p w:rsidR="00541A5E" w:rsidRPr="00F67A3D" w:rsidRDefault="00541A5E" w:rsidP="00F67A3D">
            <w:pPr>
              <w:widowControl w:val="0"/>
              <w:jc w:val="center"/>
              <w:rPr>
                <w:snapToGrid w:val="0"/>
                <w:szCs w:val="22"/>
              </w:rPr>
            </w:pPr>
          </w:p>
          <w:p w:rsidR="00541A5E" w:rsidRPr="00F67A3D" w:rsidRDefault="00541A5E" w:rsidP="00F67A3D">
            <w:pPr>
              <w:widowControl w:val="0"/>
              <w:jc w:val="center"/>
              <w:rPr>
                <w:snapToGrid w:val="0"/>
                <w:color w:val="FF0000"/>
                <w:szCs w:val="22"/>
              </w:rPr>
            </w:pPr>
          </w:p>
        </w:tc>
      </w:tr>
      <w:tr w:rsidR="0058005B" w:rsidRPr="00F67A3D" w:rsidTr="00F67A3D">
        <w:tc>
          <w:tcPr>
            <w:tcW w:w="5575" w:type="dxa"/>
            <w:shd w:val="clear" w:color="auto" w:fill="FBD4B4"/>
            <w:vAlign w:val="center"/>
          </w:tcPr>
          <w:p w:rsidR="00541A5E" w:rsidRPr="00F67A3D" w:rsidRDefault="00541A5E" w:rsidP="00F67A3D">
            <w:pPr>
              <w:widowControl w:val="0"/>
              <w:rPr>
                <w:snapToGrid w:val="0"/>
                <w:szCs w:val="22"/>
              </w:rPr>
            </w:pPr>
            <w:r w:rsidRPr="00F67A3D">
              <w:rPr>
                <w:snapToGrid w:val="0"/>
                <w:szCs w:val="22"/>
              </w:rPr>
              <w:t>(c)  Collaboration indicator: Collaborates effectively with colleagues on a wide range of tasks.</w:t>
            </w:r>
          </w:p>
        </w:tc>
        <w:tc>
          <w:tcPr>
            <w:tcW w:w="1620" w:type="dxa"/>
            <w:gridSpan w:val="4"/>
            <w:shd w:val="clear" w:color="auto" w:fill="FBD4B4"/>
            <w:vAlign w:val="center"/>
          </w:tcPr>
          <w:p w:rsidR="00541A5E" w:rsidRPr="00F67A3D" w:rsidRDefault="00541A5E" w:rsidP="00F67A3D">
            <w:pPr>
              <w:widowControl w:val="0"/>
              <w:jc w:val="center"/>
              <w:rPr>
                <w:snapToGrid w:val="0"/>
                <w:szCs w:val="22"/>
              </w:rPr>
            </w:pPr>
          </w:p>
        </w:tc>
        <w:tc>
          <w:tcPr>
            <w:tcW w:w="1529" w:type="dxa"/>
            <w:gridSpan w:val="3"/>
            <w:shd w:val="clear" w:color="auto" w:fill="FBD4B4"/>
            <w:vAlign w:val="center"/>
          </w:tcPr>
          <w:p w:rsidR="00541A5E" w:rsidRPr="00F67A3D" w:rsidRDefault="00541A5E" w:rsidP="00F67A3D">
            <w:pPr>
              <w:widowControl w:val="0"/>
              <w:jc w:val="center"/>
              <w:rPr>
                <w:snapToGrid w:val="0"/>
                <w:szCs w:val="22"/>
              </w:rPr>
            </w:pPr>
            <w:r w:rsidRPr="00F67A3D">
              <w:rPr>
                <w:snapToGrid w:val="0"/>
                <w:szCs w:val="22"/>
              </w:rPr>
              <w:t>X</w:t>
            </w:r>
          </w:p>
        </w:tc>
        <w:tc>
          <w:tcPr>
            <w:tcW w:w="1536" w:type="dxa"/>
            <w:gridSpan w:val="2"/>
            <w:shd w:val="clear" w:color="auto" w:fill="FBD4B4"/>
            <w:vAlign w:val="center"/>
          </w:tcPr>
          <w:p w:rsidR="00541A5E" w:rsidRPr="00F67A3D" w:rsidRDefault="00541A5E" w:rsidP="00F67A3D">
            <w:pPr>
              <w:widowControl w:val="0"/>
              <w:jc w:val="center"/>
              <w:rPr>
                <w:snapToGrid w:val="0"/>
                <w:szCs w:val="22"/>
              </w:rPr>
            </w:pPr>
          </w:p>
        </w:tc>
      </w:tr>
      <w:tr w:rsidR="0058005B" w:rsidRPr="00F67A3D" w:rsidTr="00F67A3D">
        <w:tc>
          <w:tcPr>
            <w:tcW w:w="5575" w:type="dxa"/>
            <w:shd w:val="clear" w:color="auto" w:fill="FBD4B4"/>
            <w:vAlign w:val="center"/>
          </w:tcPr>
          <w:p w:rsidR="00541A5E" w:rsidRPr="00F67A3D" w:rsidRDefault="00541A5E" w:rsidP="00F67A3D">
            <w:pPr>
              <w:widowControl w:val="0"/>
              <w:rPr>
                <w:snapToGrid w:val="0"/>
                <w:szCs w:val="22"/>
              </w:rPr>
            </w:pPr>
            <w:r w:rsidRPr="00F67A3D">
              <w:rPr>
                <w:snapToGrid w:val="0"/>
                <w:szCs w:val="22"/>
              </w:rPr>
              <w:t>(d)  Decision-making indicator: Becomes involved in school-wide decision-making, and takes an active role in school improvement planning.</w:t>
            </w:r>
          </w:p>
        </w:tc>
        <w:tc>
          <w:tcPr>
            <w:tcW w:w="1620" w:type="dxa"/>
            <w:gridSpan w:val="4"/>
            <w:shd w:val="clear" w:color="auto" w:fill="FBD4B4"/>
            <w:vAlign w:val="center"/>
          </w:tcPr>
          <w:p w:rsidR="00541A5E" w:rsidRPr="00F67A3D" w:rsidRDefault="00541A5E" w:rsidP="00F67A3D">
            <w:pPr>
              <w:widowControl w:val="0"/>
              <w:jc w:val="center"/>
              <w:rPr>
                <w:snapToGrid w:val="0"/>
                <w:szCs w:val="22"/>
              </w:rPr>
            </w:pPr>
            <w:r w:rsidRPr="00F67A3D">
              <w:rPr>
                <w:snapToGrid w:val="0"/>
                <w:szCs w:val="22"/>
              </w:rPr>
              <w:t>X</w:t>
            </w:r>
          </w:p>
        </w:tc>
        <w:tc>
          <w:tcPr>
            <w:tcW w:w="1529" w:type="dxa"/>
            <w:gridSpan w:val="3"/>
            <w:shd w:val="clear" w:color="auto" w:fill="FBD4B4"/>
            <w:vAlign w:val="center"/>
          </w:tcPr>
          <w:p w:rsidR="00541A5E" w:rsidRPr="00F67A3D" w:rsidRDefault="00541A5E" w:rsidP="00F67A3D">
            <w:pPr>
              <w:widowControl w:val="0"/>
              <w:jc w:val="center"/>
              <w:rPr>
                <w:snapToGrid w:val="0"/>
                <w:szCs w:val="22"/>
              </w:rPr>
            </w:pPr>
          </w:p>
        </w:tc>
        <w:tc>
          <w:tcPr>
            <w:tcW w:w="1536" w:type="dxa"/>
            <w:gridSpan w:val="2"/>
            <w:shd w:val="clear" w:color="auto" w:fill="FBD4B4"/>
            <w:vAlign w:val="center"/>
          </w:tcPr>
          <w:p w:rsidR="00541A5E" w:rsidRPr="00F67A3D" w:rsidRDefault="00541A5E" w:rsidP="00F67A3D">
            <w:pPr>
              <w:widowControl w:val="0"/>
              <w:jc w:val="center"/>
              <w:rPr>
                <w:snapToGrid w:val="0"/>
                <w:szCs w:val="22"/>
              </w:rPr>
            </w:pPr>
          </w:p>
        </w:tc>
      </w:tr>
      <w:tr w:rsidR="0058005B" w:rsidRPr="00F67A3D" w:rsidTr="00F67A3D">
        <w:tc>
          <w:tcPr>
            <w:tcW w:w="5575" w:type="dxa"/>
            <w:shd w:val="clear" w:color="auto" w:fill="FBD4B4"/>
            <w:vAlign w:val="center"/>
          </w:tcPr>
          <w:p w:rsidR="00541A5E" w:rsidRPr="00F67A3D" w:rsidRDefault="00541A5E" w:rsidP="00F67A3D">
            <w:pPr>
              <w:widowControl w:val="0"/>
              <w:rPr>
                <w:snapToGrid w:val="0"/>
                <w:szCs w:val="22"/>
              </w:rPr>
            </w:pPr>
            <w:r w:rsidRPr="00F67A3D">
              <w:rPr>
                <w:snapToGrid w:val="0"/>
                <w:szCs w:val="22"/>
              </w:rPr>
              <w:t>(e)  Shared Responsibility indicator: Shares responsibility for the performance of all students within the school.</w:t>
            </w:r>
          </w:p>
        </w:tc>
        <w:tc>
          <w:tcPr>
            <w:tcW w:w="1620" w:type="dxa"/>
            <w:gridSpan w:val="4"/>
            <w:shd w:val="clear" w:color="auto" w:fill="FBD4B4"/>
            <w:vAlign w:val="center"/>
          </w:tcPr>
          <w:p w:rsidR="00541A5E" w:rsidRPr="00F67A3D" w:rsidRDefault="00541A5E" w:rsidP="00F67A3D">
            <w:pPr>
              <w:widowControl w:val="0"/>
              <w:jc w:val="center"/>
              <w:rPr>
                <w:snapToGrid w:val="0"/>
                <w:szCs w:val="22"/>
              </w:rPr>
            </w:pPr>
            <w:r w:rsidRPr="00F67A3D">
              <w:rPr>
                <w:snapToGrid w:val="0"/>
                <w:szCs w:val="22"/>
              </w:rPr>
              <w:t>X</w:t>
            </w:r>
          </w:p>
        </w:tc>
        <w:tc>
          <w:tcPr>
            <w:tcW w:w="1529" w:type="dxa"/>
            <w:gridSpan w:val="3"/>
            <w:shd w:val="clear" w:color="auto" w:fill="FBD4B4"/>
            <w:vAlign w:val="center"/>
          </w:tcPr>
          <w:p w:rsidR="00541A5E" w:rsidRPr="00F67A3D" w:rsidRDefault="00541A5E" w:rsidP="00F67A3D">
            <w:pPr>
              <w:widowControl w:val="0"/>
              <w:jc w:val="center"/>
              <w:rPr>
                <w:snapToGrid w:val="0"/>
                <w:szCs w:val="22"/>
              </w:rPr>
            </w:pPr>
          </w:p>
        </w:tc>
        <w:tc>
          <w:tcPr>
            <w:tcW w:w="1536" w:type="dxa"/>
            <w:gridSpan w:val="2"/>
            <w:shd w:val="clear" w:color="auto" w:fill="FBD4B4"/>
            <w:vAlign w:val="center"/>
          </w:tcPr>
          <w:p w:rsidR="00541A5E" w:rsidRPr="00F67A3D" w:rsidRDefault="00541A5E" w:rsidP="00F67A3D">
            <w:pPr>
              <w:widowControl w:val="0"/>
              <w:jc w:val="center"/>
              <w:rPr>
                <w:snapToGrid w:val="0"/>
                <w:color w:val="FF0000"/>
                <w:szCs w:val="22"/>
              </w:rPr>
            </w:pPr>
          </w:p>
        </w:tc>
      </w:tr>
      <w:tr w:rsidR="0058005B" w:rsidRPr="00F67A3D" w:rsidTr="00F67A3D">
        <w:tc>
          <w:tcPr>
            <w:tcW w:w="5575" w:type="dxa"/>
            <w:shd w:val="clear" w:color="auto" w:fill="FBD4B4"/>
            <w:vAlign w:val="center"/>
          </w:tcPr>
          <w:p w:rsidR="00541A5E" w:rsidRPr="00F67A3D" w:rsidRDefault="00541A5E" w:rsidP="00F67A3D">
            <w:pPr>
              <w:widowControl w:val="0"/>
              <w:rPr>
                <w:snapToGrid w:val="0"/>
                <w:szCs w:val="22"/>
              </w:rPr>
            </w:pPr>
            <w:r w:rsidRPr="00F67A3D">
              <w:rPr>
                <w:snapToGrid w:val="0"/>
                <w:szCs w:val="22"/>
              </w:rPr>
              <w:t>(f)  Professional Responsibilities indicator: Is ethical and reliable, and meets routine responsibilities consistently.</w:t>
            </w:r>
          </w:p>
        </w:tc>
        <w:tc>
          <w:tcPr>
            <w:tcW w:w="1620" w:type="dxa"/>
            <w:gridSpan w:val="4"/>
            <w:shd w:val="clear" w:color="auto" w:fill="FBD4B4"/>
            <w:vAlign w:val="center"/>
          </w:tcPr>
          <w:p w:rsidR="00541A5E" w:rsidRPr="00F67A3D" w:rsidRDefault="00541A5E" w:rsidP="00F67A3D">
            <w:pPr>
              <w:widowControl w:val="0"/>
              <w:jc w:val="center"/>
              <w:rPr>
                <w:snapToGrid w:val="0"/>
                <w:szCs w:val="22"/>
              </w:rPr>
            </w:pPr>
          </w:p>
        </w:tc>
        <w:tc>
          <w:tcPr>
            <w:tcW w:w="1529" w:type="dxa"/>
            <w:gridSpan w:val="3"/>
            <w:shd w:val="clear" w:color="auto" w:fill="FBD4B4"/>
            <w:vAlign w:val="center"/>
          </w:tcPr>
          <w:p w:rsidR="00541A5E" w:rsidRPr="00F67A3D" w:rsidRDefault="00541A5E" w:rsidP="00F67A3D">
            <w:pPr>
              <w:widowControl w:val="0"/>
              <w:jc w:val="center"/>
              <w:rPr>
                <w:snapToGrid w:val="0"/>
                <w:szCs w:val="22"/>
              </w:rPr>
            </w:pPr>
          </w:p>
        </w:tc>
        <w:tc>
          <w:tcPr>
            <w:tcW w:w="1536" w:type="dxa"/>
            <w:gridSpan w:val="2"/>
            <w:shd w:val="clear" w:color="auto" w:fill="FBD4B4"/>
            <w:vAlign w:val="center"/>
          </w:tcPr>
          <w:p w:rsidR="00541A5E" w:rsidRPr="00F67A3D" w:rsidRDefault="00541A5E" w:rsidP="00F67A3D">
            <w:pPr>
              <w:widowControl w:val="0"/>
              <w:jc w:val="center"/>
              <w:rPr>
                <w:snapToGrid w:val="0"/>
                <w:szCs w:val="22"/>
              </w:rPr>
            </w:pPr>
            <w:r w:rsidRPr="00F67A3D">
              <w:rPr>
                <w:snapToGrid w:val="0"/>
                <w:szCs w:val="22"/>
              </w:rPr>
              <w:t>X</w:t>
            </w:r>
          </w:p>
        </w:tc>
      </w:tr>
    </w:tbl>
    <w:p w:rsidR="0098006B" w:rsidRDefault="0098006B" w:rsidP="00A6279B">
      <w:pPr>
        <w:pStyle w:val="IntenseQuote"/>
        <w:spacing w:before="0" w:after="0"/>
      </w:pPr>
    </w:p>
    <w:p w:rsidR="00A6279B" w:rsidRDefault="00721FAE" w:rsidP="00A6279B">
      <w:pPr>
        <w:pStyle w:val="IntenseQuote"/>
        <w:spacing w:before="0" w:after="0"/>
      </w:pPr>
      <w:bookmarkStart w:id="4" w:name="GuidelinesForSponsoringOrgs"/>
      <w:r>
        <w:t>Considerations for</w:t>
      </w:r>
      <w:r w:rsidR="00A6279B">
        <w:t xml:space="preserve"> </w:t>
      </w:r>
      <w:r w:rsidR="00D6492A">
        <w:t>Sponsoring Organization</w:t>
      </w:r>
      <w:r>
        <w:t>s</w:t>
      </w:r>
    </w:p>
    <w:bookmarkEnd w:id="4"/>
    <w:p w:rsidR="00CA3C85" w:rsidRDefault="00CA3C85">
      <w:r>
        <w:t>The PSTs</w:t>
      </w:r>
      <w:r w:rsidR="00365CDE">
        <w:t xml:space="preserve"> and indicators</w:t>
      </w:r>
      <w:r>
        <w:t xml:space="preserve"> are aligned to </w:t>
      </w:r>
      <w:r w:rsidR="00835ED3">
        <w:t>the MA Educator Evaluation Framework</w:t>
      </w:r>
      <w:r>
        <w:t xml:space="preserve"> to ensure that </w:t>
      </w:r>
      <w:r w:rsidR="008369CB">
        <w:t>beginning</w:t>
      </w:r>
      <w:r>
        <w:t xml:space="preserve"> teachers are prepared for their </w:t>
      </w:r>
      <w:r w:rsidR="003878CC">
        <w:t xml:space="preserve">first year of teaching. The </w:t>
      </w:r>
      <w:r w:rsidR="00E944D4">
        <w:t>PSTs and indicators</w:t>
      </w:r>
      <w:r>
        <w:t xml:space="preserve"> also</w:t>
      </w:r>
      <w:r w:rsidR="00923559">
        <w:t xml:space="preserve"> have implications for </w:t>
      </w:r>
      <w:r w:rsidR="00194370">
        <w:t>Sponsoring Organization</w:t>
      </w:r>
      <w:r w:rsidR="00923559">
        <w:t xml:space="preserve"> administrators and f</w:t>
      </w:r>
      <w:r>
        <w:t xml:space="preserve">aculty as they design program components to ensure that candidates are </w:t>
      </w:r>
      <w:r w:rsidR="00801306">
        <w:t>ready for their first year in the classroom.</w:t>
      </w:r>
    </w:p>
    <w:p w:rsidR="00EA676C" w:rsidRDefault="00EA676C"/>
    <w:p w:rsidR="00D32201" w:rsidRDefault="00923559">
      <w:r>
        <w:t xml:space="preserve">For </w:t>
      </w:r>
      <w:r w:rsidR="00194370">
        <w:t>Sponsoring Organization</w:t>
      </w:r>
      <w:r w:rsidR="00CA3C85">
        <w:t xml:space="preserve"> administrators </w:t>
      </w:r>
      <w:r w:rsidR="00F20FB1">
        <w:t>the PSTs and indicators</w:t>
      </w:r>
      <w:r w:rsidR="00CA3C85">
        <w:t xml:space="preserve"> should </w:t>
      </w:r>
      <w:r w:rsidR="004A7DB6">
        <w:t>inform overall program design. Administrators should use the PSTs</w:t>
      </w:r>
      <w:r w:rsidR="004A12F6">
        <w:t xml:space="preserve"> and indicators</w:t>
      </w:r>
      <w:r w:rsidR="004A7DB6">
        <w:t xml:space="preserve"> to determine course offerings that ensure candidates have appropriate exposure, practice, and </w:t>
      </w:r>
      <w:r w:rsidR="00AB41BF">
        <w:t xml:space="preserve">demonstrated </w:t>
      </w:r>
      <w:r w:rsidR="004A7DB6">
        <w:t xml:space="preserve">expertise in the standards. Through advising and course offerings, programs should emphasize that these </w:t>
      </w:r>
      <w:r w:rsidR="004E7F5F">
        <w:t>PSTs</w:t>
      </w:r>
      <w:r w:rsidR="004A7DB6">
        <w:t xml:space="preserve"> and indicators are the same ones teachers will </w:t>
      </w:r>
      <w:r w:rsidR="000925C2">
        <w:t xml:space="preserve">experience as expectations from their hiring district and </w:t>
      </w:r>
      <w:r w:rsidR="00835ED3">
        <w:t>when evaluated in a MA district</w:t>
      </w:r>
      <w:r w:rsidR="00121712">
        <w:t xml:space="preserve">. </w:t>
      </w:r>
      <w:r w:rsidR="004A7DB6">
        <w:t xml:space="preserve">To better understand </w:t>
      </w:r>
      <w:r w:rsidR="00835ED3">
        <w:t>the MA Educator Evaluation Framework</w:t>
      </w:r>
      <w:r w:rsidR="004A7DB6">
        <w:t xml:space="preserve">, read more </w:t>
      </w:r>
      <w:r w:rsidR="00721FAE">
        <w:t xml:space="preserve">at </w:t>
      </w:r>
      <w:hyperlink r:id="rId21" w:history="1">
        <w:r w:rsidR="00721FAE" w:rsidRPr="000E412D">
          <w:rPr>
            <w:rStyle w:val="Hyperlink"/>
          </w:rPr>
          <w:t>www.doe.mass.edu/edeval</w:t>
        </w:r>
      </w:hyperlink>
      <w:r w:rsidR="00721FAE">
        <w:t xml:space="preserve">. </w:t>
      </w:r>
      <w:r w:rsidR="00CE1C9C">
        <w:t xml:space="preserve"> </w:t>
      </w:r>
      <w:r w:rsidR="004A7DB6">
        <w:t xml:space="preserve">Additionally, </w:t>
      </w:r>
      <w:r w:rsidR="00194370">
        <w:t>Sponsoring Organizations</w:t>
      </w:r>
      <w:r w:rsidR="004A7DB6">
        <w:t xml:space="preserve"> should develop processes for goal-</w:t>
      </w:r>
      <w:r w:rsidR="004A7DB6">
        <w:lastRenderedPageBreak/>
        <w:t xml:space="preserve">setting, practice, and reflection on these standards to ensure that candidates build a habit of reflective practice before they enter the classroom. </w:t>
      </w:r>
    </w:p>
    <w:p w:rsidR="004A7DB6" w:rsidRDefault="004A7DB6"/>
    <w:p w:rsidR="00CE1C9C" w:rsidRDefault="00923559">
      <w:r>
        <w:t xml:space="preserve">For </w:t>
      </w:r>
      <w:r w:rsidR="00194370">
        <w:t>Sponsoring Organization</w:t>
      </w:r>
      <w:r>
        <w:t xml:space="preserve"> f</w:t>
      </w:r>
      <w:r w:rsidR="002F0D7B">
        <w:t xml:space="preserve">aculty, </w:t>
      </w:r>
      <w:r w:rsidR="00FA7809">
        <w:t xml:space="preserve">the </w:t>
      </w:r>
      <w:r w:rsidR="002F0D7B">
        <w:t>PSTs</w:t>
      </w:r>
      <w:r w:rsidR="002343E4">
        <w:t xml:space="preserve"> and indicators</w:t>
      </w:r>
      <w:r w:rsidR="002F0D7B">
        <w:t xml:space="preserve"> should guide course design and decisions about the depth and breadth of specific content. Faculty should consider the levels of practice – introduction, practice, and </w:t>
      </w:r>
      <w:r w:rsidR="00AB2328">
        <w:t>demonstrate</w:t>
      </w:r>
      <w:r w:rsidR="002F0D7B">
        <w:t xml:space="preserve">– and build courses to meet these specific requirements. </w:t>
      </w:r>
      <w:r w:rsidR="00CE1C9C">
        <w:t>PSTs</w:t>
      </w:r>
      <w:r w:rsidR="00821115">
        <w:t xml:space="preserve"> and indicators</w:t>
      </w:r>
      <w:r w:rsidR="00CE1C9C">
        <w:t xml:space="preserve"> should also drive the development of assessments </w:t>
      </w:r>
      <w:r w:rsidR="00AB2328">
        <w:t xml:space="preserve">which </w:t>
      </w:r>
      <w:r w:rsidR="00CE1C9C">
        <w:t xml:space="preserve">provide candidates with an opportunity to see </w:t>
      </w:r>
      <w:r w:rsidR="00AB2328">
        <w:t>how they are progressing</w:t>
      </w:r>
      <w:r w:rsidR="00CE1C9C">
        <w:t xml:space="preserve"> in re</w:t>
      </w:r>
      <w:r w:rsidR="008D2DCC">
        <w:t>lation to each indicator. F</w:t>
      </w:r>
      <w:r w:rsidR="00CE1C9C">
        <w:t xml:space="preserve">aculty should utilize the </w:t>
      </w:r>
      <w:r w:rsidR="008F030F">
        <w:t>PSTs</w:t>
      </w:r>
      <w:r w:rsidR="00CE1C9C">
        <w:t xml:space="preserve"> and indicators to monitor candidate progress and provide targeted feedback that helps candidates to </w:t>
      </w:r>
      <w:r w:rsidR="00AB2328">
        <w:t xml:space="preserve">grow </w:t>
      </w:r>
      <w:r w:rsidR="00CE1C9C">
        <w:t>and reflect on their teaching practice.</w:t>
      </w:r>
    </w:p>
    <w:p w:rsidR="00CE1C9C" w:rsidRDefault="00CE1C9C"/>
    <w:p w:rsidR="002F0D7B" w:rsidRDefault="00CE1C9C">
      <w:r>
        <w:t>Finally</w:t>
      </w:r>
      <w:r w:rsidR="002F0D7B">
        <w:t>,</w:t>
      </w:r>
      <w:r>
        <w:t xml:space="preserve"> for </w:t>
      </w:r>
      <w:r w:rsidR="00E57C72">
        <w:t xml:space="preserve">all </w:t>
      </w:r>
      <w:r w:rsidR="00194370">
        <w:t>Sponsoring Organization</w:t>
      </w:r>
      <w:r w:rsidR="00E57C72">
        <w:t xml:space="preserve"> administrators and f</w:t>
      </w:r>
      <w:r>
        <w:t>aculty,</w:t>
      </w:r>
      <w:r w:rsidR="002F0D7B">
        <w:t xml:space="preserve"> PSTs</w:t>
      </w:r>
      <w:r w:rsidR="00101689">
        <w:t xml:space="preserve"> and indicators</w:t>
      </w:r>
      <w:r w:rsidR="002F0D7B">
        <w:t xml:space="preserve"> should prompt collaboration across the faculty to ensure that courses collectively cover </w:t>
      </w:r>
      <w:r w:rsidR="00F50FF5">
        <w:t>them</w:t>
      </w:r>
      <w:r w:rsidR="002F0D7B">
        <w:t xml:space="preserve"> appropriately</w:t>
      </w:r>
      <w:r w:rsidR="00AB2328">
        <w:t xml:space="preserve"> </w:t>
      </w:r>
      <w:r w:rsidR="002F0D7B">
        <w:t xml:space="preserve">in a way that fully prepares each teacher to be </w:t>
      </w:r>
      <w:r w:rsidR="00D05DD4">
        <w:t>effective</w:t>
      </w:r>
      <w:r w:rsidR="002F0D7B">
        <w:t>.</w:t>
      </w:r>
      <w:r>
        <w:t xml:space="preserve"> </w:t>
      </w:r>
    </w:p>
    <w:p w:rsidR="00FA403A" w:rsidRDefault="00FA403A"/>
    <w:p w:rsidR="00FA403A" w:rsidRDefault="00FA403A">
      <w:r>
        <w:t>A full set of expec</w:t>
      </w:r>
      <w:r w:rsidR="00C10D2B">
        <w:t>tations for preparation program</w:t>
      </w:r>
      <w:r>
        <w:t>s</w:t>
      </w:r>
      <w:r w:rsidR="00C10D2B">
        <w:t>’</w:t>
      </w:r>
      <w:r>
        <w:t xml:space="preserve"> instructional design, delivery and assessment can be found in the </w:t>
      </w:r>
      <w:hyperlink r:id="rId22" w:history="1">
        <w:r w:rsidRPr="00FA403A">
          <w:rPr>
            <w:rStyle w:val="Hyperlink"/>
          </w:rPr>
          <w:t>Review Evaluation Criteria list</w:t>
        </w:r>
      </w:hyperlink>
      <w:r>
        <w:t xml:space="preserve">. </w:t>
      </w:r>
    </w:p>
    <w:p w:rsidR="00D32201" w:rsidRDefault="00D32201"/>
    <w:p w:rsidR="001978F0" w:rsidRDefault="001978F0" w:rsidP="001978F0">
      <w:pPr>
        <w:pStyle w:val="IntenseQuote"/>
        <w:spacing w:before="0" w:after="0"/>
      </w:pPr>
      <w:bookmarkStart w:id="5" w:name="Intersecting_Initiatives"/>
      <w:r>
        <w:t>Intersecting Initiatives</w:t>
      </w:r>
    </w:p>
    <w:bookmarkEnd w:id="5"/>
    <w:p w:rsidR="00E87575" w:rsidRDefault="00E87575" w:rsidP="00E87575">
      <w:r>
        <w:t>The PSTs</w:t>
      </w:r>
      <w:r w:rsidR="00253BCB">
        <w:t xml:space="preserve"> and indicators</w:t>
      </w:r>
      <w:r>
        <w:t xml:space="preserve"> represent one </w:t>
      </w:r>
      <w:r w:rsidR="001C58CE">
        <w:t>component</w:t>
      </w:r>
      <w:r>
        <w:t xml:space="preserve"> of a broader set of changes </w:t>
      </w:r>
      <w:r w:rsidR="001C58CE">
        <w:t xml:space="preserve">that impact preparation </w:t>
      </w:r>
      <w:r>
        <w:t xml:space="preserve">in </w:t>
      </w:r>
      <w:r w:rsidR="00E57C72">
        <w:t>Massachusetts</w:t>
      </w:r>
      <w:r w:rsidR="00277CBD">
        <w:t>. I</w:t>
      </w:r>
      <w:r>
        <w:t xml:space="preserve">t is critical that these initiatives </w:t>
      </w:r>
      <w:r w:rsidR="001C58CE">
        <w:t>be planned and implemented in</w:t>
      </w:r>
      <w:r w:rsidR="00E57C72">
        <w:t xml:space="preserve"> </w:t>
      </w:r>
      <w:r w:rsidR="00AC03C0">
        <w:t xml:space="preserve">a </w:t>
      </w:r>
      <w:r w:rsidR="00E57C72">
        <w:t xml:space="preserve">cohesive way, as opposed to </w:t>
      </w:r>
      <w:r>
        <w:t xml:space="preserve">distinct and separate efforts. Below are descriptions of </w:t>
      </w:r>
      <w:r w:rsidR="001C58CE">
        <w:t xml:space="preserve">the </w:t>
      </w:r>
      <w:r>
        <w:t>important parallel initiatives, which</w:t>
      </w:r>
      <w:r w:rsidR="00AC03C0">
        <w:t xml:space="preserve"> are directly related to the</w:t>
      </w:r>
      <w:r>
        <w:t xml:space="preserve"> PSTs</w:t>
      </w:r>
      <w:r w:rsidR="00F61605">
        <w:t xml:space="preserve"> and indicators</w:t>
      </w:r>
      <w:r>
        <w:t>.</w:t>
      </w:r>
    </w:p>
    <w:p w:rsidR="001D512B" w:rsidRDefault="001D512B" w:rsidP="00E87575"/>
    <w:p w:rsidR="00194370" w:rsidRPr="004A1A15" w:rsidRDefault="00194370" w:rsidP="00E87575">
      <w:pPr>
        <w:rPr>
          <w:b/>
        </w:rPr>
      </w:pPr>
    </w:p>
    <w:tbl>
      <w:tblPr>
        <w:tblW w:w="10530" w:type="dxa"/>
        <w:tblInd w:w="-2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1800"/>
        <w:gridCol w:w="4320"/>
        <w:gridCol w:w="4410"/>
      </w:tblGrid>
      <w:tr w:rsidR="001C58CE" w:rsidRPr="00F67A3D" w:rsidTr="00F67A3D">
        <w:trPr>
          <w:tblHeader/>
        </w:trPr>
        <w:tc>
          <w:tcPr>
            <w:tcW w:w="1800" w:type="dxa"/>
            <w:shd w:val="clear" w:color="auto" w:fill="FABF8F"/>
          </w:tcPr>
          <w:p w:rsidR="001C58CE" w:rsidRPr="00F67A3D" w:rsidRDefault="001C58CE" w:rsidP="00E87575">
            <w:pPr>
              <w:rPr>
                <w:b/>
              </w:rPr>
            </w:pPr>
            <w:r w:rsidRPr="00F67A3D">
              <w:rPr>
                <w:b/>
              </w:rPr>
              <w:t>Intersecting Initiative</w:t>
            </w:r>
          </w:p>
        </w:tc>
        <w:tc>
          <w:tcPr>
            <w:tcW w:w="4320" w:type="dxa"/>
            <w:shd w:val="clear" w:color="auto" w:fill="FABF8F"/>
          </w:tcPr>
          <w:p w:rsidR="001C58CE" w:rsidRPr="00F67A3D" w:rsidRDefault="001C58CE" w:rsidP="00E87575">
            <w:pPr>
              <w:rPr>
                <w:b/>
              </w:rPr>
            </w:pPr>
            <w:r w:rsidRPr="00F67A3D">
              <w:rPr>
                <w:b/>
              </w:rPr>
              <w:t>Overview</w:t>
            </w:r>
          </w:p>
        </w:tc>
        <w:tc>
          <w:tcPr>
            <w:tcW w:w="4410" w:type="dxa"/>
            <w:shd w:val="clear" w:color="auto" w:fill="FABF8F"/>
          </w:tcPr>
          <w:p w:rsidR="001C58CE" w:rsidRPr="00F67A3D" w:rsidRDefault="001C58CE" w:rsidP="00E87575">
            <w:pPr>
              <w:rPr>
                <w:b/>
              </w:rPr>
            </w:pPr>
            <w:r w:rsidRPr="00F67A3D">
              <w:rPr>
                <w:b/>
              </w:rPr>
              <w:t>Connection to PSTs</w:t>
            </w:r>
          </w:p>
        </w:tc>
      </w:tr>
      <w:tr w:rsidR="00AE3006" w:rsidRPr="00F67A3D" w:rsidTr="00F67A3D">
        <w:trPr>
          <w:trHeight w:val="2888"/>
        </w:trPr>
        <w:tc>
          <w:tcPr>
            <w:tcW w:w="1800" w:type="dxa"/>
            <w:shd w:val="clear" w:color="auto" w:fill="FFFFFF"/>
          </w:tcPr>
          <w:p w:rsidR="00AE3006" w:rsidRPr="00F67A3D" w:rsidRDefault="00AE3006" w:rsidP="00E87575">
            <w:pPr>
              <w:rPr>
                <w:b/>
              </w:rPr>
            </w:pPr>
            <w:r w:rsidRPr="00F67A3D">
              <w:t>Educator Evaluation</w:t>
            </w:r>
          </w:p>
        </w:tc>
        <w:tc>
          <w:tcPr>
            <w:tcW w:w="4320" w:type="dxa"/>
            <w:shd w:val="clear" w:color="auto" w:fill="FFFFFF"/>
          </w:tcPr>
          <w:p w:rsidR="00AE3006" w:rsidRPr="00F67A3D" w:rsidRDefault="00377543" w:rsidP="00E87575">
            <w:r w:rsidRPr="00F67A3D">
              <w:t>In 2011 the state adopted</w:t>
            </w:r>
            <w:r w:rsidR="00AE3006" w:rsidRPr="00F67A3D">
              <w:t xml:space="preserve"> regulations for the evaluation of MA educators in an effort to promote the growth and development of educators; place student learning at the center</w:t>
            </w:r>
            <w:r w:rsidR="00E57DF1" w:rsidRPr="00F67A3D">
              <w:t xml:space="preserve"> of conversations about improvement</w:t>
            </w:r>
            <w:r w:rsidR="00AE3006" w:rsidRPr="00F67A3D">
              <w:t xml:space="preserve">; </w:t>
            </w:r>
            <w:r w:rsidR="00AB2328">
              <w:t xml:space="preserve">shorten timelines for improvement; </w:t>
            </w:r>
            <w:r w:rsidR="00AE3006" w:rsidRPr="00F67A3D">
              <w:t>and recognize excellence</w:t>
            </w:r>
            <w:r w:rsidR="00E57DF1" w:rsidRPr="00F67A3D">
              <w:t xml:space="preserve"> in the profession</w:t>
            </w:r>
            <w:r w:rsidR="00AE3006" w:rsidRPr="00F67A3D">
              <w:t xml:space="preserve">. The Educator Evaluation Framework was implemented in all districts in </w:t>
            </w:r>
            <w:r w:rsidR="00C21CB4">
              <w:t xml:space="preserve">the </w:t>
            </w:r>
            <w:r w:rsidR="00AE3006" w:rsidRPr="00F67A3D">
              <w:t>2013-2014</w:t>
            </w:r>
            <w:r w:rsidR="00C21CB4">
              <w:t xml:space="preserve"> school year</w:t>
            </w:r>
            <w:r w:rsidR="00AE3006" w:rsidRPr="00F67A3D">
              <w:t xml:space="preserve">. </w:t>
            </w:r>
          </w:p>
          <w:p w:rsidR="00FA403A" w:rsidRPr="00F67A3D" w:rsidRDefault="00FA403A" w:rsidP="00E87575">
            <w:pPr>
              <w:rPr>
                <w:sz w:val="12"/>
              </w:rPr>
            </w:pPr>
          </w:p>
          <w:p w:rsidR="00E57DF1" w:rsidRPr="00F67A3D" w:rsidRDefault="00FE529D" w:rsidP="00E87575">
            <w:hyperlink r:id="rId23" w:history="1">
              <w:r w:rsidR="00E57DF1" w:rsidRPr="00F67A3D">
                <w:rPr>
                  <w:rStyle w:val="Hyperlink"/>
                </w:rPr>
                <w:t>http://www.doe.mass.edu/edeval/</w:t>
              </w:r>
            </w:hyperlink>
          </w:p>
        </w:tc>
        <w:tc>
          <w:tcPr>
            <w:tcW w:w="4410" w:type="dxa"/>
            <w:shd w:val="clear" w:color="auto" w:fill="FFFFFF"/>
          </w:tcPr>
          <w:p w:rsidR="00AE3006" w:rsidRPr="00F67A3D" w:rsidRDefault="00E57DF1" w:rsidP="00835ED3">
            <w:r w:rsidRPr="00F67A3D">
              <w:t xml:space="preserve">The four Professional Standards for Teachers used in preparation are the same expectations outlined for in-service </w:t>
            </w:r>
            <w:r w:rsidR="00835ED3" w:rsidRPr="00F67A3D">
              <w:t>teachers</w:t>
            </w:r>
            <w:r w:rsidRPr="00F67A3D">
              <w:t>. Likewise, while the PST indicators for preparation candidates are differentiated to indicate a progression</w:t>
            </w:r>
            <w:r w:rsidR="00AB2328">
              <w:t>,</w:t>
            </w:r>
            <w:r w:rsidRPr="00F67A3D">
              <w:t xml:space="preserve"> they are the same as the expectations outlined for current MA teachers. </w:t>
            </w:r>
            <w:r w:rsidR="000D2E0A" w:rsidRPr="00F67A3D">
              <w:t xml:space="preserve">This alignment ensures that educators are prepared under the same expectations on which they are evaluated </w:t>
            </w:r>
            <w:r w:rsidR="00AB2328">
              <w:t xml:space="preserve">and supported </w:t>
            </w:r>
            <w:r w:rsidR="000D2E0A" w:rsidRPr="00F67A3D">
              <w:t xml:space="preserve">once employed. </w:t>
            </w:r>
          </w:p>
        </w:tc>
      </w:tr>
      <w:tr w:rsidR="001C58CE" w:rsidRPr="00F67A3D" w:rsidTr="00F67A3D">
        <w:trPr>
          <w:trHeight w:val="2870"/>
        </w:trPr>
        <w:tc>
          <w:tcPr>
            <w:tcW w:w="1800" w:type="dxa"/>
          </w:tcPr>
          <w:p w:rsidR="001C58CE" w:rsidRPr="00F67A3D" w:rsidRDefault="001C58CE" w:rsidP="00E87575">
            <w:r w:rsidRPr="00F67A3D">
              <w:lastRenderedPageBreak/>
              <w:t>Massachusetts Curriculum Frameworks</w:t>
            </w:r>
          </w:p>
        </w:tc>
        <w:tc>
          <w:tcPr>
            <w:tcW w:w="4320" w:type="dxa"/>
          </w:tcPr>
          <w:p w:rsidR="001C58CE" w:rsidRPr="00F67A3D" w:rsidRDefault="001C58CE" w:rsidP="00E87575">
            <w:r w:rsidRPr="00F67A3D">
              <w:t xml:space="preserve">The state adopted ELA and Math </w:t>
            </w:r>
            <w:r w:rsidR="00835ED3" w:rsidRPr="00F67A3D">
              <w:t>C</w:t>
            </w:r>
            <w:r w:rsidRPr="00F67A3D">
              <w:t xml:space="preserve">urriculum </w:t>
            </w:r>
            <w:r w:rsidR="00835ED3" w:rsidRPr="00F67A3D">
              <w:t>F</w:t>
            </w:r>
            <w:r w:rsidRPr="00F67A3D">
              <w:t xml:space="preserve">rameworks in 2011 </w:t>
            </w:r>
            <w:r w:rsidR="00AB2328">
              <w:t>which align</w:t>
            </w:r>
            <w:r w:rsidRPr="00F67A3D">
              <w:t xml:space="preserve"> with the Common Core State Standards. These standards are designed to prepare students for college and career readiness. </w:t>
            </w:r>
            <w:r w:rsidR="005B7ACE" w:rsidRPr="00F67A3D">
              <w:t xml:space="preserve"> Schools and districts fully implemented these standards beginning in 2013-201</w:t>
            </w:r>
            <w:r w:rsidR="001B347B">
              <w:t>4 school year</w:t>
            </w:r>
            <w:r w:rsidR="005B7ACE" w:rsidRPr="00F67A3D">
              <w:t xml:space="preserve">. </w:t>
            </w:r>
          </w:p>
          <w:p w:rsidR="00FA403A" w:rsidRPr="00F67A3D" w:rsidRDefault="00FA403A" w:rsidP="00E87575"/>
          <w:p w:rsidR="001C58CE" w:rsidRPr="00F67A3D" w:rsidRDefault="00FE529D" w:rsidP="00E87575">
            <w:hyperlink r:id="rId24" w:history="1">
              <w:r w:rsidR="001C58CE" w:rsidRPr="00F67A3D">
                <w:rPr>
                  <w:rStyle w:val="Hyperlink"/>
                </w:rPr>
                <w:t>http://www.doe.mass.edu/candi/</w:t>
              </w:r>
            </w:hyperlink>
          </w:p>
        </w:tc>
        <w:tc>
          <w:tcPr>
            <w:tcW w:w="4410" w:type="dxa"/>
          </w:tcPr>
          <w:p w:rsidR="001C58CE" w:rsidRPr="00F67A3D" w:rsidRDefault="005B7ACE" w:rsidP="00835ED3">
            <w:r w:rsidRPr="00F67A3D">
              <w:t xml:space="preserve">The </w:t>
            </w:r>
            <w:r w:rsidR="00377543" w:rsidRPr="00F67A3D">
              <w:t>20</w:t>
            </w:r>
            <w:r w:rsidR="00835ED3" w:rsidRPr="00F67A3D">
              <w:t xml:space="preserve">11 </w:t>
            </w:r>
            <w:hyperlink r:id="rId25" w:history="1">
              <w:r w:rsidR="00835ED3" w:rsidRPr="00DA0B99">
                <w:rPr>
                  <w:rStyle w:val="Hyperlink"/>
                </w:rPr>
                <w:t>MA C</w:t>
              </w:r>
              <w:r w:rsidRPr="00DA0B99">
                <w:rPr>
                  <w:rStyle w:val="Hyperlink"/>
                </w:rPr>
                <w:t xml:space="preserve">urriculum </w:t>
              </w:r>
              <w:r w:rsidR="00835ED3" w:rsidRPr="00DA0B99">
                <w:rPr>
                  <w:rStyle w:val="Hyperlink"/>
                </w:rPr>
                <w:t>F</w:t>
              </w:r>
              <w:r w:rsidRPr="00DA0B99">
                <w:rPr>
                  <w:rStyle w:val="Hyperlink"/>
                </w:rPr>
                <w:t>rameworks</w:t>
              </w:r>
            </w:hyperlink>
            <w:r w:rsidRPr="00F67A3D">
              <w:t xml:space="preserve"> required a number of instructional shifts in standards-based teaching. Current teachers have been engaged in significant professional development in support of these shifts and in an effort to effectively support </w:t>
            </w:r>
            <w:r w:rsidR="000E7887" w:rsidRPr="00F67A3D">
              <w:t>Pre</w:t>
            </w:r>
            <w:r w:rsidRPr="00F67A3D">
              <w:t>K-12 students in meeting these standards. The alignment of the PSTs</w:t>
            </w:r>
            <w:r w:rsidR="00255A22">
              <w:t xml:space="preserve"> and indicators</w:t>
            </w:r>
            <w:r w:rsidRPr="00F67A3D">
              <w:t xml:space="preserve"> to the standards for in-service teachers ensures that newly prepared educators enter the classroom ready to support success of all students. </w:t>
            </w:r>
          </w:p>
        </w:tc>
      </w:tr>
      <w:tr w:rsidR="001C58CE" w:rsidRPr="00F67A3D" w:rsidTr="00F67A3D">
        <w:tc>
          <w:tcPr>
            <w:tcW w:w="1800" w:type="dxa"/>
          </w:tcPr>
          <w:p w:rsidR="00FA403A" w:rsidRPr="00F67A3D" w:rsidRDefault="003944B2" w:rsidP="003944B2">
            <w:r w:rsidRPr="00F67A3D">
              <w:t>Subject-Matter Knowledge (SMK) requirements</w:t>
            </w:r>
          </w:p>
          <w:p w:rsidR="00FA403A" w:rsidRPr="00F67A3D" w:rsidRDefault="00FA403A" w:rsidP="003944B2"/>
          <w:p w:rsidR="00FA403A" w:rsidRPr="00F67A3D" w:rsidRDefault="00FA403A" w:rsidP="003944B2"/>
          <w:p w:rsidR="001C58CE" w:rsidRPr="00F67A3D" w:rsidRDefault="00FE529D" w:rsidP="003944B2">
            <w:hyperlink r:id="rId26" w:history="1">
              <w:r w:rsidR="00FA403A" w:rsidRPr="00F67A3D">
                <w:rPr>
                  <w:rStyle w:val="Hyperlink"/>
                </w:rPr>
                <w:t>Regulations 603 CMR 7.06</w:t>
              </w:r>
            </w:hyperlink>
          </w:p>
        </w:tc>
        <w:tc>
          <w:tcPr>
            <w:tcW w:w="4320" w:type="dxa"/>
          </w:tcPr>
          <w:p w:rsidR="00CF69EA" w:rsidRPr="00F67A3D" w:rsidRDefault="003944B2" w:rsidP="00E87575">
            <w:r w:rsidRPr="00F67A3D">
              <w:t>SMKs govern the content requirements for</w:t>
            </w:r>
            <w:r w:rsidR="001D512B" w:rsidRPr="00F67A3D">
              <w:t xml:space="preserve"> licensure in Massachusetts. Some</w:t>
            </w:r>
            <w:r w:rsidRPr="00F67A3D">
              <w:t xml:space="preserve"> Massachusetts Test</w:t>
            </w:r>
            <w:r w:rsidR="00CF69EA" w:rsidRPr="00F67A3D">
              <w:t>s</w:t>
            </w:r>
            <w:r w:rsidRPr="00F67A3D">
              <w:t xml:space="preserve"> for Educator Licensure</w:t>
            </w:r>
            <w:r w:rsidR="00CF69EA" w:rsidRPr="00F67A3D">
              <w:t xml:space="preserve"> (MTELs)</w:t>
            </w:r>
            <w:r w:rsidRPr="00F67A3D">
              <w:t xml:space="preserve"> are an assessment of the Subject-Matter Knowledge Requirements. ESE convened a working group to update the SMK in alignment with the MA Curriculum Frameworks. ESE anticipates </w:t>
            </w:r>
            <w:r w:rsidR="00AF2A9F" w:rsidRPr="00F67A3D">
              <w:t xml:space="preserve">bringing </w:t>
            </w:r>
            <w:r w:rsidR="00486E93" w:rsidRPr="00F67A3D">
              <w:t>a new set of SMKs to</w:t>
            </w:r>
            <w:r w:rsidRPr="00F67A3D">
              <w:t xml:space="preserve"> the </w:t>
            </w:r>
            <w:r w:rsidR="00AF2A9F" w:rsidRPr="00F67A3D">
              <w:t>BESE</w:t>
            </w:r>
            <w:r w:rsidRPr="00F67A3D">
              <w:t xml:space="preserve"> in </w:t>
            </w:r>
            <w:r w:rsidR="00AF2A9F" w:rsidRPr="00F67A3D">
              <w:t>January</w:t>
            </w:r>
            <w:r w:rsidRPr="00F67A3D">
              <w:t xml:space="preserve"> 201</w:t>
            </w:r>
            <w:r w:rsidR="00AF2A9F" w:rsidRPr="00F67A3D">
              <w:t>5</w:t>
            </w:r>
            <w:r w:rsidRPr="00F67A3D">
              <w:t xml:space="preserve">. </w:t>
            </w:r>
          </w:p>
          <w:p w:rsidR="00FA403A" w:rsidRPr="00F67A3D" w:rsidRDefault="00FA403A" w:rsidP="00E87575"/>
        </w:tc>
        <w:tc>
          <w:tcPr>
            <w:tcW w:w="4410" w:type="dxa"/>
          </w:tcPr>
          <w:p w:rsidR="001C58CE" w:rsidRPr="00F67A3D" w:rsidRDefault="003944B2" w:rsidP="00E87575">
            <w:r w:rsidRPr="00F67A3D">
              <w:t>In the same way that the PSTs</w:t>
            </w:r>
            <w:r w:rsidR="00F941F9">
              <w:t xml:space="preserve"> and indicators</w:t>
            </w:r>
            <w:r w:rsidRPr="00F67A3D">
              <w:t xml:space="preserve"> speak to candidates’ pedagogical knowledge and skills, the SMKs detail the requirements for demonstrated content mastery. Subsequently, together the SMK and PSTs</w:t>
            </w:r>
            <w:r w:rsidR="00632EE1">
              <w:t xml:space="preserve"> and indicators</w:t>
            </w:r>
            <w:r w:rsidRPr="00F67A3D">
              <w:t xml:space="preserve"> are the foundation on which all preparation programs should be designed. </w:t>
            </w:r>
            <w:r w:rsidR="00FC19F5" w:rsidRPr="00F67A3D">
              <w:t>As preparation providers revi</w:t>
            </w:r>
            <w:r w:rsidR="00632EE1">
              <w:t>se programs according to the</w:t>
            </w:r>
            <w:r w:rsidR="00FC19F5" w:rsidRPr="00F67A3D">
              <w:t xml:space="preserve"> PSTs</w:t>
            </w:r>
            <w:r w:rsidR="00632EE1">
              <w:t xml:space="preserve"> and indicators</w:t>
            </w:r>
            <w:r w:rsidR="00FC19F5" w:rsidRPr="00F67A3D">
              <w:t xml:space="preserve"> they should do so with the new SMKs in mind as well. </w:t>
            </w:r>
            <w:r w:rsidR="00CF69EA" w:rsidRPr="00F67A3D">
              <w:t xml:space="preserve"> See implementation section below. </w:t>
            </w:r>
          </w:p>
        </w:tc>
      </w:tr>
      <w:tr w:rsidR="001C58CE" w:rsidRPr="00F67A3D" w:rsidTr="00F67A3D">
        <w:tc>
          <w:tcPr>
            <w:tcW w:w="1800" w:type="dxa"/>
          </w:tcPr>
          <w:p w:rsidR="001C58CE" w:rsidRPr="00F67A3D" w:rsidRDefault="00CF69EA" w:rsidP="00542369">
            <w:r w:rsidRPr="00F67A3D">
              <w:t xml:space="preserve">Teacher Performance Assessment </w:t>
            </w:r>
            <w:r w:rsidR="00A41F8B" w:rsidRPr="00F67A3D">
              <w:t>(TPA)</w:t>
            </w:r>
            <w:r w:rsidR="00BA4C1B">
              <w:t xml:space="preserve"> </w:t>
            </w:r>
          </w:p>
        </w:tc>
        <w:tc>
          <w:tcPr>
            <w:tcW w:w="4320" w:type="dxa"/>
          </w:tcPr>
          <w:p w:rsidR="001C58CE" w:rsidRPr="00F67A3D" w:rsidRDefault="00CF69EA" w:rsidP="00E87575">
            <w:r w:rsidRPr="00F67A3D">
              <w:t xml:space="preserve">All preparation programs are required to assess candidates’ readiness for licensure using a department-defined performance assessment. Currently referred to as the Pre-Service Performance Assessment (PPA), ESE is developing a new performance assessment that further strengthens the alignment between preparation and in-service. The Teacher Performance Assessment will </w:t>
            </w:r>
            <w:r w:rsidR="00AF2A9F" w:rsidRPr="00F67A3D">
              <w:t xml:space="preserve">be modeled after </w:t>
            </w:r>
            <w:r w:rsidRPr="00F67A3D">
              <w:t xml:space="preserve">the </w:t>
            </w:r>
            <w:hyperlink r:id="rId27" w:history="1">
              <w:r w:rsidR="00835ED3" w:rsidRPr="00F67A3D">
                <w:rPr>
                  <w:rStyle w:val="Hyperlink"/>
                </w:rPr>
                <w:t xml:space="preserve">MA Model System for </w:t>
              </w:r>
              <w:r w:rsidRPr="00F67A3D">
                <w:rPr>
                  <w:rStyle w:val="Hyperlink"/>
                </w:rPr>
                <w:t>Educator Evaluation</w:t>
              </w:r>
            </w:hyperlink>
            <w:r w:rsidRPr="00F67A3D">
              <w:t xml:space="preserve">. </w:t>
            </w:r>
          </w:p>
          <w:p w:rsidR="00F86A77" w:rsidRPr="00F67A3D" w:rsidRDefault="00F86A77" w:rsidP="00E87575"/>
          <w:p w:rsidR="00F86A77" w:rsidRPr="00F67A3D" w:rsidRDefault="00FE529D" w:rsidP="00E87575">
            <w:hyperlink r:id="rId28" w:history="1">
              <w:r w:rsidR="00F86A77" w:rsidRPr="00F67A3D">
                <w:rPr>
                  <w:rStyle w:val="Hyperlink"/>
                </w:rPr>
                <w:t>http://www.doe.mass.edu/edprep/</w:t>
              </w:r>
            </w:hyperlink>
          </w:p>
          <w:p w:rsidR="00F86A77" w:rsidRPr="00F67A3D" w:rsidRDefault="00F86A77" w:rsidP="00E87575"/>
        </w:tc>
        <w:tc>
          <w:tcPr>
            <w:tcW w:w="4410" w:type="dxa"/>
          </w:tcPr>
          <w:p w:rsidR="001C58CE" w:rsidRPr="00F67A3D" w:rsidRDefault="00CF69EA" w:rsidP="00542369">
            <w:r w:rsidRPr="00F67A3D">
              <w:t>The new Teacher Performance Assessment will assess candidates on the PSTs</w:t>
            </w:r>
            <w:r w:rsidR="00542369">
              <w:t xml:space="preserve"> and indicators</w:t>
            </w:r>
            <w:r w:rsidRPr="00F67A3D">
              <w:t xml:space="preserve"> outlined in these guidelines. </w:t>
            </w:r>
            <w:r w:rsidR="00542369">
              <w:t>Successful completion</w:t>
            </w:r>
            <w:r w:rsidR="00DA0B99">
              <w:t xml:space="preserve"> f</w:t>
            </w:r>
            <w:r w:rsidR="00542369">
              <w:t>n the</w:t>
            </w:r>
            <w:r w:rsidR="00BA4C1B">
              <w:t xml:space="preserve"> Teacher Performance Assessment </w:t>
            </w:r>
            <w:r w:rsidR="00542369">
              <w:t xml:space="preserve">will be required for program completion.  </w:t>
            </w:r>
            <w:r w:rsidRPr="00F67A3D">
              <w:t xml:space="preserve">See implementation section below. </w:t>
            </w:r>
          </w:p>
        </w:tc>
      </w:tr>
      <w:tr w:rsidR="001C58CE" w:rsidRPr="00F67A3D" w:rsidTr="00F67A3D">
        <w:tc>
          <w:tcPr>
            <w:tcW w:w="1800" w:type="dxa"/>
          </w:tcPr>
          <w:p w:rsidR="001C58CE" w:rsidRPr="00F67A3D" w:rsidRDefault="00F86A77" w:rsidP="00E87575">
            <w:r w:rsidRPr="00F67A3D">
              <w:t>Program Review P</w:t>
            </w:r>
            <w:r w:rsidR="001C58CE" w:rsidRPr="00F67A3D">
              <w:t>rocess</w:t>
            </w:r>
          </w:p>
        </w:tc>
        <w:tc>
          <w:tcPr>
            <w:tcW w:w="4320" w:type="dxa"/>
          </w:tcPr>
          <w:p w:rsidR="001C58CE" w:rsidRPr="00F67A3D" w:rsidRDefault="00F86A77" w:rsidP="00E87575">
            <w:r w:rsidRPr="00F67A3D">
              <w:t>All preparation providers undergo formal review of their programs every 7 years.  Approval allows preparation organizations to endorse candidates f</w:t>
            </w:r>
            <w:r w:rsidR="00333E09" w:rsidRPr="00F67A3D">
              <w:t xml:space="preserve">or licensure. </w:t>
            </w:r>
            <w:r w:rsidRPr="00F67A3D">
              <w:t xml:space="preserve">ESE has developed a comprehensive review process for evaluating preparation programs </w:t>
            </w:r>
            <w:r w:rsidR="00333E09" w:rsidRPr="00F67A3D">
              <w:t>based on the Program Approval Standards adopted in June 2012</w:t>
            </w:r>
            <w:r w:rsidRPr="00F67A3D">
              <w:t>. The first full implementation of the standards using this enhanced process occurred in the 2014-</w:t>
            </w:r>
            <w:r w:rsidR="00542369">
              <w:t xml:space="preserve">2015 </w:t>
            </w:r>
            <w:r w:rsidR="00E114F9">
              <w:t>school</w:t>
            </w:r>
            <w:r w:rsidRPr="00F67A3D">
              <w:t xml:space="preserve"> year. </w:t>
            </w:r>
            <w:r w:rsidR="009F127E" w:rsidRPr="00F67A3D">
              <w:t xml:space="preserve"> </w:t>
            </w:r>
          </w:p>
          <w:p w:rsidR="00F86A77" w:rsidRPr="00F67A3D" w:rsidRDefault="00F86A77" w:rsidP="00E87575"/>
          <w:p w:rsidR="00F86A77" w:rsidRPr="00F67A3D" w:rsidRDefault="00FE529D" w:rsidP="00E87575">
            <w:hyperlink r:id="rId29" w:history="1">
              <w:r w:rsidR="00F86A77" w:rsidRPr="00F67A3D">
                <w:rPr>
                  <w:rStyle w:val="Hyperlink"/>
                </w:rPr>
                <w:t>http://www.doe.mass.edu/edprep/pr.html</w:t>
              </w:r>
            </w:hyperlink>
          </w:p>
          <w:p w:rsidR="00F86A77" w:rsidRPr="00F67A3D" w:rsidRDefault="00F86A77" w:rsidP="00E87575"/>
        </w:tc>
        <w:tc>
          <w:tcPr>
            <w:tcW w:w="4410" w:type="dxa"/>
          </w:tcPr>
          <w:p w:rsidR="001C58CE" w:rsidRPr="00F67A3D" w:rsidRDefault="00F86A77" w:rsidP="00E87575">
            <w:r w:rsidRPr="00F67A3D">
              <w:lastRenderedPageBreak/>
              <w:t xml:space="preserve">The </w:t>
            </w:r>
            <w:hyperlink r:id="rId30" w:history="1">
              <w:r w:rsidRPr="00874127">
                <w:rPr>
                  <w:rStyle w:val="Hyperlink"/>
                </w:rPr>
                <w:t>Program Approval Standards</w:t>
              </w:r>
            </w:hyperlink>
            <w:r w:rsidRPr="00F67A3D">
              <w:t xml:space="preserve"> require</w:t>
            </w:r>
            <w:r w:rsidR="00BA4C1B" w:rsidRPr="00F67A3D">
              <w:t xml:space="preserve"> </w:t>
            </w:r>
            <w:r w:rsidRPr="00F67A3D">
              <w:t>Sponsoring Organizations</w:t>
            </w:r>
            <w:r w:rsidR="00874127">
              <w:t xml:space="preserve"> to</w:t>
            </w:r>
            <w:r w:rsidRPr="00F67A3D">
              <w:t xml:space="preserve"> “ensure that completers hav</w:t>
            </w:r>
            <w:r w:rsidR="00874127">
              <w:t xml:space="preserve">e been assessed and </w:t>
            </w:r>
            <w:r w:rsidRPr="00F67A3D">
              <w:t>mastered the Professional Standards for Teachers</w:t>
            </w:r>
            <w:r w:rsidR="00874127">
              <w:t>…</w:t>
            </w:r>
            <w:r w:rsidRPr="00F67A3D">
              <w:t>” Subsequently, providers are responsible for updating their</w:t>
            </w:r>
            <w:r w:rsidR="00445DC3">
              <w:t xml:space="preserve"> programs to incorporate the</w:t>
            </w:r>
            <w:r w:rsidRPr="00F67A3D">
              <w:t xml:space="preserve"> standards and for assessing candidates against them. </w:t>
            </w:r>
            <w:r w:rsidR="00226F87" w:rsidRPr="00F67A3D">
              <w:t xml:space="preserve">The criteria programs are evaluated on should inform redesign efforts. </w:t>
            </w:r>
            <w:r w:rsidRPr="00F67A3D">
              <w:t xml:space="preserve">See implementation section below. </w:t>
            </w:r>
          </w:p>
          <w:p w:rsidR="00A41F8B" w:rsidRPr="00F67A3D" w:rsidRDefault="00A41F8B" w:rsidP="00E87575"/>
          <w:p w:rsidR="00A41F8B" w:rsidRPr="00F67A3D" w:rsidRDefault="00A41F8B" w:rsidP="00B64A5E">
            <w:r w:rsidRPr="00F67A3D">
              <w:t xml:space="preserve">Beginning in </w:t>
            </w:r>
            <w:r w:rsidR="00445DC3">
              <w:t xml:space="preserve">the </w:t>
            </w:r>
            <w:r w:rsidRPr="00F67A3D">
              <w:t>2016-2017</w:t>
            </w:r>
            <w:r w:rsidR="00445DC3">
              <w:t xml:space="preserve"> school year</w:t>
            </w:r>
            <w:r w:rsidRPr="00F67A3D">
              <w:t xml:space="preserve">, </w:t>
            </w:r>
            <w:r w:rsidR="00445DC3">
              <w:t>Sponsoring O</w:t>
            </w:r>
            <w:r w:rsidRPr="00F67A3D">
              <w:t xml:space="preserve">rganizations will be required to submit </w:t>
            </w:r>
            <w:r w:rsidR="00B64A5E" w:rsidRPr="00F67A3D">
              <w:t xml:space="preserve">updated </w:t>
            </w:r>
            <w:r w:rsidRPr="00F67A3D">
              <w:t>program documents for review. Data produced as a result of the new PSTs</w:t>
            </w:r>
            <w:r w:rsidR="00445DC3">
              <w:t xml:space="preserve"> and indicators</w:t>
            </w:r>
            <w:r w:rsidRPr="00F67A3D">
              <w:t xml:space="preserve"> and TPA will be part of the review in </w:t>
            </w:r>
            <w:r w:rsidR="00445DC3">
              <w:t xml:space="preserve">the </w:t>
            </w:r>
            <w:r w:rsidRPr="00F67A3D">
              <w:t>2017-2018</w:t>
            </w:r>
            <w:r w:rsidR="00445DC3">
              <w:t xml:space="preserve"> school year</w:t>
            </w:r>
            <w:r w:rsidRPr="00F67A3D">
              <w:t xml:space="preserve">. </w:t>
            </w:r>
          </w:p>
        </w:tc>
      </w:tr>
      <w:tr w:rsidR="00AE3006" w:rsidRPr="00F67A3D" w:rsidTr="00F67A3D">
        <w:tc>
          <w:tcPr>
            <w:tcW w:w="1800" w:type="dxa"/>
          </w:tcPr>
          <w:p w:rsidR="00AE3006" w:rsidRPr="00F67A3D" w:rsidRDefault="00AE3006" w:rsidP="006A6AEA">
            <w:r w:rsidRPr="00F67A3D">
              <w:lastRenderedPageBreak/>
              <w:t>Re-e</w:t>
            </w:r>
            <w:r w:rsidR="006A6AEA" w:rsidRPr="00F67A3D">
              <w:t xml:space="preserve">nvisioning </w:t>
            </w:r>
            <w:r w:rsidRPr="00F67A3D">
              <w:t>Licensure</w:t>
            </w:r>
          </w:p>
        </w:tc>
        <w:tc>
          <w:tcPr>
            <w:tcW w:w="4320" w:type="dxa"/>
          </w:tcPr>
          <w:p w:rsidR="00CB3942" w:rsidRPr="00F67A3D" w:rsidRDefault="00D640F3" w:rsidP="00E87575">
            <w:r w:rsidRPr="00F67A3D">
              <w:t xml:space="preserve">In spring 2014, </w:t>
            </w:r>
            <w:r w:rsidR="00CB3942" w:rsidRPr="00F67A3D">
              <w:t>ESE</w:t>
            </w:r>
            <w:r w:rsidR="00F86A77" w:rsidRPr="00F67A3D">
              <w:t xml:space="preserve"> embarked on an initiative to </w:t>
            </w:r>
            <w:r w:rsidR="00345F70" w:rsidRPr="00F67A3D">
              <w:t>re-examin</w:t>
            </w:r>
            <w:r w:rsidR="00FB2C34" w:rsidRPr="00F67A3D">
              <w:t>e</w:t>
            </w:r>
            <w:r w:rsidR="00345F70" w:rsidRPr="00F67A3D">
              <w:t xml:space="preserve"> existing licensure policies.</w:t>
            </w:r>
            <w:r w:rsidR="00F57B9C" w:rsidRPr="00F67A3D">
              <w:t xml:space="preserve"> ESE is committed to a licensure system that is</w:t>
            </w:r>
            <w:r w:rsidRPr="00F67A3D">
              <w:t xml:space="preserve">: </w:t>
            </w:r>
          </w:p>
          <w:p w:rsidR="00CB3942" w:rsidRPr="00F67A3D" w:rsidRDefault="00D640F3" w:rsidP="00E87575">
            <w:r w:rsidRPr="00F67A3D">
              <w:t>1)</w:t>
            </w:r>
            <w:r w:rsidR="00F57B9C" w:rsidRPr="00F67A3D">
              <w:t xml:space="preserve"> in alignment with other educator effectiveness policies in the Commonwealth, </w:t>
            </w:r>
            <w:r w:rsidRPr="00F67A3D">
              <w:t>2)</w:t>
            </w:r>
            <w:r w:rsidR="00F57B9C" w:rsidRPr="00F67A3D">
              <w:t xml:space="preserve"> meaningful for educators and</w:t>
            </w:r>
          </w:p>
          <w:p w:rsidR="00F57B9C" w:rsidRPr="00F67A3D" w:rsidRDefault="00D640F3" w:rsidP="00E87575">
            <w:r w:rsidRPr="00F67A3D">
              <w:t>3)</w:t>
            </w:r>
            <w:r w:rsidR="00F57B9C" w:rsidRPr="00F67A3D">
              <w:t xml:space="preserve"> streamlined.  </w:t>
            </w:r>
          </w:p>
          <w:p w:rsidR="00F57B9C" w:rsidRPr="00F67A3D" w:rsidRDefault="00FE529D" w:rsidP="00E87575">
            <w:hyperlink r:id="rId31" w:history="1">
              <w:r w:rsidR="00F57B9C" w:rsidRPr="00F67A3D">
                <w:rPr>
                  <w:rStyle w:val="Hyperlink"/>
                </w:rPr>
                <w:t>http://www.doe.mass.edu/edprep/ntep.html</w:t>
              </w:r>
            </w:hyperlink>
          </w:p>
          <w:p w:rsidR="00F57B9C" w:rsidRPr="00F67A3D" w:rsidRDefault="00F57B9C" w:rsidP="00E87575"/>
        </w:tc>
        <w:tc>
          <w:tcPr>
            <w:tcW w:w="4410" w:type="dxa"/>
          </w:tcPr>
          <w:p w:rsidR="00AE3006" w:rsidRPr="00F67A3D" w:rsidRDefault="00F57B9C" w:rsidP="00FF01F3">
            <w:r w:rsidRPr="00F67A3D">
              <w:t xml:space="preserve">ESE does not anticipate changes to the standards (PSTs or SMKs) </w:t>
            </w:r>
            <w:r w:rsidR="00FF01F3" w:rsidRPr="00F67A3D">
              <w:t>as part of the licensure policy changes</w:t>
            </w:r>
            <w:r w:rsidRPr="00F67A3D">
              <w:t xml:space="preserve">. </w:t>
            </w:r>
            <w:r w:rsidR="007A0AD2" w:rsidRPr="00F67A3D">
              <w:t>While there may be other structural changes to the licensure system that may impact preparation, the</w:t>
            </w:r>
            <w:r w:rsidR="0011199B">
              <w:t>se</w:t>
            </w:r>
            <w:r w:rsidR="007A0AD2" w:rsidRPr="00F67A3D">
              <w:t xml:space="preserve"> standards are likely to remain a stable component of the regulations. </w:t>
            </w:r>
          </w:p>
        </w:tc>
      </w:tr>
    </w:tbl>
    <w:p w:rsidR="00D32201" w:rsidRDefault="00D32201"/>
    <w:p w:rsidR="00E87575" w:rsidRDefault="00E87575" w:rsidP="000F10FC">
      <w:pPr>
        <w:pStyle w:val="IntenseQuote"/>
        <w:spacing w:after="0"/>
      </w:pPr>
      <w:bookmarkStart w:id="6" w:name="Timeline"/>
      <w:r>
        <w:t>Timel</w:t>
      </w:r>
      <w:r w:rsidR="007164DB">
        <w:t xml:space="preserve">ine for Implementation </w:t>
      </w:r>
      <w:r w:rsidR="000F10FC">
        <w:t>and ESE’s Supporting Role</w:t>
      </w:r>
    </w:p>
    <w:p w:rsidR="000F10FC" w:rsidRDefault="000F10FC" w:rsidP="006F706F"/>
    <w:bookmarkEnd w:id="6"/>
    <w:p w:rsidR="007164DB" w:rsidRDefault="007164DB">
      <w:r>
        <w:t xml:space="preserve">Sponsoring Organizations are responsible for updating all </w:t>
      </w:r>
      <w:r w:rsidR="00246987">
        <w:t xml:space="preserve">teacher preparation </w:t>
      </w:r>
      <w:r>
        <w:t xml:space="preserve">programs in support of the </w:t>
      </w:r>
      <w:r w:rsidR="008D2262">
        <w:t>PSTs and indicators</w:t>
      </w:r>
      <w:r>
        <w:t>.  The PSTs</w:t>
      </w:r>
      <w:r w:rsidR="008D2262">
        <w:t xml:space="preserve"> and indicators</w:t>
      </w:r>
      <w:r>
        <w:t xml:space="preserve"> outlined in these guidelines differ significantly from </w:t>
      </w:r>
      <w:r w:rsidR="00184117">
        <w:t xml:space="preserve">the previously </w:t>
      </w:r>
      <w:r>
        <w:t xml:space="preserve">existing standards. Due to this shift, it is anticipated that programs will need to make substantive changes to the design and execution of their programs. While ESE recognizes that all </w:t>
      </w:r>
      <w:r w:rsidR="00FD0CDF">
        <w:t>Sponsoring O</w:t>
      </w:r>
      <w:r>
        <w:t>rganizations may require a different extent of redesign, all efforts should keep in mind that the PSTs</w:t>
      </w:r>
      <w:r w:rsidR="004A2369">
        <w:t xml:space="preserve"> and indicators</w:t>
      </w:r>
      <w:r>
        <w:t xml:space="preserve">, updates to the </w:t>
      </w:r>
      <w:r w:rsidR="00184117">
        <w:t xml:space="preserve">Subject Matter Knowledge requirements </w:t>
      </w:r>
      <w:r w:rsidR="00730BC6">
        <w:t>and the development of a new Teacher Performance A</w:t>
      </w:r>
      <w:r>
        <w:t>ssessment are closely linked initiatives that together encourage</w:t>
      </w:r>
      <w:r w:rsidRPr="007164DB">
        <w:t xml:space="preserve"> a shift that is evidence-driven, outcomes-based, and increasingly linked to district</w:t>
      </w:r>
      <w:r w:rsidR="00B64A5E">
        <w:t>s’</w:t>
      </w:r>
      <w:r w:rsidRPr="007164DB">
        <w:t xml:space="preserve"> need</w:t>
      </w:r>
      <w:r w:rsidR="00B64A5E">
        <w:t>s</w:t>
      </w:r>
      <w:r w:rsidRPr="007164DB">
        <w:t>.</w:t>
      </w:r>
    </w:p>
    <w:p w:rsidR="007164DB" w:rsidRDefault="007164DB"/>
    <w:p w:rsidR="00F56A6A" w:rsidRDefault="00184117">
      <w:r>
        <w:t>The B</w:t>
      </w:r>
      <w:r w:rsidR="00E6212E">
        <w:t>ESE</w:t>
      </w:r>
      <w:r>
        <w:t xml:space="preserve"> passed the </w:t>
      </w:r>
      <w:r w:rsidR="00E6212E">
        <w:t>PSTs</w:t>
      </w:r>
      <w:r w:rsidR="005B28F3">
        <w:t xml:space="preserve"> in January of 2014</w:t>
      </w:r>
      <w:r>
        <w:t>,</w:t>
      </w:r>
      <w:r w:rsidR="005B28F3">
        <w:t xml:space="preserve"> at which point </w:t>
      </w:r>
      <w:r w:rsidR="008C61EC">
        <w:t>Sponsoring O</w:t>
      </w:r>
      <w:r w:rsidR="005B28F3">
        <w:t xml:space="preserve">rganizations </w:t>
      </w:r>
      <w:r w:rsidR="00864E2F">
        <w:t>began</w:t>
      </w:r>
      <w:r w:rsidR="005B28F3">
        <w:t xml:space="preserve"> preparing for changes based on the </w:t>
      </w:r>
      <w:r w:rsidR="000D0EED">
        <w:t>revisions</w:t>
      </w:r>
      <w:r w:rsidR="005B28F3">
        <w:t xml:space="preserve">. Recognizing the significant shift these </w:t>
      </w:r>
      <w:r w:rsidR="00FA2EA3">
        <w:t>PSTs and indicators</w:t>
      </w:r>
      <w:r w:rsidR="005B28F3">
        <w:t xml:space="preserve"> require, ESE extended the typical 18-month implementation window</w:t>
      </w:r>
      <w:r>
        <w:t xml:space="preserve"> to a three-year implementation window</w:t>
      </w:r>
      <w:r w:rsidR="005B28F3">
        <w:t xml:space="preserve">. To allow for robust program redesign, ESE has outlined an implementation timeline over a three-year period. </w:t>
      </w:r>
      <w:r w:rsidR="0098006B">
        <w:t>The first year will allow programs to plan effectively</w:t>
      </w:r>
      <w:r w:rsidR="005B28F3">
        <w:t>;</w:t>
      </w:r>
      <w:r w:rsidR="0098006B">
        <w:t xml:space="preserve"> the second year </w:t>
      </w:r>
      <w:r w:rsidR="005B28F3">
        <w:t>allows intermediary steps to support transition;</w:t>
      </w:r>
      <w:r w:rsidR="0098006B">
        <w:t xml:space="preserve"> full implementation will take effect in the third year. The </w:t>
      </w:r>
      <w:r w:rsidR="005B28F3">
        <w:t>chart</w:t>
      </w:r>
      <w:r w:rsidR="0098006B">
        <w:t xml:space="preserve"> below represents the three-year implementation timeline.</w:t>
      </w:r>
    </w:p>
    <w:p w:rsidR="00AB7134" w:rsidRDefault="006F706F" w:rsidP="006F706F">
      <w:pPr>
        <w:jc w:val="center"/>
      </w:pPr>
      <w:r>
        <w:rPr>
          <w:noProof/>
          <w:lang w:eastAsia="zh-CN" w:bidi="km-KH"/>
        </w:rPr>
        <w:lastRenderedPageBreak/>
        <w:drawing>
          <wp:inline distT="0" distB="0" distL="0" distR="0">
            <wp:extent cx="5943600" cy="2998368"/>
            <wp:effectExtent l="0" t="0" r="0" b="0"/>
            <wp:docPr id="6" name="Picture 2" descr="Flow chart illustrating Phase 1: Initiate (2014-2015) to Phase 2: Install (2015-2016) to Phase 3: Implement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5943600" cy="2998368"/>
                    </a:xfrm>
                    <a:prstGeom prst="rect">
                      <a:avLst/>
                    </a:prstGeom>
                    <a:noFill/>
                    <a:ln w="9525">
                      <a:noFill/>
                      <a:miter lim="800000"/>
                      <a:headEnd/>
                      <a:tailEnd/>
                    </a:ln>
                  </pic:spPr>
                </pic:pic>
              </a:graphicData>
            </a:graphic>
          </wp:inline>
        </w:drawing>
      </w:r>
    </w:p>
    <w:p w:rsidR="00000677" w:rsidRDefault="00000677">
      <w:pPr>
        <w:rPr>
          <w:bCs/>
          <w:i/>
          <w:iCs/>
          <w:color w:val="1F497D"/>
        </w:rPr>
      </w:pPr>
    </w:p>
    <w:p w:rsidR="00D3684B" w:rsidRPr="00AB7134" w:rsidRDefault="006B0097" w:rsidP="00AB7134">
      <w:pPr>
        <w:pStyle w:val="IntenseQuote"/>
        <w:spacing w:before="0" w:after="0"/>
        <w:rPr>
          <w:szCs w:val="22"/>
          <w:u w:val="single"/>
        </w:rPr>
      </w:pPr>
      <w:r>
        <w:t xml:space="preserve">ESE’s </w:t>
      </w:r>
      <w:r w:rsidR="00FC53E1">
        <w:t>Support</w:t>
      </w:r>
      <w:r>
        <w:t xml:space="preserve"> in Implementation</w:t>
      </w:r>
    </w:p>
    <w:p w:rsidR="00853CAA" w:rsidRDefault="00194370">
      <w:pPr>
        <w:rPr>
          <w:szCs w:val="22"/>
        </w:rPr>
      </w:pPr>
      <w:r>
        <w:rPr>
          <w:szCs w:val="22"/>
        </w:rPr>
        <w:t>Sponsoring Organizations</w:t>
      </w:r>
      <w:r w:rsidR="00A21B9D">
        <w:rPr>
          <w:szCs w:val="22"/>
        </w:rPr>
        <w:t xml:space="preserve"> are chiefly responsible for implementing the PSTs</w:t>
      </w:r>
      <w:r w:rsidR="00231EB9">
        <w:rPr>
          <w:szCs w:val="22"/>
        </w:rPr>
        <w:t xml:space="preserve"> and indicators</w:t>
      </w:r>
      <w:r w:rsidR="00A21B9D">
        <w:rPr>
          <w:szCs w:val="22"/>
        </w:rPr>
        <w:t xml:space="preserve">. </w:t>
      </w:r>
      <w:r w:rsidR="00AB7134">
        <w:rPr>
          <w:szCs w:val="22"/>
        </w:rPr>
        <w:t xml:space="preserve"> In support of this,</w:t>
      </w:r>
      <w:r w:rsidR="00E57C72">
        <w:rPr>
          <w:szCs w:val="22"/>
        </w:rPr>
        <w:t xml:space="preserve"> </w:t>
      </w:r>
      <w:r w:rsidR="00AB7134">
        <w:rPr>
          <w:szCs w:val="22"/>
        </w:rPr>
        <w:t xml:space="preserve">ESE has invested significantly in developing a mechanism for collaboration and </w:t>
      </w:r>
      <w:r w:rsidR="002F1791">
        <w:rPr>
          <w:szCs w:val="22"/>
        </w:rPr>
        <w:t>feedback</w:t>
      </w:r>
      <w:r w:rsidR="00AB7134">
        <w:rPr>
          <w:szCs w:val="22"/>
        </w:rPr>
        <w:t xml:space="preserve"> as </w:t>
      </w:r>
      <w:r w:rsidR="002178E5">
        <w:rPr>
          <w:szCs w:val="22"/>
        </w:rPr>
        <w:t>Sponsoring O</w:t>
      </w:r>
      <w:r w:rsidR="00AB7134">
        <w:rPr>
          <w:szCs w:val="22"/>
        </w:rPr>
        <w:t>rganizations make program changes that support teacher readiness</w:t>
      </w:r>
      <w:r w:rsidR="002F1791">
        <w:rPr>
          <w:szCs w:val="22"/>
        </w:rPr>
        <w:t>.</w:t>
      </w:r>
      <w:r w:rsidR="006F706F">
        <w:rPr>
          <w:szCs w:val="22"/>
        </w:rPr>
        <w:t xml:space="preserve"> </w:t>
      </w:r>
      <w:r w:rsidR="002F1791">
        <w:rPr>
          <w:szCs w:val="22"/>
        </w:rPr>
        <w:t xml:space="preserve">ESE believes that this approach is responsive to previous feedback received from the field and will result in more productive efforts </w:t>
      </w:r>
      <w:r w:rsidR="00A23E82">
        <w:rPr>
          <w:szCs w:val="22"/>
        </w:rPr>
        <w:t>to support SO’s full implementation.</w:t>
      </w:r>
      <w:r w:rsidR="002F1791">
        <w:rPr>
          <w:szCs w:val="22"/>
        </w:rPr>
        <w:t xml:space="preserve"> </w:t>
      </w:r>
    </w:p>
    <w:p w:rsidR="00FC53E1" w:rsidRDefault="00FC53E1">
      <w:pPr>
        <w:rPr>
          <w:szCs w:val="22"/>
        </w:rPr>
      </w:pPr>
    </w:p>
    <w:p w:rsidR="00FC53E1" w:rsidRDefault="00FC53E1">
      <w:pPr>
        <w:rPr>
          <w:szCs w:val="22"/>
        </w:rPr>
      </w:pPr>
      <w:r w:rsidRPr="00FC53E1">
        <w:rPr>
          <w:szCs w:val="22"/>
        </w:rPr>
        <w:t>Specifically, ESE is interested in fostering collaboration across Sponsoring Organizations and programs</w:t>
      </w:r>
      <w:r w:rsidR="002F1791">
        <w:rPr>
          <w:szCs w:val="22"/>
        </w:rPr>
        <w:t>;</w:t>
      </w:r>
      <w:r w:rsidRPr="00FC53E1">
        <w:rPr>
          <w:szCs w:val="22"/>
        </w:rPr>
        <w:t xml:space="preserve"> illuminating promising practices and trends</w:t>
      </w:r>
      <w:r w:rsidR="002F1791">
        <w:rPr>
          <w:szCs w:val="22"/>
        </w:rPr>
        <w:t>;</w:t>
      </w:r>
      <w:r w:rsidRPr="00FC53E1">
        <w:rPr>
          <w:szCs w:val="22"/>
        </w:rPr>
        <w:t xml:space="preserve"> </w:t>
      </w:r>
      <w:r w:rsidR="00FC7944">
        <w:rPr>
          <w:szCs w:val="22"/>
        </w:rPr>
        <w:t>encouraging</w:t>
      </w:r>
      <w:r w:rsidRPr="00FC53E1">
        <w:rPr>
          <w:szCs w:val="22"/>
        </w:rPr>
        <w:t xml:space="preserve"> innovation and creativity</w:t>
      </w:r>
      <w:r w:rsidR="002F1791">
        <w:rPr>
          <w:szCs w:val="22"/>
        </w:rPr>
        <w:t>;</w:t>
      </w:r>
      <w:r w:rsidRPr="00FC53E1">
        <w:rPr>
          <w:szCs w:val="22"/>
        </w:rPr>
        <w:t xml:space="preserve"> and providing concrete, actionable feedback as </w:t>
      </w:r>
      <w:r w:rsidR="00AB4CCF">
        <w:rPr>
          <w:szCs w:val="22"/>
        </w:rPr>
        <w:t>Sponsoring Organizations</w:t>
      </w:r>
      <w:r w:rsidRPr="00FC53E1">
        <w:rPr>
          <w:szCs w:val="22"/>
        </w:rPr>
        <w:t xml:space="preserve"> make changes to their existing program mo</w:t>
      </w:r>
      <w:r w:rsidR="00AB4CCF">
        <w:rPr>
          <w:szCs w:val="22"/>
        </w:rPr>
        <w:t>dels. Work done during Phase 1-Initiate</w:t>
      </w:r>
      <w:r w:rsidR="00855174">
        <w:rPr>
          <w:szCs w:val="22"/>
        </w:rPr>
        <w:t xml:space="preserve"> </w:t>
      </w:r>
      <w:r w:rsidR="00E26811">
        <w:rPr>
          <w:szCs w:val="22"/>
        </w:rPr>
        <w:t xml:space="preserve">in </w:t>
      </w:r>
      <w:r w:rsidR="00AB4CCF">
        <w:rPr>
          <w:szCs w:val="22"/>
        </w:rPr>
        <w:t xml:space="preserve">the </w:t>
      </w:r>
      <w:r w:rsidR="00E26811">
        <w:rPr>
          <w:szCs w:val="22"/>
        </w:rPr>
        <w:t>2014</w:t>
      </w:r>
      <w:r w:rsidR="00184117">
        <w:rPr>
          <w:szCs w:val="22"/>
        </w:rPr>
        <w:t>-201</w:t>
      </w:r>
      <w:r w:rsidR="00E26811">
        <w:rPr>
          <w:szCs w:val="22"/>
        </w:rPr>
        <w:t>5</w:t>
      </w:r>
      <w:r w:rsidR="00AB4CCF">
        <w:rPr>
          <w:szCs w:val="22"/>
        </w:rPr>
        <w:t xml:space="preserve"> school year</w:t>
      </w:r>
      <w:r w:rsidR="00855174">
        <w:rPr>
          <w:szCs w:val="22"/>
        </w:rPr>
        <w:t xml:space="preserve"> </w:t>
      </w:r>
      <w:r w:rsidRPr="00FC53E1">
        <w:rPr>
          <w:szCs w:val="22"/>
        </w:rPr>
        <w:t xml:space="preserve">will ensure that Sponsoring Organizations are ready for </w:t>
      </w:r>
      <w:r w:rsidR="00855174">
        <w:rPr>
          <w:szCs w:val="22"/>
        </w:rPr>
        <w:t>Phase 2-Install</w:t>
      </w:r>
      <w:r w:rsidRPr="00FC53E1">
        <w:rPr>
          <w:szCs w:val="22"/>
        </w:rPr>
        <w:t xml:space="preserve"> in </w:t>
      </w:r>
      <w:r w:rsidR="00855174">
        <w:rPr>
          <w:szCs w:val="22"/>
        </w:rPr>
        <w:t xml:space="preserve">the </w:t>
      </w:r>
      <w:r w:rsidRPr="00FC53E1">
        <w:rPr>
          <w:szCs w:val="22"/>
        </w:rPr>
        <w:t>2015-</w:t>
      </w:r>
      <w:r w:rsidR="00E26811">
        <w:rPr>
          <w:szCs w:val="22"/>
        </w:rPr>
        <w:t>20</w:t>
      </w:r>
      <w:r w:rsidRPr="00FC53E1">
        <w:rPr>
          <w:szCs w:val="22"/>
        </w:rPr>
        <w:t>16</w:t>
      </w:r>
      <w:r w:rsidR="00855174">
        <w:rPr>
          <w:szCs w:val="22"/>
        </w:rPr>
        <w:t xml:space="preserve"> school year</w:t>
      </w:r>
      <w:r w:rsidRPr="00FC53E1">
        <w:rPr>
          <w:szCs w:val="22"/>
        </w:rPr>
        <w:t xml:space="preserve">, during which they will execute their plans. Throughout </w:t>
      </w:r>
      <w:r w:rsidR="00E07C8F">
        <w:rPr>
          <w:szCs w:val="22"/>
        </w:rPr>
        <w:t>Phase 2-Install</w:t>
      </w:r>
      <w:r w:rsidRPr="00FC53E1">
        <w:rPr>
          <w:szCs w:val="22"/>
        </w:rPr>
        <w:t>, Sponsoring Organizations will be asked to make any necessary revisions based on ongoing monitoring and evaluation of the initiation plan.</w:t>
      </w:r>
    </w:p>
    <w:p w:rsidR="002F1791" w:rsidRDefault="002F1791" w:rsidP="002F1791">
      <w:pPr>
        <w:rPr>
          <w:szCs w:val="22"/>
        </w:rPr>
      </w:pPr>
    </w:p>
    <w:p w:rsidR="00561265" w:rsidRDefault="00FF01F3" w:rsidP="002F1791">
      <w:pPr>
        <w:rPr>
          <w:szCs w:val="22"/>
        </w:rPr>
      </w:pPr>
      <w:r>
        <w:rPr>
          <w:szCs w:val="22"/>
        </w:rPr>
        <w:t>A</w:t>
      </w:r>
      <w:r w:rsidR="002F1791">
        <w:rPr>
          <w:szCs w:val="22"/>
        </w:rPr>
        <w:t xml:space="preserve">ll Sponsoring Organizations will be </w:t>
      </w:r>
      <w:r w:rsidR="00920AAE">
        <w:rPr>
          <w:szCs w:val="22"/>
        </w:rPr>
        <w:t xml:space="preserve">accountable for the results of their program revisions during the formal review process beginning in </w:t>
      </w:r>
      <w:r w:rsidR="00286AA4">
        <w:rPr>
          <w:szCs w:val="22"/>
        </w:rPr>
        <w:t xml:space="preserve">the </w:t>
      </w:r>
      <w:r w:rsidR="00920AAE">
        <w:rPr>
          <w:szCs w:val="22"/>
        </w:rPr>
        <w:t>2016-2017</w:t>
      </w:r>
      <w:r w:rsidR="00286AA4">
        <w:rPr>
          <w:szCs w:val="22"/>
        </w:rPr>
        <w:t xml:space="preserve"> school year</w:t>
      </w:r>
      <w:r w:rsidR="00920AAE">
        <w:rPr>
          <w:szCs w:val="22"/>
        </w:rPr>
        <w:t xml:space="preserve"> and via annual reporting data beginning in </w:t>
      </w:r>
      <w:r w:rsidR="00286AA4">
        <w:rPr>
          <w:szCs w:val="22"/>
        </w:rPr>
        <w:t xml:space="preserve">the </w:t>
      </w:r>
      <w:r w:rsidR="00920AAE">
        <w:rPr>
          <w:szCs w:val="22"/>
        </w:rPr>
        <w:t>2017-2018</w:t>
      </w:r>
      <w:r w:rsidR="00286AA4">
        <w:rPr>
          <w:szCs w:val="22"/>
        </w:rPr>
        <w:t xml:space="preserve"> school year</w:t>
      </w:r>
      <w:r w:rsidR="00920AAE">
        <w:rPr>
          <w:szCs w:val="22"/>
        </w:rPr>
        <w:t xml:space="preserve">. </w:t>
      </w:r>
      <w:r w:rsidR="004C2BCA">
        <w:rPr>
          <w:szCs w:val="22"/>
        </w:rPr>
        <w:t xml:space="preserve">The </w:t>
      </w:r>
      <w:hyperlink r:id="rId33" w:history="1">
        <w:r w:rsidR="004C2BCA" w:rsidRPr="004C2BCA">
          <w:rPr>
            <w:rStyle w:val="Hyperlink"/>
            <w:szCs w:val="22"/>
          </w:rPr>
          <w:t>criteria</w:t>
        </w:r>
      </w:hyperlink>
      <w:r w:rsidR="004C2BCA">
        <w:rPr>
          <w:szCs w:val="22"/>
        </w:rPr>
        <w:t xml:space="preserve"> used in the evaluation of programs can help </w:t>
      </w:r>
      <w:r w:rsidR="008C1A9B">
        <w:rPr>
          <w:szCs w:val="22"/>
        </w:rPr>
        <w:t>Sponsoring O</w:t>
      </w:r>
      <w:r w:rsidR="00F80FA5">
        <w:rPr>
          <w:szCs w:val="22"/>
        </w:rPr>
        <w:t xml:space="preserve">rganizations </w:t>
      </w:r>
      <w:r w:rsidR="004C2BCA">
        <w:rPr>
          <w:szCs w:val="22"/>
        </w:rPr>
        <w:t xml:space="preserve">focus redesign efforts. </w:t>
      </w:r>
    </w:p>
    <w:p w:rsidR="00561265" w:rsidRDefault="00561265" w:rsidP="002F1791">
      <w:pPr>
        <w:rPr>
          <w:szCs w:val="22"/>
        </w:rPr>
      </w:pPr>
    </w:p>
    <w:p w:rsidR="00D32201" w:rsidRPr="002F1791" w:rsidRDefault="00561265" w:rsidP="002F1791">
      <w:pPr>
        <w:rPr>
          <w:szCs w:val="22"/>
        </w:rPr>
      </w:pPr>
      <w:r>
        <w:rPr>
          <w:szCs w:val="22"/>
        </w:rPr>
        <w:t xml:space="preserve">ESE maintains the authority to request additional documentation of any </w:t>
      </w:r>
      <w:r w:rsidR="00F2352B">
        <w:rPr>
          <w:szCs w:val="22"/>
        </w:rPr>
        <w:t>Sponsoring O</w:t>
      </w:r>
      <w:r>
        <w:rPr>
          <w:szCs w:val="22"/>
        </w:rPr>
        <w:t>rganization at any point to assess the quality of pre</w:t>
      </w:r>
      <w:r w:rsidR="006E3B5A">
        <w:rPr>
          <w:szCs w:val="22"/>
        </w:rPr>
        <w:t>paration provided to candidates.</w:t>
      </w:r>
      <w:r w:rsidR="00D32201" w:rsidRPr="002F1791">
        <w:rPr>
          <w:sz w:val="28"/>
        </w:rPr>
        <w:br w:type="page"/>
      </w:r>
    </w:p>
    <w:p w:rsidR="00541A5E" w:rsidRDefault="00541A5E" w:rsidP="00D32201">
      <w:pPr>
        <w:rPr>
          <w:color w:val="E36C0A"/>
          <w:sz w:val="28"/>
        </w:rPr>
        <w:sectPr w:rsidR="00541A5E" w:rsidSect="00FA403A">
          <w:headerReference w:type="even" r:id="rId34"/>
          <w:headerReference w:type="default" r:id="rId35"/>
          <w:footerReference w:type="default" r:id="rId36"/>
          <w:headerReference w:type="first" r:id="rId37"/>
          <w:pgSz w:w="12240" w:h="15840"/>
          <w:pgMar w:top="1440" w:right="1440" w:bottom="900" w:left="1440" w:header="720" w:footer="720" w:gutter="0"/>
          <w:pgNumType w:start="1"/>
          <w:cols w:space="720"/>
          <w:docGrid w:linePitch="360"/>
        </w:sectPr>
      </w:pPr>
    </w:p>
    <w:p w:rsidR="00D32201" w:rsidRPr="00B16679" w:rsidRDefault="00D32201" w:rsidP="00B16679">
      <w:pPr>
        <w:pStyle w:val="Heading1"/>
        <w:spacing w:before="0"/>
        <w:rPr>
          <w:rFonts w:asciiTheme="minorHAnsi" w:hAnsiTheme="minorHAnsi"/>
          <w:b w:val="0"/>
          <w:color w:val="F79646" w:themeColor="accent6"/>
        </w:rPr>
      </w:pPr>
      <w:bookmarkStart w:id="7" w:name="_Appendix_A"/>
      <w:bookmarkEnd w:id="7"/>
      <w:r w:rsidRPr="00B16679">
        <w:rPr>
          <w:rFonts w:asciiTheme="minorHAnsi" w:hAnsiTheme="minorHAnsi"/>
          <w:b w:val="0"/>
          <w:color w:val="F79646" w:themeColor="accent6"/>
        </w:rPr>
        <w:lastRenderedPageBreak/>
        <w:t>Appendix A</w:t>
      </w:r>
    </w:p>
    <w:p w:rsidR="002A4B82" w:rsidRDefault="002A4B82" w:rsidP="00B16679">
      <w:pPr>
        <w:pStyle w:val="IntenseQuote"/>
        <w:spacing w:before="0" w:after="0"/>
      </w:pPr>
      <w:r>
        <w:t xml:space="preserve">Professional Standards for </w:t>
      </w:r>
      <w:r w:rsidR="00874127">
        <w:t>Teachers: Standards &amp; Indicators</w:t>
      </w:r>
      <w:r w:rsidR="002669D9">
        <w:t xml:space="preserve"> </w:t>
      </w:r>
    </w:p>
    <w:p w:rsidR="002A4B82" w:rsidRDefault="002A4B82" w:rsidP="00000677">
      <w:pPr>
        <w:outlineLvl w:val="2"/>
        <w:rPr>
          <w:bCs/>
          <w:color w:val="000000"/>
        </w:rPr>
      </w:pPr>
      <w:bookmarkStart w:id="8" w:name="_Toc403470364"/>
      <w:r>
        <w:rPr>
          <w:bCs/>
          <w:color w:val="000000"/>
        </w:rPr>
        <w:t xml:space="preserve">The Board of Elementary and Secondary Education (BESE) passed Professional Standards for Teachers </w:t>
      </w:r>
      <w:r w:rsidR="00682215">
        <w:rPr>
          <w:bCs/>
          <w:color w:val="000000"/>
        </w:rPr>
        <w:t>(PST</w:t>
      </w:r>
      <w:r w:rsidR="0010633C">
        <w:rPr>
          <w:bCs/>
          <w:color w:val="000000"/>
        </w:rPr>
        <w:t>s</w:t>
      </w:r>
      <w:r w:rsidR="00682215">
        <w:rPr>
          <w:bCs/>
          <w:color w:val="000000"/>
        </w:rPr>
        <w:t>) in January 2014. These</w:t>
      </w:r>
      <w:r>
        <w:rPr>
          <w:bCs/>
          <w:color w:val="000000"/>
        </w:rPr>
        <w:t xml:space="preserve"> standards align expectations for pre</w:t>
      </w:r>
      <w:r w:rsidR="00E41AE5">
        <w:rPr>
          <w:bCs/>
          <w:color w:val="000000"/>
        </w:rPr>
        <w:t>paration</w:t>
      </w:r>
      <w:r>
        <w:rPr>
          <w:bCs/>
          <w:color w:val="000000"/>
        </w:rPr>
        <w:t xml:space="preserve"> candidates with those for in-service teachers as outlined in </w:t>
      </w:r>
      <w:r w:rsidR="00E57C72">
        <w:rPr>
          <w:bCs/>
          <w:color w:val="000000"/>
        </w:rPr>
        <w:t>Massachusetts’</w:t>
      </w:r>
      <w:r>
        <w:rPr>
          <w:bCs/>
          <w:color w:val="000000"/>
        </w:rPr>
        <w:t xml:space="preserve"> </w:t>
      </w:r>
      <w:r w:rsidR="00E57C72">
        <w:rPr>
          <w:bCs/>
          <w:color w:val="000000"/>
        </w:rPr>
        <w:t>Educator Evaluation</w:t>
      </w:r>
      <w:r w:rsidR="00B64A5E">
        <w:rPr>
          <w:bCs/>
          <w:color w:val="000000"/>
        </w:rPr>
        <w:t xml:space="preserve"> Framework</w:t>
      </w:r>
      <w:r>
        <w:rPr>
          <w:bCs/>
          <w:color w:val="000000"/>
        </w:rPr>
        <w:t xml:space="preserve">. As stated in the regulations, ESE is required to develop indicators in Guidelines. </w:t>
      </w:r>
      <w:r w:rsidRPr="0028704F">
        <w:rPr>
          <w:bCs/>
          <w:color w:val="000000"/>
        </w:rPr>
        <w:t xml:space="preserve">Indicators help define the foundational skills on which </w:t>
      </w:r>
      <w:r>
        <w:rPr>
          <w:bCs/>
          <w:color w:val="000000"/>
        </w:rPr>
        <w:t xml:space="preserve">teaching </w:t>
      </w:r>
      <w:r w:rsidRPr="0028704F">
        <w:rPr>
          <w:bCs/>
          <w:color w:val="000000"/>
        </w:rPr>
        <w:t>practice continues to improve with years of experience</w:t>
      </w:r>
      <w:r>
        <w:rPr>
          <w:bCs/>
          <w:color w:val="000000"/>
        </w:rPr>
        <w:t>.</w:t>
      </w:r>
      <w:bookmarkEnd w:id="8"/>
      <w:r>
        <w:rPr>
          <w:bCs/>
          <w:color w:val="000000"/>
        </w:rPr>
        <w:t xml:space="preserve"> </w:t>
      </w:r>
    </w:p>
    <w:p w:rsidR="00541A5E" w:rsidRPr="00E41AE5" w:rsidRDefault="00541A5E" w:rsidP="002A4B82">
      <w:pPr>
        <w:outlineLvl w:val="2"/>
        <w:rPr>
          <w:bCs/>
          <w:color w:val="000000"/>
          <w:sz w:val="16"/>
        </w:rPr>
      </w:pPr>
    </w:p>
    <w:tbl>
      <w:tblPr>
        <w:tblW w:w="14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9"/>
        <w:gridCol w:w="1361"/>
        <w:gridCol w:w="1161"/>
        <w:gridCol w:w="1629"/>
      </w:tblGrid>
      <w:tr w:rsidR="00541A5E" w:rsidRPr="00F67A3D" w:rsidTr="00F67A3D">
        <w:trPr>
          <w:trHeight w:val="141"/>
        </w:trPr>
        <w:tc>
          <w:tcPr>
            <w:tcW w:w="14310" w:type="dxa"/>
            <w:gridSpan w:val="4"/>
            <w:shd w:val="clear" w:color="auto" w:fill="F2DBDB"/>
            <w:vAlign w:val="center"/>
          </w:tcPr>
          <w:p w:rsidR="00541A5E" w:rsidRPr="00F67A3D" w:rsidRDefault="00541A5E" w:rsidP="00F67A3D">
            <w:pPr>
              <w:widowControl w:val="0"/>
              <w:rPr>
                <w:snapToGrid w:val="0"/>
                <w:szCs w:val="22"/>
              </w:rPr>
            </w:pPr>
            <w:r w:rsidRPr="00F67A3D">
              <w:rPr>
                <w:b/>
                <w:snapToGrid w:val="0"/>
                <w:szCs w:val="22"/>
              </w:rPr>
              <w:t>(1) Curriculum, Planning, and Assessment standard</w:t>
            </w:r>
            <w:r w:rsidRPr="00F67A3D">
              <w:rPr>
                <w:snapToGrid w:val="0"/>
                <w:szCs w:val="22"/>
              </w:rPr>
              <w: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tc>
      </w:tr>
      <w:tr w:rsidR="0058005B" w:rsidRPr="00F67A3D" w:rsidTr="00F67A3D">
        <w:trPr>
          <w:trHeight w:val="141"/>
        </w:trPr>
        <w:tc>
          <w:tcPr>
            <w:tcW w:w="10159" w:type="dxa"/>
            <w:shd w:val="clear" w:color="auto" w:fill="E5B8B7"/>
            <w:vAlign w:val="center"/>
          </w:tcPr>
          <w:p w:rsidR="00541A5E" w:rsidRPr="00F67A3D" w:rsidRDefault="00541A5E" w:rsidP="00F67A3D">
            <w:pPr>
              <w:widowControl w:val="0"/>
              <w:rPr>
                <w:snapToGrid w:val="0"/>
                <w:szCs w:val="22"/>
              </w:rPr>
            </w:pPr>
          </w:p>
        </w:tc>
        <w:tc>
          <w:tcPr>
            <w:tcW w:w="1361" w:type="dxa"/>
            <w:shd w:val="clear" w:color="auto" w:fill="E5B8B7"/>
            <w:vAlign w:val="center"/>
          </w:tcPr>
          <w:p w:rsidR="00541A5E" w:rsidRPr="00F67A3D" w:rsidRDefault="00541A5E" w:rsidP="00F67A3D">
            <w:pPr>
              <w:widowControl w:val="0"/>
              <w:jc w:val="center"/>
              <w:rPr>
                <w:snapToGrid w:val="0"/>
                <w:szCs w:val="22"/>
              </w:rPr>
            </w:pPr>
            <w:r w:rsidRPr="00F67A3D">
              <w:rPr>
                <w:b/>
                <w:snapToGrid w:val="0"/>
                <w:szCs w:val="22"/>
              </w:rPr>
              <w:t>Introduction</w:t>
            </w:r>
          </w:p>
        </w:tc>
        <w:tc>
          <w:tcPr>
            <w:tcW w:w="1161" w:type="dxa"/>
            <w:shd w:val="clear" w:color="auto" w:fill="E5B8B7"/>
            <w:vAlign w:val="center"/>
          </w:tcPr>
          <w:p w:rsidR="00541A5E" w:rsidRPr="00F67A3D" w:rsidRDefault="00541A5E" w:rsidP="00F67A3D">
            <w:pPr>
              <w:widowControl w:val="0"/>
              <w:jc w:val="center"/>
              <w:rPr>
                <w:snapToGrid w:val="0"/>
                <w:szCs w:val="22"/>
              </w:rPr>
            </w:pPr>
            <w:r w:rsidRPr="00F67A3D">
              <w:rPr>
                <w:b/>
                <w:snapToGrid w:val="0"/>
                <w:szCs w:val="22"/>
              </w:rPr>
              <w:t>Practice</w:t>
            </w:r>
          </w:p>
        </w:tc>
        <w:tc>
          <w:tcPr>
            <w:tcW w:w="1629" w:type="dxa"/>
            <w:shd w:val="clear" w:color="auto" w:fill="E5B8B7"/>
            <w:vAlign w:val="center"/>
          </w:tcPr>
          <w:p w:rsidR="00541A5E" w:rsidRPr="00F67A3D" w:rsidRDefault="00541A5E" w:rsidP="00F67A3D">
            <w:pPr>
              <w:widowControl w:val="0"/>
              <w:jc w:val="center"/>
              <w:rPr>
                <w:snapToGrid w:val="0"/>
                <w:szCs w:val="22"/>
              </w:rPr>
            </w:pPr>
            <w:r w:rsidRPr="00F67A3D">
              <w:rPr>
                <w:b/>
                <w:snapToGrid w:val="0"/>
                <w:szCs w:val="22"/>
              </w:rPr>
              <w:t>Demonstrate</w:t>
            </w:r>
          </w:p>
        </w:tc>
      </w:tr>
      <w:tr w:rsidR="0058005B" w:rsidRPr="00F67A3D" w:rsidTr="00F67A3D">
        <w:trPr>
          <w:trHeight w:val="141"/>
        </w:trPr>
        <w:tc>
          <w:tcPr>
            <w:tcW w:w="10159" w:type="dxa"/>
            <w:shd w:val="clear" w:color="auto" w:fill="E5B8B7"/>
            <w:vAlign w:val="center"/>
          </w:tcPr>
          <w:p w:rsidR="00541A5E" w:rsidRPr="00F67A3D" w:rsidRDefault="00541A5E" w:rsidP="00F67A3D">
            <w:pPr>
              <w:widowControl w:val="0"/>
              <w:rPr>
                <w:snapToGrid w:val="0"/>
                <w:szCs w:val="22"/>
              </w:rPr>
            </w:pPr>
            <w:r w:rsidRPr="00F67A3D">
              <w:rPr>
                <w:snapToGrid w:val="0"/>
                <w:szCs w:val="22"/>
              </w:rPr>
              <w:t>(a)  Curriculum and Planning indicator: Knows the subject matter well, has a good grasp of child development and how students learn, and designs effective and rigorous standards-based units of instruction consisting of well-structured lessons with measurable outcomes.</w:t>
            </w:r>
          </w:p>
        </w:tc>
        <w:tc>
          <w:tcPr>
            <w:tcW w:w="1361" w:type="dxa"/>
            <w:shd w:val="clear" w:color="auto" w:fill="E5B8B7"/>
            <w:vAlign w:val="center"/>
          </w:tcPr>
          <w:p w:rsidR="00541A5E" w:rsidRPr="00F67A3D" w:rsidRDefault="00541A5E" w:rsidP="00F67A3D">
            <w:pPr>
              <w:widowControl w:val="0"/>
              <w:jc w:val="center"/>
              <w:rPr>
                <w:snapToGrid w:val="0"/>
                <w:szCs w:val="22"/>
              </w:rPr>
            </w:pPr>
          </w:p>
        </w:tc>
        <w:tc>
          <w:tcPr>
            <w:tcW w:w="1161" w:type="dxa"/>
            <w:shd w:val="clear" w:color="auto" w:fill="E5B8B7"/>
            <w:vAlign w:val="center"/>
          </w:tcPr>
          <w:p w:rsidR="00541A5E" w:rsidRPr="00F67A3D" w:rsidRDefault="00541A5E" w:rsidP="00F67A3D">
            <w:pPr>
              <w:widowControl w:val="0"/>
              <w:jc w:val="center"/>
              <w:rPr>
                <w:snapToGrid w:val="0"/>
                <w:szCs w:val="22"/>
              </w:rPr>
            </w:pPr>
          </w:p>
        </w:tc>
        <w:tc>
          <w:tcPr>
            <w:tcW w:w="1629" w:type="dxa"/>
            <w:shd w:val="clear" w:color="auto" w:fill="E5B8B7"/>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rPr>
          <w:trHeight w:val="141"/>
        </w:trPr>
        <w:tc>
          <w:tcPr>
            <w:tcW w:w="10159" w:type="dxa"/>
            <w:shd w:val="clear" w:color="auto" w:fill="E5B8B7"/>
            <w:vAlign w:val="center"/>
          </w:tcPr>
          <w:p w:rsidR="00541A5E" w:rsidRPr="00F67A3D" w:rsidRDefault="00541A5E" w:rsidP="00F67A3D">
            <w:pPr>
              <w:widowControl w:val="0"/>
              <w:rPr>
                <w:snapToGrid w:val="0"/>
                <w:szCs w:val="22"/>
              </w:rPr>
            </w:pPr>
            <w:r w:rsidRPr="00F67A3D">
              <w:rPr>
                <w:snapToGrid w:val="0"/>
                <w:szCs w:val="22"/>
              </w:rPr>
              <w:t>(b)  Assessment indicator: Uses a variety of informal and formal methods of assessment to measure student learning, growth, and understanding, develop differentiated and enhanced learning experiences, and improve future instruction.</w:t>
            </w:r>
          </w:p>
        </w:tc>
        <w:tc>
          <w:tcPr>
            <w:tcW w:w="1361" w:type="dxa"/>
            <w:shd w:val="clear" w:color="auto" w:fill="E5B8B7"/>
            <w:vAlign w:val="center"/>
          </w:tcPr>
          <w:p w:rsidR="00541A5E" w:rsidRPr="00F67A3D" w:rsidRDefault="00541A5E" w:rsidP="00F67A3D">
            <w:pPr>
              <w:widowControl w:val="0"/>
              <w:jc w:val="center"/>
              <w:rPr>
                <w:snapToGrid w:val="0"/>
                <w:szCs w:val="22"/>
              </w:rPr>
            </w:pPr>
          </w:p>
        </w:tc>
        <w:tc>
          <w:tcPr>
            <w:tcW w:w="1161" w:type="dxa"/>
            <w:shd w:val="clear" w:color="auto" w:fill="E5B8B7"/>
            <w:vAlign w:val="center"/>
          </w:tcPr>
          <w:p w:rsidR="00541A5E" w:rsidRPr="00F67A3D" w:rsidRDefault="00541A5E" w:rsidP="00F67A3D">
            <w:pPr>
              <w:widowControl w:val="0"/>
              <w:jc w:val="center"/>
              <w:rPr>
                <w:snapToGrid w:val="0"/>
                <w:szCs w:val="22"/>
              </w:rPr>
            </w:pPr>
          </w:p>
        </w:tc>
        <w:tc>
          <w:tcPr>
            <w:tcW w:w="1629" w:type="dxa"/>
            <w:shd w:val="clear" w:color="auto" w:fill="E5B8B7"/>
            <w:vAlign w:val="center"/>
          </w:tcPr>
          <w:p w:rsidR="00541A5E" w:rsidRPr="00F67A3D" w:rsidRDefault="00541A5E" w:rsidP="00F67A3D">
            <w:pPr>
              <w:widowControl w:val="0"/>
              <w:jc w:val="center"/>
              <w:rPr>
                <w:snapToGrid w:val="0"/>
                <w:szCs w:val="22"/>
              </w:rPr>
            </w:pPr>
            <w:r w:rsidRPr="00F67A3D">
              <w:rPr>
                <w:snapToGrid w:val="0"/>
                <w:szCs w:val="22"/>
              </w:rPr>
              <w:t>X</w:t>
            </w:r>
          </w:p>
        </w:tc>
      </w:tr>
      <w:tr w:rsidR="0058005B" w:rsidRPr="00F67A3D" w:rsidTr="00F67A3D">
        <w:trPr>
          <w:trHeight w:val="141"/>
        </w:trPr>
        <w:tc>
          <w:tcPr>
            <w:tcW w:w="10159" w:type="dxa"/>
            <w:shd w:val="clear" w:color="auto" w:fill="E5B8B7"/>
            <w:vAlign w:val="center"/>
          </w:tcPr>
          <w:p w:rsidR="00541A5E" w:rsidRPr="00F67A3D" w:rsidRDefault="00541A5E" w:rsidP="00F67A3D">
            <w:pPr>
              <w:widowControl w:val="0"/>
              <w:rPr>
                <w:snapToGrid w:val="0"/>
                <w:szCs w:val="22"/>
              </w:rPr>
            </w:pPr>
            <w:r w:rsidRPr="00F67A3D">
              <w:rPr>
                <w:snapToGrid w:val="0"/>
                <w:szCs w:val="22"/>
              </w:rPr>
              <w:t>(c)  Analysis indicator: Analyzes data from assessments, draws conclusions, and shares them appropriately.</w:t>
            </w:r>
          </w:p>
        </w:tc>
        <w:tc>
          <w:tcPr>
            <w:tcW w:w="1361" w:type="dxa"/>
            <w:shd w:val="clear" w:color="auto" w:fill="E5B8B7"/>
            <w:vAlign w:val="center"/>
          </w:tcPr>
          <w:p w:rsidR="00541A5E" w:rsidRPr="00F67A3D" w:rsidRDefault="00541A5E" w:rsidP="00F67A3D">
            <w:pPr>
              <w:widowControl w:val="0"/>
              <w:jc w:val="center"/>
              <w:rPr>
                <w:snapToGrid w:val="0"/>
                <w:szCs w:val="22"/>
              </w:rPr>
            </w:pPr>
          </w:p>
        </w:tc>
        <w:tc>
          <w:tcPr>
            <w:tcW w:w="1161" w:type="dxa"/>
            <w:shd w:val="clear" w:color="auto" w:fill="E5B8B7"/>
            <w:vAlign w:val="center"/>
          </w:tcPr>
          <w:p w:rsidR="00541A5E" w:rsidRPr="00F67A3D" w:rsidRDefault="00541A5E" w:rsidP="00F67A3D">
            <w:pPr>
              <w:widowControl w:val="0"/>
              <w:jc w:val="center"/>
              <w:rPr>
                <w:snapToGrid w:val="0"/>
                <w:szCs w:val="22"/>
              </w:rPr>
            </w:pPr>
            <w:r w:rsidRPr="00F67A3D">
              <w:rPr>
                <w:snapToGrid w:val="0"/>
                <w:szCs w:val="22"/>
              </w:rPr>
              <w:t>X</w:t>
            </w:r>
          </w:p>
        </w:tc>
        <w:tc>
          <w:tcPr>
            <w:tcW w:w="1629" w:type="dxa"/>
            <w:shd w:val="clear" w:color="auto" w:fill="E5B8B7"/>
            <w:vAlign w:val="center"/>
          </w:tcPr>
          <w:p w:rsidR="00541A5E" w:rsidRPr="00F67A3D" w:rsidRDefault="00541A5E" w:rsidP="00F67A3D">
            <w:pPr>
              <w:widowControl w:val="0"/>
              <w:jc w:val="center"/>
              <w:rPr>
                <w:snapToGrid w:val="0"/>
                <w:szCs w:val="22"/>
              </w:rPr>
            </w:pPr>
          </w:p>
        </w:tc>
      </w:tr>
      <w:tr w:rsidR="0058005B" w:rsidRPr="00F67A3D" w:rsidTr="00F67A3D">
        <w:trPr>
          <w:trHeight w:val="530"/>
        </w:trPr>
        <w:tc>
          <w:tcPr>
            <w:tcW w:w="10159" w:type="dxa"/>
            <w:shd w:val="clear" w:color="auto" w:fill="E5B8B7"/>
            <w:vAlign w:val="center"/>
          </w:tcPr>
          <w:p w:rsidR="00E41AE5" w:rsidRPr="00F67A3D" w:rsidRDefault="00E41AE5" w:rsidP="00F67A3D">
            <w:pPr>
              <w:widowControl w:val="0"/>
              <w:rPr>
                <w:snapToGrid w:val="0"/>
                <w:szCs w:val="22"/>
              </w:rPr>
            </w:pPr>
            <w:r w:rsidRPr="00F67A3D">
              <w:rPr>
                <w:snapToGrid w:val="0"/>
                <w:szCs w:val="22"/>
              </w:rPr>
              <w:t>SEI Indicator (a) Uses instructional planning, materials, and student engagement approaches that support students of diverse cultural and linguistic backgrounds, strengths, and challenges.</w:t>
            </w:r>
          </w:p>
        </w:tc>
        <w:tc>
          <w:tcPr>
            <w:tcW w:w="1361" w:type="dxa"/>
            <w:shd w:val="clear" w:color="auto" w:fill="E5B8B7"/>
            <w:vAlign w:val="center"/>
          </w:tcPr>
          <w:p w:rsidR="00E41AE5" w:rsidRPr="00F67A3D" w:rsidRDefault="00E41AE5" w:rsidP="00F67A3D">
            <w:pPr>
              <w:widowControl w:val="0"/>
              <w:jc w:val="center"/>
              <w:rPr>
                <w:b/>
                <w:snapToGrid w:val="0"/>
                <w:szCs w:val="22"/>
              </w:rPr>
            </w:pPr>
          </w:p>
          <w:p w:rsidR="00E41AE5" w:rsidRPr="00F67A3D" w:rsidRDefault="00E41AE5" w:rsidP="00F67A3D">
            <w:pPr>
              <w:widowControl w:val="0"/>
              <w:jc w:val="center"/>
              <w:rPr>
                <w:b/>
                <w:snapToGrid w:val="0"/>
                <w:szCs w:val="22"/>
              </w:rPr>
            </w:pPr>
          </w:p>
        </w:tc>
        <w:tc>
          <w:tcPr>
            <w:tcW w:w="1161" w:type="dxa"/>
            <w:shd w:val="clear" w:color="auto" w:fill="E5B8B7"/>
            <w:vAlign w:val="center"/>
          </w:tcPr>
          <w:p w:rsidR="00E41AE5" w:rsidRPr="00F67A3D" w:rsidRDefault="00E41AE5" w:rsidP="00F67A3D">
            <w:pPr>
              <w:widowControl w:val="0"/>
              <w:jc w:val="center"/>
              <w:rPr>
                <w:snapToGrid w:val="0"/>
                <w:szCs w:val="22"/>
              </w:rPr>
            </w:pPr>
          </w:p>
        </w:tc>
        <w:tc>
          <w:tcPr>
            <w:tcW w:w="1629" w:type="dxa"/>
            <w:shd w:val="clear" w:color="auto" w:fill="E5B8B7"/>
            <w:vAlign w:val="center"/>
          </w:tcPr>
          <w:p w:rsidR="00E41AE5" w:rsidRPr="00F67A3D" w:rsidRDefault="00E41AE5" w:rsidP="00F67A3D">
            <w:pPr>
              <w:widowControl w:val="0"/>
              <w:jc w:val="center"/>
              <w:rPr>
                <w:snapToGrid w:val="0"/>
                <w:szCs w:val="22"/>
              </w:rPr>
            </w:pPr>
            <w:r w:rsidRPr="00F67A3D">
              <w:rPr>
                <w:snapToGrid w:val="0"/>
                <w:szCs w:val="22"/>
              </w:rPr>
              <w:t>X</w:t>
            </w:r>
          </w:p>
        </w:tc>
      </w:tr>
      <w:tr w:rsidR="0058005B" w:rsidRPr="00F67A3D" w:rsidTr="00F67A3D">
        <w:trPr>
          <w:trHeight w:val="141"/>
        </w:trPr>
        <w:tc>
          <w:tcPr>
            <w:tcW w:w="10159" w:type="dxa"/>
            <w:shd w:val="clear" w:color="auto" w:fill="E5B8B7"/>
            <w:vAlign w:val="center"/>
          </w:tcPr>
          <w:p w:rsidR="00E41AE5" w:rsidRPr="00F67A3D" w:rsidRDefault="00E41AE5" w:rsidP="00F67A3D">
            <w:pPr>
              <w:widowControl w:val="0"/>
              <w:rPr>
                <w:snapToGrid w:val="0"/>
                <w:szCs w:val="22"/>
              </w:rPr>
            </w:pPr>
            <w:r w:rsidRPr="00F67A3D">
              <w:rPr>
                <w:snapToGrid w:val="0"/>
                <w:szCs w:val="22"/>
              </w:rPr>
              <w:t>SEI Indicator (c) Demonstrates knowledge of the difference between social and academic language and the importance of this difference in planning, differentiating and delivering effective instruction for English language learners at various levels of English language proficiency and literacy.</w:t>
            </w:r>
          </w:p>
        </w:tc>
        <w:tc>
          <w:tcPr>
            <w:tcW w:w="1361" w:type="dxa"/>
            <w:shd w:val="clear" w:color="auto" w:fill="E5B8B7"/>
            <w:vAlign w:val="center"/>
          </w:tcPr>
          <w:p w:rsidR="00E41AE5" w:rsidRPr="00F67A3D" w:rsidRDefault="00E41AE5" w:rsidP="00F67A3D">
            <w:pPr>
              <w:widowControl w:val="0"/>
              <w:jc w:val="center"/>
              <w:rPr>
                <w:b/>
                <w:snapToGrid w:val="0"/>
                <w:szCs w:val="22"/>
              </w:rPr>
            </w:pPr>
          </w:p>
        </w:tc>
        <w:tc>
          <w:tcPr>
            <w:tcW w:w="1161" w:type="dxa"/>
            <w:shd w:val="clear" w:color="auto" w:fill="E5B8B7"/>
            <w:vAlign w:val="center"/>
          </w:tcPr>
          <w:p w:rsidR="00E41AE5" w:rsidRPr="00F67A3D" w:rsidRDefault="00E41AE5" w:rsidP="00F67A3D">
            <w:pPr>
              <w:widowControl w:val="0"/>
              <w:jc w:val="center"/>
              <w:rPr>
                <w:snapToGrid w:val="0"/>
                <w:szCs w:val="22"/>
              </w:rPr>
            </w:pPr>
          </w:p>
        </w:tc>
        <w:tc>
          <w:tcPr>
            <w:tcW w:w="1629" w:type="dxa"/>
            <w:shd w:val="clear" w:color="auto" w:fill="E5B8B7"/>
            <w:vAlign w:val="center"/>
          </w:tcPr>
          <w:p w:rsidR="00E41AE5" w:rsidRPr="00F67A3D" w:rsidRDefault="00E41AE5" w:rsidP="00F67A3D">
            <w:pPr>
              <w:widowControl w:val="0"/>
              <w:jc w:val="center"/>
              <w:rPr>
                <w:snapToGrid w:val="0"/>
                <w:szCs w:val="22"/>
              </w:rPr>
            </w:pPr>
            <w:r w:rsidRPr="00F67A3D">
              <w:rPr>
                <w:snapToGrid w:val="0"/>
                <w:szCs w:val="22"/>
              </w:rPr>
              <w:t>X</w:t>
            </w:r>
          </w:p>
        </w:tc>
      </w:tr>
      <w:tr w:rsidR="00E41AE5" w:rsidRPr="00F67A3D" w:rsidTr="00F67A3D">
        <w:trPr>
          <w:trHeight w:val="141"/>
        </w:trPr>
        <w:tc>
          <w:tcPr>
            <w:tcW w:w="14310" w:type="dxa"/>
            <w:gridSpan w:val="4"/>
            <w:shd w:val="clear" w:color="auto" w:fill="EAF1DD"/>
            <w:vAlign w:val="center"/>
          </w:tcPr>
          <w:p w:rsidR="00E41AE5" w:rsidRPr="00F67A3D" w:rsidRDefault="00E41AE5" w:rsidP="00F67A3D">
            <w:pPr>
              <w:widowControl w:val="0"/>
              <w:rPr>
                <w:snapToGrid w:val="0"/>
                <w:szCs w:val="22"/>
              </w:rPr>
            </w:pPr>
            <w:r w:rsidRPr="00F67A3D">
              <w:rPr>
                <w:b/>
                <w:snapToGrid w:val="0"/>
                <w:szCs w:val="22"/>
                <w:shd w:val="clear" w:color="auto" w:fill="EAF1DD"/>
              </w:rPr>
              <w:t>(2) Teaching All Students standard:</w:t>
            </w:r>
            <w:r w:rsidRPr="00F67A3D">
              <w:rPr>
                <w:snapToGrid w:val="0"/>
                <w:szCs w:val="22"/>
                <w:shd w:val="clear" w:color="auto" w:fill="EAF1DD"/>
              </w:rPr>
              <w:t xml:space="preserve"> Promotes the learning and growth of all students through instructional practices that establish high expectations, create a safe and effective classroom </w:t>
            </w:r>
            <w:r w:rsidRPr="00F67A3D">
              <w:rPr>
                <w:snapToGrid w:val="0"/>
                <w:szCs w:val="22"/>
              </w:rPr>
              <w:t>environment, and demonstrate cultural proficiency.</w:t>
            </w:r>
          </w:p>
        </w:tc>
      </w:tr>
      <w:tr w:rsidR="0058005B" w:rsidRPr="00F67A3D" w:rsidTr="00F67A3D">
        <w:trPr>
          <w:trHeight w:val="141"/>
        </w:trPr>
        <w:tc>
          <w:tcPr>
            <w:tcW w:w="10159" w:type="dxa"/>
            <w:shd w:val="clear" w:color="auto" w:fill="D6E3BC"/>
            <w:vAlign w:val="center"/>
          </w:tcPr>
          <w:p w:rsidR="00E41AE5" w:rsidRPr="00F67A3D" w:rsidRDefault="00E41AE5" w:rsidP="00F67A3D">
            <w:pPr>
              <w:widowControl w:val="0"/>
              <w:rPr>
                <w:snapToGrid w:val="0"/>
                <w:szCs w:val="22"/>
              </w:rPr>
            </w:pPr>
          </w:p>
        </w:tc>
        <w:tc>
          <w:tcPr>
            <w:tcW w:w="1361" w:type="dxa"/>
            <w:shd w:val="clear" w:color="auto" w:fill="D6E3BC"/>
            <w:vAlign w:val="center"/>
          </w:tcPr>
          <w:p w:rsidR="00E41AE5" w:rsidRPr="00F67A3D" w:rsidRDefault="00E41AE5" w:rsidP="00F67A3D">
            <w:pPr>
              <w:widowControl w:val="0"/>
              <w:jc w:val="center"/>
              <w:rPr>
                <w:snapToGrid w:val="0"/>
                <w:szCs w:val="22"/>
              </w:rPr>
            </w:pPr>
            <w:r w:rsidRPr="00F67A3D">
              <w:rPr>
                <w:b/>
                <w:snapToGrid w:val="0"/>
                <w:szCs w:val="22"/>
              </w:rPr>
              <w:t>Introduction</w:t>
            </w:r>
          </w:p>
        </w:tc>
        <w:tc>
          <w:tcPr>
            <w:tcW w:w="1161" w:type="dxa"/>
            <w:shd w:val="clear" w:color="auto" w:fill="D6E3BC"/>
            <w:vAlign w:val="center"/>
          </w:tcPr>
          <w:p w:rsidR="00E41AE5" w:rsidRPr="00F67A3D" w:rsidRDefault="00E41AE5" w:rsidP="00F67A3D">
            <w:pPr>
              <w:widowControl w:val="0"/>
              <w:jc w:val="center"/>
              <w:rPr>
                <w:snapToGrid w:val="0"/>
                <w:szCs w:val="22"/>
              </w:rPr>
            </w:pPr>
            <w:r w:rsidRPr="00F67A3D">
              <w:rPr>
                <w:b/>
                <w:snapToGrid w:val="0"/>
                <w:szCs w:val="22"/>
              </w:rPr>
              <w:t>Practice</w:t>
            </w:r>
          </w:p>
        </w:tc>
        <w:tc>
          <w:tcPr>
            <w:tcW w:w="1629" w:type="dxa"/>
            <w:shd w:val="clear" w:color="auto" w:fill="D6E3BC"/>
            <w:vAlign w:val="center"/>
          </w:tcPr>
          <w:p w:rsidR="00E41AE5" w:rsidRPr="00F67A3D" w:rsidRDefault="00E41AE5" w:rsidP="00F67A3D">
            <w:pPr>
              <w:widowControl w:val="0"/>
              <w:jc w:val="center"/>
              <w:rPr>
                <w:b/>
                <w:snapToGrid w:val="0"/>
                <w:szCs w:val="22"/>
              </w:rPr>
            </w:pPr>
            <w:r w:rsidRPr="00F67A3D">
              <w:rPr>
                <w:b/>
                <w:snapToGrid w:val="0"/>
                <w:szCs w:val="22"/>
              </w:rPr>
              <w:t>Demonstrate</w:t>
            </w:r>
          </w:p>
        </w:tc>
      </w:tr>
      <w:tr w:rsidR="0058005B" w:rsidRPr="00F67A3D" w:rsidTr="00F67A3D">
        <w:trPr>
          <w:trHeight w:val="141"/>
        </w:trPr>
        <w:tc>
          <w:tcPr>
            <w:tcW w:w="10159" w:type="dxa"/>
            <w:shd w:val="clear" w:color="auto" w:fill="D6E3BC"/>
            <w:vAlign w:val="center"/>
          </w:tcPr>
          <w:p w:rsidR="00E41AE5" w:rsidRPr="00F67A3D" w:rsidRDefault="00E41AE5" w:rsidP="00F67A3D">
            <w:pPr>
              <w:widowControl w:val="0"/>
              <w:rPr>
                <w:snapToGrid w:val="0"/>
                <w:szCs w:val="22"/>
              </w:rPr>
            </w:pPr>
            <w:r w:rsidRPr="00F67A3D">
              <w:rPr>
                <w:snapToGrid w:val="0"/>
                <w:szCs w:val="22"/>
              </w:rPr>
              <w:t>(a)  Instruction indicator: Uses instructional practices that reflect high expectations regarding content and quality of effort and work, engage all students, and are personalized to accommodate diverse learning styles, needs, interests, and levels of readiness.</w:t>
            </w:r>
          </w:p>
        </w:tc>
        <w:tc>
          <w:tcPr>
            <w:tcW w:w="1361" w:type="dxa"/>
            <w:shd w:val="clear" w:color="auto" w:fill="D6E3BC"/>
            <w:vAlign w:val="center"/>
          </w:tcPr>
          <w:p w:rsidR="00E41AE5" w:rsidRPr="00F67A3D" w:rsidRDefault="00E41AE5" w:rsidP="00F67A3D">
            <w:pPr>
              <w:widowControl w:val="0"/>
              <w:jc w:val="center"/>
              <w:rPr>
                <w:snapToGrid w:val="0"/>
                <w:color w:val="FF0000"/>
                <w:szCs w:val="22"/>
              </w:rPr>
            </w:pPr>
          </w:p>
        </w:tc>
        <w:tc>
          <w:tcPr>
            <w:tcW w:w="1161" w:type="dxa"/>
            <w:shd w:val="clear" w:color="auto" w:fill="D6E3BC"/>
            <w:vAlign w:val="center"/>
          </w:tcPr>
          <w:p w:rsidR="00E41AE5" w:rsidRPr="00F67A3D" w:rsidRDefault="00E41AE5" w:rsidP="00F67A3D">
            <w:pPr>
              <w:widowControl w:val="0"/>
              <w:jc w:val="center"/>
              <w:rPr>
                <w:snapToGrid w:val="0"/>
                <w:szCs w:val="22"/>
              </w:rPr>
            </w:pPr>
          </w:p>
        </w:tc>
        <w:tc>
          <w:tcPr>
            <w:tcW w:w="1629" w:type="dxa"/>
            <w:shd w:val="clear" w:color="auto" w:fill="D6E3BC"/>
            <w:vAlign w:val="center"/>
          </w:tcPr>
          <w:p w:rsidR="00E41AE5" w:rsidRPr="00F67A3D" w:rsidRDefault="00E41AE5" w:rsidP="00F67A3D">
            <w:pPr>
              <w:widowControl w:val="0"/>
              <w:jc w:val="center"/>
              <w:rPr>
                <w:snapToGrid w:val="0"/>
                <w:szCs w:val="22"/>
              </w:rPr>
            </w:pPr>
            <w:r w:rsidRPr="00F67A3D">
              <w:rPr>
                <w:snapToGrid w:val="0"/>
                <w:szCs w:val="22"/>
              </w:rPr>
              <w:t>X</w:t>
            </w:r>
          </w:p>
        </w:tc>
      </w:tr>
      <w:tr w:rsidR="0058005B" w:rsidRPr="00F67A3D" w:rsidTr="00F67A3D">
        <w:trPr>
          <w:trHeight w:val="141"/>
        </w:trPr>
        <w:tc>
          <w:tcPr>
            <w:tcW w:w="10159" w:type="dxa"/>
            <w:shd w:val="clear" w:color="auto" w:fill="D6E3BC"/>
            <w:vAlign w:val="center"/>
          </w:tcPr>
          <w:p w:rsidR="00E41AE5" w:rsidRPr="00F67A3D" w:rsidRDefault="00E41AE5" w:rsidP="00F67A3D">
            <w:pPr>
              <w:widowControl w:val="0"/>
              <w:rPr>
                <w:snapToGrid w:val="0"/>
                <w:szCs w:val="22"/>
              </w:rPr>
            </w:pPr>
            <w:r w:rsidRPr="00F67A3D">
              <w:rPr>
                <w:snapToGrid w:val="0"/>
                <w:szCs w:val="22"/>
              </w:rPr>
              <w:t>(b)  Learning Environment indicator: Creates and maintains a safe and collaborative learning environment that values diversity and motivates students to take academic risks, challenge themselves, and claim ownership of their learning.</w:t>
            </w:r>
          </w:p>
        </w:tc>
        <w:tc>
          <w:tcPr>
            <w:tcW w:w="1361" w:type="dxa"/>
            <w:shd w:val="clear" w:color="auto" w:fill="D6E3BC"/>
            <w:vAlign w:val="center"/>
          </w:tcPr>
          <w:p w:rsidR="00E41AE5" w:rsidRPr="00F67A3D" w:rsidRDefault="00E41AE5" w:rsidP="00F67A3D">
            <w:pPr>
              <w:widowControl w:val="0"/>
              <w:jc w:val="center"/>
              <w:rPr>
                <w:snapToGrid w:val="0"/>
                <w:szCs w:val="22"/>
              </w:rPr>
            </w:pPr>
          </w:p>
        </w:tc>
        <w:tc>
          <w:tcPr>
            <w:tcW w:w="1161" w:type="dxa"/>
            <w:shd w:val="clear" w:color="auto" w:fill="D6E3BC"/>
            <w:vAlign w:val="center"/>
          </w:tcPr>
          <w:p w:rsidR="00E41AE5" w:rsidRPr="00F67A3D" w:rsidRDefault="00E41AE5" w:rsidP="00F67A3D">
            <w:pPr>
              <w:widowControl w:val="0"/>
              <w:jc w:val="center"/>
              <w:rPr>
                <w:snapToGrid w:val="0"/>
                <w:szCs w:val="22"/>
              </w:rPr>
            </w:pPr>
          </w:p>
        </w:tc>
        <w:tc>
          <w:tcPr>
            <w:tcW w:w="1629" w:type="dxa"/>
            <w:shd w:val="clear" w:color="auto" w:fill="D6E3BC"/>
            <w:vAlign w:val="center"/>
          </w:tcPr>
          <w:p w:rsidR="00E41AE5" w:rsidRPr="00F67A3D" w:rsidRDefault="00E41AE5" w:rsidP="00F67A3D">
            <w:pPr>
              <w:widowControl w:val="0"/>
              <w:jc w:val="center"/>
              <w:rPr>
                <w:snapToGrid w:val="0"/>
                <w:szCs w:val="22"/>
              </w:rPr>
            </w:pPr>
            <w:r w:rsidRPr="00F67A3D">
              <w:rPr>
                <w:snapToGrid w:val="0"/>
                <w:szCs w:val="22"/>
              </w:rPr>
              <w:t>X</w:t>
            </w:r>
          </w:p>
        </w:tc>
      </w:tr>
      <w:tr w:rsidR="0058005B" w:rsidRPr="00F67A3D" w:rsidTr="00F67A3D">
        <w:trPr>
          <w:trHeight w:val="530"/>
        </w:trPr>
        <w:tc>
          <w:tcPr>
            <w:tcW w:w="10159" w:type="dxa"/>
            <w:shd w:val="clear" w:color="auto" w:fill="D6E3BC"/>
            <w:vAlign w:val="center"/>
          </w:tcPr>
          <w:p w:rsidR="00E41AE5" w:rsidRPr="00F67A3D" w:rsidRDefault="00E41AE5" w:rsidP="00F67A3D">
            <w:pPr>
              <w:widowControl w:val="0"/>
              <w:rPr>
                <w:snapToGrid w:val="0"/>
                <w:szCs w:val="22"/>
              </w:rPr>
            </w:pPr>
            <w:r w:rsidRPr="00F67A3D">
              <w:rPr>
                <w:snapToGrid w:val="0"/>
                <w:szCs w:val="22"/>
              </w:rPr>
              <w:t>(c)  Cultural Proficiency indicator: Actively creates and maintains an environment in which students' diverse backgrounds, identities, strengths, and challenges are respected.</w:t>
            </w:r>
          </w:p>
        </w:tc>
        <w:tc>
          <w:tcPr>
            <w:tcW w:w="1361" w:type="dxa"/>
            <w:shd w:val="clear" w:color="auto" w:fill="D6E3BC"/>
            <w:vAlign w:val="center"/>
          </w:tcPr>
          <w:p w:rsidR="00E41AE5" w:rsidRPr="00F67A3D" w:rsidRDefault="00E41AE5" w:rsidP="00F67A3D">
            <w:pPr>
              <w:widowControl w:val="0"/>
              <w:jc w:val="center"/>
              <w:rPr>
                <w:snapToGrid w:val="0"/>
                <w:szCs w:val="22"/>
              </w:rPr>
            </w:pPr>
          </w:p>
        </w:tc>
        <w:tc>
          <w:tcPr>
            <w:tcW w:w="1161" w:type="dxa"/>
            <w:shd w:val="clear" w:color="auto" w:fill="D6E3BC"/>
            <w:vAlign w:val="center"/>
          </w:tcPr>
          <w:p w:rsidR="00E41AE5" w:rsidRPr="00F67A3D" w:rsidRDefault="00E41AE5" w:rsidP="00F67A3D">
            <w:pPr>
              <w:widowControl w:val="0"/>
              <w:jc w:val="center"/>
              <w:rPr>
                <w:snapToGrid w:val="0"/>
                <w:szCs w:val="22"/>
              </w:rPr>
            </w:pPr>
          </w:p>
        </w:tc>
        <w:tc>
          <w:tcPr>
            <w:tcW w:w="1629" w:type="dxa"/>
            <w:shd w:val="clear" w:color="auto" w:fill="D6E3BC"/>
            <w:vAlign w:val="center"/>
          </w:tcPr>
          <w:p w:rsidR="00E41AE5" w:rsidRPr="00F67A3D" w:rsidRDefault="00E41AE5" w:rsidP="00F67A3D">
            <w:pPr>
              <w:widowControl w:val="0"/>
              <w:jc w:val="center"/>
              <w:rPr>
                <w:snapToGrid w:val="0"/>
                <w:szCs w:val="22"/>
              </w:rPr>
            </w:pPr>
            <w:r w:rsidRPr="00F67A3D">
              <w:rPr>
                <w:snapToGrid w:val="0"/>
                <w:szCs w:val="22"/>
              </w:rPr>
              <w:t>X</w:t>
            </w:r>
          </w:p>
        </w:tc>
      </w:tr>
      <w:tr w:rsidR="0058005B" w:rsidRPr="00F67A3D" w:rsidTr="00F67A3D">
        <w:trPr>
          <w:trHeight w:val="141"/>
        </w:trPr>
        <w:tc>
          <w:tcPr>
            <w:tcW w:w="10159" w:type="dxa"/>
            <w:shd w:val="clear" w:color="auto" w:fill="D6E3BC"/>
            <w:vAlign w:val="center"/>
          </w:tcPr>
          <w:p w:rsidR="00E41AE5" w:rsidRPr="00F67A3D" w:rsidRDefault="00E41AE5" w:rsidP="00F67A3D">
            <w:pPr>
              <w:widowControl w:val="0"/>
              <w:rPr>
                <w:snapToGrid w:val="0"/>
                <w:szCs w:val="22"/>
              </w:rPr>
            </w:pPr>
            <w:r w:rsidRPr="00F67A3D">
              <w:rPr>
                <w:snapToGrid w:val="0"/>
                <w:szCs w:val="22"/>
              </w:rPr>
              <w:t>(d)  Expectations indicator: Plans and implements lessons that set clear and high expectations and make knowledge accessible for all students.</w:t>
            </w:r>
          </w:p>
        </w:tc>
        <w:tc>
          <w:tcPr>
            <w:tcW w:w="1361" w:type="dxa"/>
            <w:shd w:val="clear" w:color="auto" w:fill="D6E3BC"/>
            <w:vAlign w:val="center"/>
          </w:tcPr>
          <w:p w:rsidR="00E41AE5" w:rsidRPr="00F67A3D" w:rsidRDefault="00E41AE5" w:rsidP="00F67A3D">
            <w:pPr>
              <w:widowControl w:val="0"/>
              <w:jc w:val="center"/>
              <w:rPr>
                <w:snapToGrid w:val="0"/>
                <w:szCs w:val="22"/>
              </w:rPr>
            </w:pPr>
          </w:p>
        </w:tc>
        <w:tc>
          <w:tcPr>
            <w:tcW w:w="1161" w:type="dxa"/>
            <w:shd w:val="clear" w:color="auto" w:fill="D6E3BC"/>
            <w:vAlign w:val="center"/>
          </w:tcPr>
          <w:p w:rsidR="00E41AE5" w:rsidRPr="00F67A3D" w:rsidRDefault="00E41AE5" w:rsidP="00F67A3D">
            <w:pPr>
              <w:widowControl w:val="0"/>
              <w:jc w:val="center"/>
              <w:rPr>
                <w:snapToGrid w:val="0"/>
                <w:szCs w:val="22"/>
              </w:rPr>
            </w:pPr>
          </w:p>
        </w:tc>
        <w:tc>
          <w:tcPr>
            <w:tcW w:w="1629" w:type="dxa"/>
            <w:shd w:val="clear" w:color="auto" w:fill="D6E3BC"/>
            <w:vAlign w:val="center"/>
          </w:tcPr>
          <w:p w:rsidR="00E41AE5" w:rsidRPr="00F67A3D" w:rsidRDefault="00E41AE5" w:rsidP="00F67A3D">
            <w:pPr>
              <w:widowControl w:val="0"/>
              <w:jc w:val="center"/>
              <w:rPr>
                <w:snapToGrid w:val="0"/>
                <w:szCs w:val="22"/>
              </w:rPr>
            </w:pPr>
            <w:r w:rsidRPr="00F67A3D">
              <w:rPr>
                <w:snapToGrid w:val="0"/>
                <w:szCs w:val="22"/>
              </w:rPr>
              <w:t>X</w:t>
            </w:r>
          </w:p>
        </w:tc>
      </w:tr>
      <w:tr w:rsidR="0058005B" w:rsidRPr="00F67A3D" w:rsidTr="00F67A3D">
        <w:trPr>
          <w:trHeight w:val="710"/>
        </w:trPr>
        <w:tc>
          <w:tcPr>
            <w:tcW w:w="10159" w:type="dxa"/>
            <w:shd w:val="clear" w:color="auto" w:fill="D6E3BC"/>
            <w:vAlign w:val="center"/>
          </w:tcPr>
          <w:p w:rsidR="00E41AE5" w:rsidRPr="00F67A3D" w:rsidRDefault="00E41AE5" w:rsidP="00F67A3D">
            <w:pPr>
              <w:widowControl w:val="0"/>
              <w:rPr>
                <w:snapToGrid w:val="0"/>
                <w:szCs w:val="22"/>
              </w:rPr>
            </w:pPr>
            <w:r w:rsidRPr="00F67A3D">
              <w:rPr>
                <w:snapToGrid w:val="0"/>
                <w:szCs w:val="22"/>
              </w:rPr>
              <w:lastRenderedPageBreak/>
              <w:t xml:space="preserve">(e) Social and Emotional Learning Indicator: Employs a variety of strategies to assist students to develop social emotional-competencies: self-awareness, self-management, social awareness, relationship skills, and responsible decision-making. </w:t>
            </w:r>
          </w:p>
        </w:tc>
        <w:tc>
          <w:tcPr>
            <w:tcW w:w="1361" w:type="dxa"/>
            <w:shd w:val="clear" w:color="auto" w:fill="D6E3BC"/>
            <w:vAlign w:val="center"/>
          </w:tcPr>
          <w:p w:rsidR="00E41AE5" w:rsidRPr="00F67A3D" w:rsidRDefault="00E41AE5" w:rsidP="00F67A3D">
            <w:pPr>
              <w:widowControl w:val="0"/>
              <w:jc w:val="center"/>
              <w:rPr>
                <w:snapToGrid w:val="0"/>
                <w:szCs w:val="22"/>
              </w:rPr>
            </w:pPr>
          </w:p>
        </w:tc>
        <w:tc>
          <w:tcPr>
            <w:tcW w:w="1161" w:type="dxa"/>
            <w:shd w:val="clear" w:color="auto" w:fill="D6E3BC"/>
            <w:vAlign w:val="center"/>
          </w:tcPr>
          <w:p w:rsidR="00E41AE5" w:rsidRPr="00F67A3D" w:rsidRDefault="00E41AE5" w:rsidP="00F67A3D">
            <w:pPr>
              <w:widowControl w:val="0"/>
              <w:jc w:val="center"/>
              <w:rPr>
                <w:snapToGrid w:val="0"/>
                <w:szCs w:val="22"/>
              </w:rPr>
            </w:pPr>
            <w:r w:rsidRPr="00F67A3D">
              <w:rPr>
                <w:snapToGrid w:val="0"/>
                <w:szCs w:val="22"/>
              </w:rPr>
              <w:t>X</w:t>
            </w:r>
          </w:p>
        </w:tc>
        <w:tc>
          <w:tcPr>
            <w:tcW w:w="1629" w:type="dxa"/>
            <w:shd w:val="clear" w:color="auto" w:fill="D6E3BC"/>
            <w:vAlign w:val="center"/>
          </w:tcPr>
          <w:p w:rsidR="00E41AE5" w:rsidRPr="00F67A3D" w:rsidRDefault="00E41AE5" w:rsidP="00F67A3D">
            <w:pPr>
              <w:widowControl w:val="0"/>
              <w:jc w:val="center"/>
              <w:rPr>
                <w:snapToGrid w:val="0"/>
                <w:szCs w:val="22"/>
              </w:rPr>
            </w:pPr>
          </w:p>
        </w:tc>
      </w:tr>
      <w:tr w:rsidR="0058005B" w:rsidRPr="00F67A3D" w:rsidTr="00F67A3D">
        <w:trPr>
          <w:trHeight w:val="503"/>
        </w:trPr>
        <w:tc>
          <w:tcPr>
            <w:tcW w:w="10159" w:type="dxa"/>
            <w:shd w:val="clear" w:color="auto" w:fill="D6E3BC"/>
            <w:vAlign w:val="center"/>
          </w:tcPr>
          <w:p w:rsidR="00E41AE5" w:rsidRPr="00F67A3D" w:rsidRDefault="00E41AE5" w:rsidP="00F67A3D">
            <w:pPr>
              <w:widowControl w:val="0"/>
              <w:rPr>
                <w:snapToGrid w:val="0"/>
                <w:szCs w:val="22"/>
              </w:rPr>
            </w:pPr>
            <w:r w:rsidRPr="00F67A3D">
              <w:rPr>
                <w:snapToGrid w:val="0"/>
                <w:szCs w:val="22"/>
              </w:rPr>
              <w:t xml:space="preserve">(f)  Classroom Management Indicator:  Employs a variety of classroom management strategies, and establishes and maintains effective routines and procedures that promote positive student behavior. </w:t>
            </w:r>
          </w:p>
        </w:tc>
        <w:tc>
          <w:tcPr>
            <w:tcW w:w="1361" w:type="dxa"/>
            <w:shd w:val="clear" w:color="auto" w:fill="D6E3BC"/>
            <w:vAlign w:val="center"/>
          </w:tcPr>
          <w:p w:rsidR="00E41AE5" w:rsidRPr="00F67A3D" w:rsidRDefault="00E41AE5" w:rsidP="00F67A3D">
            <w:pPr>
              <w:widowControl w:val="0"/>
              <w:jc w:val="center"/>
              <w:rPr>
                <w:snapToGrid w:val="0"/>
                <w:szCs w:val="22"/>
              </w:rPr>
            </w:pPr>
          </w:p>
        </w:tc>
        <w:tc>
          <w:tcPr>
            <w:tcW w:w="1161" w:type="dxa"/>
            <w:shd w:val="clear" w:color="auto" w:fill="D6E3BC"/>
            <w:vAlign w:val="center"/>
          </w:tcPr>
          <w:p w:rsidR="00E41AE5" w:rsidRPr="00F67A3D" w:rsidRDefault="00E41AE5" w:rsidP="00F67A3D">
            <w:pPr>
              <w:widowControl w:val="0"/>
              <w:jc w:val="center"/>
              <w:rPr>
                <w:snapToGrid w:val="0"/>
                <w:szCs w:val="22"/>
              </w:rPr>
            </w:pPr>
          </w:p>
        </w:tc>
        <w:tc>
          <w:tcPr>
            <w:tcW w:w="1629" w:type="dxa"/>
            <w:shd w:val="clear" w:color="auto" w:fill="D6E3BC"/>
            <w:vAlign w:val="center"/>
          </w:tcPr>
          <w:p w:rsidR="00E41AE5" w:rsidRPr="00F67A3D" w:rsidRDefault="00E41AE5" w:rsidP="00F67A3D">
            <w:pPr>
              <w:widowControl w:val="0"/>
              <w:jc w:val="center"/>
              <w:rPr>
                <w:snapToGrid w:val="0"/>
                <w:szCs w:val="22"/>
              </w:rPr>
            </w:pPr>
            <w:r w:rsidRPr="00F67A3D">
              <w:rPr>
                <w:snapToGrid w:val="0"/>
                <w:szCs w:val="22"/>
              </w:rPr>
              <w:t>X</w:t>
            </w:r>
          </w:p>
        </w:tc>
      </w:tr>
      <w:tr w:rsidR="0058005B" w:rsidRPr="00F67A3D" w:rsidTr="00F67A3D">
        <w:trPr>
          <w:trHeight w:val="692"/>
        </w:trPr>
        <w:tc>
          <w:tcPr>
            <w:tcW w:w="10159" w:type="dxa"/>
            <w:shd w:val="clear" w:color="auto" w:fill="D6E3BC"/>
            <w:vAlign w:val="center"/>
          </w:tcPr>
          <w:p w:rsidR="00E41AE5" w:rsidRPr="00F67A3D" w:rsidRDefault="00E41AE5" w:rsidP="00E41AE5">
            <w:pPr>
              <w:contextualSpacing/>
              <w:rPr>
                <w:rFonts w:eastAsia="Calibri"/>
                <w:szCs w:val="22"/>
              </w:rPr>
            </w:pPr>
            <w:r w:rsidRPr="00F67A3D">
              <w:rPr>
                <w:rFonts w:eastAsia="Calibri"/>
                <w:szCs w:val="22"/>
              </w:rPr>
              <w:t>SEI Indicator (b) Uses effective strategies and techniques for making content accessible to English language learners.</w:t>
            </w:r>
          </w:p>
        </w:tc>
        <w:tc>
          <w:tcPr>
            <w:tcW w:w="1361" w:type="dxa"/>
            <w:shd w:val="clear" w:color="auto" w:fill="D6E3BC"/>
            <w:vAlign w:val="center"/>
          </w:tcPr>
          <w:p w:rsidR="00E41AE5" w:rsidRPr="00F67A3D" w:rsidRDefault="00E41AE5" w:rsidP="00F67A3D">
            <w:pPr>
              <w:widowControl w:val="0"/>
              <w:jc w:val="center"/>
              <w:rPr>
                <w:b/>
                <w:snapToGrid w:val="0"/>
                <w:szCs w:val="22"/>
              </w:rPr>
            </w:pPr>
          </w:p>
        </w:tc>
        <w:tc>
          <w:tcPr>
            <w:tcW w:w="1161" w:type="dxa"/>
            <w:shd w:val="clear" w:color="auto" w:fill="D6E3BC"/>
            <w:vAlign w:val="center"/>
          </w:tcPr>
          <w:p w:rsidR="00E41AE5" w:rsidRPr="00F67A3D" w:rsidRDefault="00E41AE5" w:rsidP="00F67A3D">
            <w:pPr>
              <w:widowControl w:val="0"/>
              <w:jc w:val="center"/>
              <w:rPr>
                <w:snapToGrid w:val="0"/>
                <w:szCs w:val="22"/>
              </w:rPr>
            </w:pPr>
          </w:p>
        </w:tc>
        <w:tc>
          <w:tcPr>
            <w:tcW w:w="1629" w:type="dxa"/>
            <w:shd w:val="clear" w:color="auto" w:fill="D6E3BC"/>
            <w:vAlign w:val="center"/>
          </w:tcPr>
          <w:p w:rsidR="00E41AE5" w:rsidRPr="00F67A3D" w:rsidRDefault="00E41AE5" w:rsidP="00F67A3D">
            <w:pPr>
              <w:widowControl w:val="0"/>
              <w:jc w:val="center"/>
              <w:rPr>
                <w:snapToGrid w:val="0"/>
                <w:szCs w:val="22"/>
              </w:rPr>
            </w:pPr>
            <w:r w:rsidRPr="00F67A3D">
              <w:rPr>
                <w:snapToGrid w:val="0"/>
                <w:szCs w:val="22"/>
              </w:rPr>
              <w:t>X</w:t>
            </w:r>
          </w:p>
        </w:tc>
      </w:tr>
      <w:tr w:rsidR="0058005B" w:rsidRPr="00F67A3D" w:rsidTr="00F67A3D">
        <w:trPr>
          <w:trHeight w:val="620"/>
        </w:trPr>
        <w:tc>
          <w:tcPr>
            <w:tcW w:w="10159" w:type="dxa"/>
            <w:shd w:val="clear" w:color="auto" w:fill="D6E3BC"/>
            <w:vAlign w:val="center"/>
          </w:tcPr>
          <w:p w:rsidR="00E41AE5" w:rsidRPr="00F67A3D" w:rsidRDefault="00E41AE5" w:rsidP="00F67A3D">
            <w:pPr>
              <w:widowControl w:val="0"/>
              <w:rPr>
                <w:snapToGrid w:val="0"/>
                <w:szCs w:val="22"/>
              </w:rPr>
            </w:pPr>
            <w:r w:rsidRPr="00F67A3D">
              <w:rPr>
                <w:snapToGrid w:val="0"/>
                <w:szCs w:val="22"/>
              </w:rPr>
              <w:t>SEI Indicator (d) Creates and maintains a safe and collaborative learning environment that values diversity and motivates students to meet high standards of conduct, effort and performance.</w:t>
            </w:r>
          </w:p>
        </w:tc>
        <w:tc>
          <w:tcPr>
            <w:tcW w:w="1361" w:type="dxa"/>
            <w:shd w:val="clear" w:color="auto" w:fill="D6E3BC"/>
            <w:vAlign w:val="center"/>
          </w:tcPr>
          <w:p w:rsidR="00E41AE5" w:rsidRPr="00F67A3D" w:rsidRDefault="00E41AE5" w:rsidP="00F67A3D">
            <w:pPr>
              <w:widowControl w:val="0"/>
              <w:jc w:val="center"/>
              <w:rPr>
                <w:b/>
                <w:snapToGrid w:val="0"/>
                <w:szCs w:val="22"/>
              </w:rPr>
            </w:pPr>
          </w:p>
        </w:tc>
        <w:tc>
          <w:tcPr>
            <w:tcW w:w="1161" w:type="dxa"/>
            <w:shd w:val="clear" w:color="auto" w:fill="D6E3BC"/>
            <w:vAlign w:val="center"/>
          </w:tcPr>
          <w:p w:rsidR="00E41AE5" w:rsidRPr="00F67A3D" w:rsidRDefault="00E41AE5" w:rsidP="00F67A3D">
            <w:pPr>
              <w:widowControl w:val="0"/>
              <w:jc w:val="center"/>
              <w:rPr>
                <w:snapToGrid w:val="0"/>
                <w:szCs w:val="22"/>
              </w:rPr>
            </w:pPr>
          </w:p>
        </w:tc>
        <w:tc>
          <w:tcPr>
            <w:tcW w:w="1629" w:type="dxa"/>
            <w:shd w:val="clear" w:color="auto" w:fill="D6E3BC"/>
            <w:vAlign w:val="center"/>
          </w:tcPr>
          <w:p w:rsidR="00E41AE5" w:rsidRPr="00F67A3D" w:rsidRDefault="00E41AE5" w:rsidP="00F67A3D">
            <w:pPr>
              <w:widowControl w:val="0"/>
              <w:jc w:val="center"/>
              <w:rPr>
                <w:snapToGrid w:val="0"/>
                <w:szCs w:val="22"/>
              </w:rPr>
            </w:pPr>
            <w:r w:rsidRPr="00F67A3D">
              <w:rPr>
                <w:snapToGrid w:val="0"/>
                <w:szCs w:val="22"/>
              </w:rPr>
              <w:t>X</w:t>
            </w:r>
          </w:p>
        </w:tc>
      </w:tr>
      <w:tr w:rsidR="00E41AE5" w:rsidRPr="00F67A3D" w:rsidTr="00F67A3D">
        <w:trPr>
          <w:trHeight w:val="141"/>
        </w:trPr>
        <w:tc>
          <w:tcPr>
            <w:tcW w:w="14310" w:type="dxa"/>
            <w:gridSpan w:val="4"/>
            <w:shd w:val="clear" w:color="auto" w:fill="E5DFEC"/>
            <w:vAlign w:val="center"/>
          </w:tcPr>
          <w:p w:rsidR="00E41AE5" w:rsidRPr="00F67A3D" w:rsidRDefault="00E41AE5" w:rsidP="00F67A3D">
            <w:pPr>
              <w:widowControl w:val="0"/>
              <w:rPr>
                <w:snapToGrid w:val="0"/>
                <w:szCs w:val="22"/>
              </w:rPr>
            </w:pPr>
            <w:r w:rsidRPr="00F67A3D">
              <w:rPr>
                <w:b/>
                <w:snapToGrid w:val="0"/>
                <w:szCs w:val="22"/>
              </w:rPr>
              <w:t>(3) Family and Community Engagement standard:</w:t>
            </w:r>
            <w:r w:rsidRPr="00F67A3D">
              <w:rPr>
                <w:snapToGrid w:val="0"/>
                <w:szCs w:val="22"/>
              </w:rPr>
              <w:t xml:space="preserve"> Promotes the learning and growth of all students through effective partnerships with families, caregivers, community members, and organizations.</w:t>
            </w:r>
          </w:p>
        </w:tc>
      </w:tr>
      <w:tr w:rsidR="0058005B" w:rsidRPr="00F67A3D" w:rsidTr="00F67A3D">
        <w:trPr>
          <w:trHeight w:val="141"/>
        </w:trPr>
        <w:tc>
          <w:tcPr>
            <w:tcW w:w="10159" w:type="dxa"/>
            <w:shd w:val="clear" w:color="auto" w:fill="CCC0D9"/>
            <w:vAlign w:val="center"/>
          </w:tcPr>
          <w:p w:rsidR="00E41AE5" w:rsidRPr="00F67A3D" w:rsidRDefault="00E41AE5" w:rsidP="00F67A3D">
            <w:pPr>
              <w:widowControl w:val="0"/>
              <w:rPr>
                <w:snapToGrid w:val="0"/>
                <w:szCs w:val="22"/>
              </w:rPr>
            </w:pPr>
          </w:p>
        </w:tc>
        <w:tc>
          <w:tcPr>
            <w:tcW w:w="1361" w:type="dxa"/>
            <w:shd w:val="clear" w:color="auto" w:fill="CCC0D9"/>
            <w:vAlign w:val="center"/>
          </w:tcPr>
          <w:p w:rsidR="00E41AE5" w:rsidRPr="00F67A3D" w:rsidRDefault="00E41AE5" w:rsidP="00F67A3D">
            <w:pPr>
              <w:widowControl w:val="0"/>
              <w:jc w:val="center"/>
              <w:rPr>
                <w:snapToGrid w:val="0"/>
                <w:szCs w:val="22"/>
              </w:rPr>
            </w:pPr>
            <w:r w:rsidRPr="00F67A3D">
              <w:rPr>
                <w:b/>
                <w:snapToGrid w:val="0"/>
                <w:szCs w:val="22"/>
              </w:rPr>
              <w:t>Introduction</w:t>
            </w:r>
          </w:p>
        </w:tc>
        <w:tc>
          <w:tcPr>
            <w:tcW w:w="1161" w:type="dxa"/>
            <w:shd w:val="clear" w:color="auto" w:fill="CCC0D9"/>
            <w:vAlign w:val="center"/>
          </w:tcPr>
          <w:p w:rsidR="00E41AE5" w:rsidRPr="00F67A3D" w:rsidRDefault="00E41AE5" w:rsidP="00F67A3D">
            <w:pPr>
              <w:widowControl w:val="0"/>
              <w:jc w:val="center"/>
              <w:rPr>
                <w:snapToGrid w:val="0"/>
                <w:szCs w:val="22"/>
              </w:rPr>
            </w:pPr>
            <w:r w:rsidRPr="00F67A3D">
              <w:rPr>
                <w:b/>
                <w:snapToGrid w:val="0"/>
                <w:szCs w:val="22"/>
              </w:rPr>
              <w:t>Practice</w:t>
            </w:r>
          </w:p>
        </w:tc>
        <w:tc>
          <w:tcPr>
            <w:tcW w:w="1629" w:type="dxa"/>
            <w:shd w:val="clear" w:color="auto" w:fill="CCC0D9"/>
            <w:vAlign w:val="center"/>
          </w:tcPr>
          <w:p w:rsidR="00E41AE5" w:rsidRPr="00F67A3D" w:rsidRDefault="00E41AE5" w:rsidP="00F67A3D">
            <w:pPr>
              <w:widowControl w:val="0"/>
              <w:jc w:val="center"/>
              <w:rPr>
                <w:snapToGrid w:val="0"/>
                <w:szCs w:val="22"/>
              </w:rPr>
            </w:pPr>
            <w:r w:rsidRPr="00F67A3D">
              <w:rPr>
                <w:b/>
                <w:snapToGrid w:val="0"/>
                <w:szCs w:val="22"/>
              </w:rPr>
              <w:t>Demonstrate</w:t>
            </w:r>
          </w:p>
        </w:tc>
      </w:tr>
      <w:tr w:rsidR="0058005B" w:rsidRPr="00F67A3D" w:rsidTr="00F67A3D">
        <w:trPr>
          <w:trHeight w:val="141"/>
        </w:trPr>
        <w:tc>
          <w:tcPr>
            <w:tcW w:w="10159" w:type="dxa"/>
            <w:shd w:val="clear" w:color="auto" w:fill="CCC0D9"/>
            <w:vAlign w:val="center"/>
          </w:tcPr>
          <w:p w:rsidR="00E41AE5" w:rsidRPr="00F67A3D" w:rsidRDefault="00E41AE5" w:rsidP="00F67A3D">
            <w:pPr>
              <w:widowControl w:val="0"/>
              <w:rPr>
                <w:snapToGrid w:val="0"/>
                <w:szCs w:val="22"/>
              </w:rPr>
            </w:pPr>
            <w:r w:rsidRPr="00F67A3D">
              <w:rPr>
                <w:snapToGrid w:val="0"/>
                <w:szCs w:val="22"/>
              </w:rPr>
              <w:t>(a)  Engagement indicator: Welcomes and encourages every family to become active participants in the classroom and school community.</w:t>
            </w:r>
          </w:p>
        </w:tc>
        <w:tc>
          <w:tcPr>
            <w:tcW w:w="1361" w:type="dxa"/>
            <w:shd w:val="clear" w:color="auto" w:fill="CCC0D9"/>
            <w:vAlign w:val="center"/>
          </w:tcPr>
          <w:p w:rsidR="00E41AE5" w:rsidRPr="00F67A3D" w:rsidRDefault="00E41AE5" w:rsidP="00F67A3D">
            <w:pPr>
              <w:widowControl w:val="0"/>
              <w:jc w:val="center"/>
              <w:rPr>
                <w:snapToGrid w:val="0"/>
                <w:szCs w:val="22"/>
              </w:rPr>
            </w:pPr>
          </w:p>
          <w:p w:rsidR="00E41AE5" w:rsidRPr="00F67A3D" w:rsidRDefault="00E41AE5" w:rsidP="00F67A3D">
            <w:pPr>
              <w:widowControl w:val="0"/>
              <w:jc w:val="center"/>
              <w:rPr>
                <w:snapToGrid w:val="0"/>
                <w:szCs w:val="22"/>
              </w:rPr>
            </w:pPr>
          </w:p>
        </w:tc>
        <w:tc>
          <w:tcPr>
            <w:tcW w:w="1161" w:type="dxa"/>
            <w:shd w:val="clear" w:color="auto" w:fill="CCC0D9"/>
            <w:vAlign w:val="center"/>
          </w:tcPr>
          <w:p w:rsidR="00E41AE5" w:rsidRPr="00F67A3D" w:rsidRDefault="00E41AE5" w:rsidP="00F67A3D">
            <w:pPr>
              <w:widowControl w:val="0"/>
              <w:jc w:val="center"/>
              <w:rPr>
                <w:snapToGrid w:val="0"/>
                <w:szCs w:val="22"/>
              </w:rPr>
            </w:pPr>
            <w:r w:rsidRPr="00F67A3D">
              <w:rPr>
                <w:snapToGrid w:val="0"/>
                <w:szCs w:val="22"/>
              </w:rPr>
              <w:t>X</w:t>
            </w:r>
          </w:p>
        </w:tc>
        <w:tc>
          <w:tcPr>
            <w:tcW w:w="1629" w:type="dxa"/>
            <w:shd w:val="clear" w:color="auto" w:fill="CCC0D9"/>
            <w:vAlign w:val="center"/>
          </w:tcPr>
          <w:p w:rsidR="00E41AE5" w:rsidRPr="00F67A3D" w:rsidRDefault="00E41AE5" w:rsidP="00F67A3D">
            <w:pPr>
              <w:widowControl w:val="0"/>
              <w:jc w:val="center"/>
              <w:rPr>
                <w:snapToGrid w:val="0"/>
                <w:szCs w:val="22"/>
              </w:rPr>
            </w:pPr>
          </w:p>
        </w:tc>
      </w:tr>
      <w:tr w:rsidR="0058005B" w:rsidRPr="00F67A3D" w:rsidTr="00F67A3D">
        <w:trPr>
          <w:trHeight w:val="530"/>
        </w:trPr>
        <w:tc>
          <w:tcPr>
            <w:tcW w:w="10159" w:type="dxa"/>
            <w:shd w:val="clear" w:color="auto" w:fill="CCC0D9"/>
            <w:vAlign w:val="center"/>
          </w:tcPr>
          <w:p w:rsidR="00E41AE5" w:rsidRPr="00F67A3D" w:rsidRDefault="00E41AE5" w:rsidP="00F67A3D">
            <w:pPr>
              <w:widowControl w:val="0"/>
              <w:rPr>
                <w:snapToGrid w:val="0"/>
                <w:szCs w:val="22"/>
              </w:rPr>
            </w:pPr>
            <w:r w:rsidRPr="00F67A3D">
              <w:rPr>
                <w:snapToGrid w:val="0"/>
                <w:szCs w:val="22"/>
              </w:rPr>
              <w:t>(b) Collaboration indicator: Collaborates with families and communities to create and implement strategies for supporting student learning and development both at home and at school.</w:t>
            </w:r>
          </w:p>
        </w:tc>
        <w:tc>
          <w:tcPr>
            <w:tcW w:w="1361" w:type="dxa"/>
            <w:shd w:val="clear" w:color="auto" w:fill="CCC0D9"/>
            <w:vAlign w:val="center"/>
          </w:tcPr>
          <w:p w:rsidR="00E41AE5" w:rsidRPr="00F67A3D" w:rsidRDefault="00E41AE5" w:rsidP="00F67A3D">
            <w:pPr>
              <w:widowControl w:val="0"/>
              <w:jc w:val="center"/>
              <w:rPr>
                <w:snapToGrid w:val="0"/>
                <w:szCs w:val="22"/>
              </w:rPr>
            </w:pPr>
          </w:p>
        </w:tc>
        <w:tc>
          <w:tcPr>
            <w:tcW w:w="1161" w:type="dxa"/>
            <w:shd w:val="clear" w:color="auto" w:fill="CCC0D9"/>
            <w:vAlign w:val="center"/>
          </w:tcPr>
          <w:p w:rsidR="00E41AE5" w:rsidRPr="00F67A3D" w:rsidRDefault="00E41AE5" w:rsidP="00F67A3D">
            <w:pPr>
              <w:widowControl w:val="0"/>
              <w:jc w:val="center"/>
              <w:rPr>
                <w:snapToGrid w:val="0"/>
                <w:szCs w:val="22"/>
              </w:rPr>
            </w:pPr>
            <w:r w:rsidRPr="00F67A3D">
              <w:rPr>
                <w:snapToGrid w:val="0"/>
                <w:szCs w:val="22"/>
              </w:rPr>
              <w:t>X</w:t>
            </w:r>
          </w:p>
        </w:tc>
        <w:tc>
          <w:tcPr>
            <w:tcW w:w="1629" w:type="dxa"/>
            <w:shd w:val="clear" w:color="auto" w:fill="CCC0D9"/>
            <w:vAlign w:val="center"/>
          </w:tcPr>
          <w:p w:rsidR="00E41AE5" w:rsidRPr="00F67A3D" w:rsidRDefault="00E41AE5" w:rsidP="00F67A3D">
            <w:pPr>
              <w:widowControl w:val="0"/>
              <w:jc w:val="center"/>
              <w:rPr>
                <w:snapToGrid w:val="0"/>
                <w:szCs w:val="22"/>
              </w:rPr>
            </w:pPr>
          </w:p>
        </w:tc>
      </w:tr>
      <w:tr w:rsidR="0058005B" w:rsidRPr="00F67A3D" w:rsidTr="00F67A3D">
        <w:trPr>
          <w:trHeight w:val="170"/>
        </w:trPr>
        <w:tc>
          <w:tcPr>
            <w:tcW w:w="10159" w:type="dxa"/>
            <w:shd w:val="clear" w:color="auto" w:fill="CCC0D9"/>
            <w:vAlign w:val="center"/>
          </w:tcPr>
          <w:p w:rsidR="00E41AE5" w:rsidRPr="00F67A3D" w:rsidRDefault="00E41AE5" w:rsidP="00F67A3D">
            <w:pPr>
              <w:widowControl w:val="0"/>
              <w:rPr>
                <w:snapToGrid w:val="0"/>
                <w:szCs w:val="22"/>
              </w:rPr>
            </w:pPr>
            <w:r w:rsidRPr="00F67A3D">
              <w:rPr>
                <w:snapToGrid w:val="0"/>
                <w:szCs w:val="22"/>
              </w:rPr>
              <w:t>(c)  Communication indicator: Engages in regular, two-way, and culturally proficient communication with families about student learning and performance.</w:t>
            </w:r>
          </w:p>
        </w:tc>
        <w:tc>
          <w:tcPr>
            <w:tcW w:w="1361" w:type="dxa"/>
            <w:shd w:val="clear" w:color="auto" w:fill="CCC0D9"/>
            <w:vAlign w:val="center"/>
          </w:tcPr>
          <w:p w:rsidR="00E41AE5" w:rsidRPr="00F67A3D" w:rsidRDefault="00E41AE5" w:rsidP="00F67A3D">
            <w:pPr>
              <w:widowControl w:val="0"/>
              <w:jc w:val="center"/>
              <w:rPr>
                <w:snapToGrid w:val="0"/>
                <w:szCs w:val="22"/>
              </w:rPr>
            </w:pPr>
          </w:p>
        </w:tc>
        <w:tc>
          <w:tcPr>
            <w:tcW w:w="1161" w:type="dxa"/>
            <w:shd w:val="clear" w:color="auto" w:fill="CCC0D9"/>
            <w:vAlign w:val="center"/>
          </w:tcPr>
          <w:p w:rsidR="00E41AE5" w:rsidRPr="00F67A3D" w:rsidRDefault="00E41AE5" w:rsidP="00F67A3D">
            <w:pPr>
              <w:widowControl w:val="0"/>
              <w:jc w:val="center"/>
              <w:rPr>
                <w:snapToGrid w:val="0"/>
                <w:szCs w:val="22"/>
              </w:rPr>
            </w:pPr>
            <w:r w:rsidRPr="00F67A3D">
              <w:rPr>
                <w:snapToGrid w:val="0"/>
                <w:szCs w:val="22"/>
              </w:rPr>
              <w:t>X</w:t>
            </w:r>
          </w:p>
        </w:tc>
        <w:tc>
          <w:tcPr>
            <w:tcW w:w="1629" w:type="dxa"/>
            <w:shd w:val="clear" w:color="auto" w:fill="CCC0D9"/>
            <w:vAlign w:val="center"/>
          </w:tcPr>
          <w:p w:rsidR="00E41AE5" w:rsidRPr="00F67A3D" w:rsidRDefault="00E41AE5" w:rsidP="00F67A3D">
            <w:pPr>
              <w:widowControl w:val="0"/>
              <w:jc w:val="center"/>
              <w:rPr>
                <w:snapToGrid w:val="0"/>
                <w:szCs w:val="22"/>
              </w:rPr>
            </w:pPr>
          </w:p>
        </w:tc>
      </w:tr>
      <w:tr w:rsidR="0058005B" w:rsidRPr="00F67A3D" w:rsidTr="00F67A3D">
        <w:trPr>
          <w:trHeight w:val="602"/>
        </w:trPr>
        <w:tc>
          <w:tcPr>
            <w:tcW w:w="10159" w:type="dxa"/>
            <w:shd w:val="clear" w:color="auto" w:fill="CCC0D9"/>
            <w:vAlign w:val="center"/>
          </w:tcPr>
          <w:p w:rsidR="00E41AE5" w:rsidRPr="00F67A3D" w:rsidRDefault="00E41AE5" w:rsidP="00F67A3D">
            <w:pPr>
              <w:widowControl w:val="0"/>
              <w:rPr>
                <w:snapToGrid w:val="0"/>
                <w:szCs w:val="22"/>
              </w:rPr>
            </w:pPr>
            <w:r w:rsidRPr="00F67A3D">
              <w:rPr>
                <w:snapToGrid w:val="0"/>
                <w:szCs w:val="22"/>
              </w:rPr>
              <w:t>SEI Indicator (e) Collaborates with families, recognizing the significance of native language and culture to create and implement strategies for supporting student learning and development both at home and at school.</w:t>
            </w:r>
          </w:p>
        </w:tc>
        <w:tc>
          <w:tcPr>
            <w:tcW w:w="1361" w:type="dxa"/>
            <w:shd w:val="clear" w:color="auto" w:fill="CCC0D9"/>
            <w:vAlign w:val="center"/>
          </w:tcPr>
          <w:p w:rsidR="00E41AE5" w:rsidRPr="00F67A3D" w:rsidRDefault="00E41AE5" w:rsidP="00F67A3D">
            <w:pPr>
              <w:widowControl w:val="0"/>
              <w:jc w:val="center"/>
              <w:rPr>
                <w:snapToGrid w:val="0"/>
                <w:szCs w:val="22"/>
              </w:rPr>
            </w:pPr>
          </w:p>
        </w:tc>
        <w:tc>
          <w:tcPr>
            <w:tcW w:w="1161" w:type="dxa"/>
            <w:shd w:val="clear" w:color="auto" w:fill="CCC0D9"/>
            <w:vAlign w:val="center"/>
          </w:tcPr>
          <w:p w:rsidR="00E41AE5" w:rsidRPr="00F67A3D" w:rsidRDefault="00E41AE5" w:rsidP="00F67A3D">
            <w:pPr>
              <w:widowControl w:val="0"/>
              <w:jc w:val="center"/>
              <w:rPr>
                <w:snapToGrid w:val="0"/>
                <w:szCs w:val="22"/>
              </w:rPr>
            </w:pPr>
            <w:r w:rsidRPr="00F67A3D">
              <w:rPr>
                <w:snapToGrid w:val="0"/>
                <w:szCs w:val="22"/>
              </w:rPr>
              <w:t>X</w:t>
            </w:r>
          </w:p>
        </w:tc>
        <w:tc>
          <w:tcPr>
            <w:tcW w:w="1629" w:type="dxa"/>
            <w:shd w:val="clear" w:color="auto" w:fill="CCC0D9"/>
            <w:vAlign w:val="center"/>
          </w:tcPr>
          <w:p w:rsidR="00E41AE5" w:rsidRPr="00F67A3D" w:rsidRDefault="00E41AE5" w:rsidP="00F67A3D">
            <w:pPr>
              <w:widowControl w:val="0"/>
              <w:jc w:val="center"/>
              <w:rPr>
                <w:snapToGrid w:val="0"/>
                <w:szCs w:val="22"/>
              </w:rPr>
            </w:pPr>
          </w:p>
        </w:tc>
      </w:tr>
      <w:tr w:rsidR="00E41AE5" w:rsidRPr="00F67A3D" w:rsidTr="00F67A3D">
        <w:trPr>
          <w:trHeight w:val="514"/>
        </w:trPr>
        <w:tc>
          <w:tcPr>
            <w:tcW w:w="14310" w:type="dxa"/>
            <w:gridSpan w:val="4"/>
            <w:shd w:val="clear" w:color="auto" w:fill="FDE9D9"/>
            <w:vAlign w:val="center"/>
          </w:tcPr>
          <w:p w:rsidR="00E41AE5" w:rsidRPr="00F67A3D" w:rsidRDefault="00E41AE5" w:rsidP="00F67A3D">
            <w:pPr>
              <w:widowControl w:val="0"/>
              <w:rPr>
                <w:snapToGrid w:val="0"/>
                <w:szCs w:val="22"/>
              </w:rPr>
            </w:pPr>
            <w:r w:rsidRPr="00F67A3D">
              <w:rPr>
                <w:b/>
                <w:snapToGrid w:val="0"/>
                <w:szCs w:val="22"/>
              </w:rPr>
              <w:t>(4) Professional Culture standard:</w:t>
            </w:r>
            <w:r w:rsidRPr="00F67A3D">
              <w:rPr>
                <w:snapToGrid w:val="0"/>
                <w:szCs w:val="22"/>
              </w:rPr>
              <w:t xml:space="preserve"> Promotes the learning and growth of all students through ethical, culturally proficient, skilled, and collaborative practice.</w:t>
            </w:r>
          </w:p>
        </w:tc>
      </w:tr>
      <w:tr w:rsidR="0058005B" w:rsidRPr="00F67A3D" w:rsidTr="00F67A3D">
        <w:trPr>
          <w:trHeight w:val="250"/>
        </w:trPr>
        <w:tc>
          <w:tcPr>
            <w:tcW w:w="10159" w:type="dxa"/>
            <w:shd w:val="clear" w:color="auto" w:fill="FBD4B4"/>
            <w:vAlign w:val="center"/>
          </w:tcPr>
          <w:p w:rsidR="00E41AE5" w:rsidRPr="00F67A3D" w:rsidRDefault="00E41AE5" w:rsidP="00F67A3D">
            <w:pPr>
              <w:widowControl w:val="0"/>
              <w:rPr>
                <w:snapToGrid w:val="0"/>
                <w:szCs w:val="22"/>
              </w:rPr>
            </w:pPr>
          </w:p>
        </w:tc>
        <w:tc>
          <w:tcPr>
            <w:tcW w:w="1361" w:type="dxa"/>
            <w:shd w:val="clear" w:color="auto" w:fill="FBD4B4"/>
            <w:vAlign w:val="center"/>
          </w:tcPr>
          <w:p w:rsidR="00E41AE5" w:rsidRPr="00F67A3D" w:rsidRDefault="00E41AE5" w:rsidP="00F67A3D">
            <w:pPr>
              <w:widowControl w:val="0"/>
              <w:jc w:val="center"/>
              <w:rPr>
                <w:snapToGrid w:val="0"/>
                <w:szCs w:val="22"/>
              </w:rPr>
            </w:pPr>
            <w:r w:rsidRPr="00F67A3D">
              <w:rPr>
                <w:b/>
                <w:snapToGrid w:val="0"/>
                <w:szCs w:val="22"/>
              </w:rPr>
              <w:t>Introduction</w:t>
            </w:r>
          </w:p>
        </w:tc>
        <w:tc>
          <w:tcPr>
            <w:tcW w:w="1161" w:type="dxa"/>
            <w:shd w:val="clear" w:color="auto" w:fill="FBD4B4"/>
            <w:vAlign w:val="center"/>
          </w:tcPr>
          <w:p w:rsidR="00E41AE5" w:rsidRPr="00F67A3D" w:rsidRDefault="00E41AE5" w:rsidP="00F67A3D">
            <w:pPr>
              <w:widowControl w:val="0"/>
              <w:jc w:val="center"/>
              <w:rPr>
                <w:snapToGrid w:val="0"/>
                <w:szCs w:val="22"/>
              </w:rPr>
            </w:pPr>
            <w:r w:rsidRPr="00F67A3D">
              <w:rPr>
                <w:b/>
                <w:snapToGrid w:val="0"/>
                <w:szCs w:val="22"/>
              </w:rPr>
              <w:t>Practice</w:t>
            </w:r>
          </w:p>
        </w:tc>
        <w:tc>
          <w:tcPr>
            <w:tcW w:w="1629" w:type="dxa"/>
            <w:shd w:val="clear" w:color="auto" w:fill="FBD4B4"/>
            <w:vAlign w:val="center"/>
          </w:tcPr>
          <w:p w:rsidR="00E41AE5" w:rsidRPr="00F67A3D" w:rsidRDefault="00E41AE5" w:rsidP="00F67A3D">
            <w:pPr>
              <w:widowControl w:val="0"/>
              <w:jc w:val="center"/>
              <w:rPr>
                <w:snapToGrid w:val="0"/>
                <w:szCs w:val="22"/>
              </w:rPr>
            </w:pPr>
            <w:r w:rsidRPr="00F67A3D">
              <w:rPr>
                <w:b/>
                <w:snapToGrid w:val="0"/>
                <w:szCs w:val="22"/>
              </w:rPr>
              <w:t>Demonstrate</w:t>
            </w:r>
          </w:p>
        </w:tc>
      </w:tr>
      <w:tr w:rsidR="0058005B" w:rsidRPr="00F67A3D" w:rsidTr="00F67A3D">
        <w:trPr>
          <w:trHeight w:val="710"/>
        </w:trPr>
        <w:tc>
          <w:tcPr>
            <w:tcW w:w="10159" w:type="dxa"/>
            <w:shd w:val="clear" w:color="auto" w:fill="FBD4B4"/>
            <w:vAlign w:val="center"/>
          </w:tcPr>
          <w:p w:rsidR="00E41AE5" w:rsidRPr="00F67A3D" w:rsidRDefault="00E41AE5" w:rsidP="00F67A3D">
            <w:pPr>
              <w:widowControl w:val="0"/>
              <w:rPr>
                <w:snapToGrid w:val="0"/>
                <w:szCs w:val="22"/>
              </w:rPr>
            </w:pPr>
            <w:r w:rsidRPr="00F67A3D">
              <w:rPr>
                <w:snapToGrid w:val="0"/>
                <w:szCs w:val="22"/>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c>
        <w:tc>
          <w:tcPr>
            <w:tcW w:w="1361" w:type="dxa"/>
            <w:shd w:val="clear" w:color="auto" w:fill="FBD4B4"/>
            <w:vAlign w:val="center"/>
          </w:tcPr>
          <w:p w:rsidR="00E41AE5" w:rsidRPr="00F67A3D" w:rsidRDefault="00E41AE5" w:rsidP="00F67A3D">
            <w:pPr>
              <w:widowControl w:val="0"/>
              <w:jc w:val="center"/>
              <w:rPr>
                <w:snapToGrid w:val="0"/>
                <w:szCs w:val="22"/>
              </w:rPr>
            </w:pPr>
          </w:p>
        </w:tc>
        <w:tc>
          <w:tcPr>
            <w:tcW w:w="1161" w:type="dxa"/>
            <w:shd w:val="clear" w:color="auto" w:fill="FBD4B4"/>
            <w:vAlign w:val="center"/>
          </w:tcPr>
          <w:p w:rsidR="00E41AE5" w:rsidRPr="00F67A3D" w:rsidRDefault="00E41AE5" w:rsidP="00F67A3D">
            <w:pPr>
              <w:widowControl w:val="0"/>
              <w:jc w:val="center"/>
              <w:rPr>
                <w:snapToGrid w:val="0"/>
                <w:szCs w:val="22"/>
              </w:rPr>
            </w:pPr>
          </w:p>
        </w:tc>
        <w:tc>
          <w:tcPr>
            <w:tcW w:w="1629" w:type="dxa"/>
            <w:shd w:val="clear" w:color="auto" w:fill="FBD4B4"/>
            <w:vAlign w:val="center"/>
          </w:tcPr>
          <w:p w:rsidR="00E41AE5" w:rsidRPr="00F67A3D" w:rsidRDefault="00E41AE5" w:rsidP="00F67A3D">
            <w:pPr>
              <w:widowControl w:val="0"/>
              <w:jc w:val="center"/>
              <w:rPr>
                <w:snapToGrid w:val="0"/>
                <w:szCs w:val="22"/>
              </w:rPr>
            </w:pPr>
            <w:r w:rsidRPr="00F67A3D">
              <w:rPr>
                <w:snapToGrid w:val="0"/>
                <w:szCs w:val="22"/>
              </w:rPr>
              <w:t>X</w:t>
            </w:r>
          </w:p>
        </w:tc>
      </w:tr>
      <w:tr w:rsidR="0058005B" w:rsidRPr="00F67A3D" w:rsidTr="00F67A3D">
        <w:trPr>
          <w:trHeight w:val="260"/>
        </w:trPr>
        <w:tc>
          <w:tcPr>
            <w:tcW w:w="10159" w:type="dxa"/>
            <w:shd w:val="clear" w:color="auto" w:fill="FBD4B4"/>
            <w:vAlign w:val="center"/>
          </w:tcPr>
          <w:p w:rsidR="00E41AE5" w:rsidRPr="00F67A3D" w:rsidRDefault="00E41AE5" w:rsidP="00F67A3D">
            <w:pPr>
              <w:widowControl w:val="0"/>
              <w:rPr>
                <w:snapToGrid w:val="0"/>
                <w:szCs w:val="22"/>
              </w:rPr>
            </w:pPr>
            <w:r w:rsidRPr="00F67A3D">
              <w:rPr>
                <w:snapToGrid w:val="0"/>
                <w:szCs w:val="22"/>
              </w:rPr>
              <w:t>(b)  Professional Growth indicator: Actively pursues professional development and learning opportunities to improve quality of practice or build the expertise and experience to assume different instructional and leadership roles.</w:t>
            </w:r>
          </w:p>
        </w:tc>
        <w:tc>
          <w:tcPr>
            <w:tcW w:w="1361" w:type="dxa"/>
            <w:shd w:val="clear" w:color="auto" w:fill="FBD4B4"/>
            <w:vAlign w:val="center"/>
          </w:tcPr>
          <w:p w:rsidR="00E41AE5" w:rsidRPr="00F67A3D" w:rsidRDefault="00E41AE5" w:rsidP="00F67A3D">
            <w:pPr>
              <w:widowControl w:val="0"/>
              <w:jc w:val="center"/>
              <w:rPr>
                <w:snapToGrid w:val="0"/>
                <w:szCs w:val="22"/>
              </w:rPr>
            </w:pPr>
            <w:r w:rsidRPr="00F67A3D">
              <w:rPr>
                <w:snapToGrid w:val="0"/>
                <w:szCs w:val="22"/>
              </w:rPr>
              <w:t>X</w:t>
            </w:r>
          </w:p>
        </w:tc>
        <w:tc>
          <w:tcPr>
            <w:tcW w:w="1161" w:type="dxa"/>
            <w:shd w:val="clear" w:color="auto" w:fill="FBD4B4"/>
            <w:vAlign w:val="center"/>
          </w:tcPr>
          <w:p w:rsidR="00E41AE5" w:rsidRPr="00F67A3D" w:rsidRDefault="00E41AE5" w:rsidP="00F67A3D">
            <w:pPr>
              <w:widowControl w:val="0"/>
              <w:jc w:val="center"/>
              <w:rPr>
                <w:snapToGrid w:val="0"/>
                <w:szCs w:val="22"/>
              </w:rPr>
            </w:pPr>
          </w:p>
        </w:tc>
        <w:tc>
          <w:tcPr>
            <w:tcW w:w="1629" w:type="dxa"/>
            <w:shd w:val="clear" w:color="auto" w:fill="FBD4B4"/>
            <w:vAlign w:val="center"/>
          </w:tcPr>
          <w:p w:rsidR="00E41AE5" w:rsidRPr="00F67A3D" w:rsidRDefault="00E41AE5" w:rsidP="00F67A3D">
            <w:pPr>
              <w:widowControl w:val="0"/>
              <w:jc w:val="center"/>
              <w:rPr>
                <w:snapToGrid w:val="0"/>
                <w:szCs w:val="22"/>
              </w:rPr>
            </w:pPr>
          </w:p>
          <w:p w:rsidR="00E41AE5" w:rsidRPr="00F67A3D" w:rsidRDefault="00E41AE5" w:rsidP="00F67A3D">
            <w:pPr>
              <w:widowControl w:val="0"/>
              <w:jc w:val="center"/>
              <w:rPr>
                <w:snapToGrid w:val="0"/>
                <w:color w:val="FF0000"/>
                <w:szCs w:val="22"/>
              </w:rPr>
            </w:pPr>
          </w:p>
        </w:tc>
      </w:tr>
      <w:tr w:rsidR="0058005B" w:rsidRPr="00F67A3D" w:rsidTr="00F67A3D">
        <w:trPr>
          <w:trHeight w:val="70"/>
        </w:trPr>
        <w:tc>
          <w:tcPr>
            <w:tcW w:w="10159" w:type="dxa"/>
            <w:shd w:val="clear" w:color="auto" w:fill="FBD4B4"/>
            <w:vAlign w:val="center"/>
          </w:tcPr>
          <w:p w:rsidR="00E41AE5" w:rsidRPr="00F67A3D" w:rsidRDefault="00E41AE5" w:rsidP="00F67A3D">
            <w:pPr>
              <w:widowControl w:val="0"/>
              <w:rPr>
                <w:snapToGrid w:val="0"/>
                <w:szCs w:val="22"/>
              </w:rPr>
            </w:pPr>
            <w:r w:rsidRPr="00F67A3D">
              <w:rPr>
                <w:snapToGrid w:val="0"/>
                <w:szCs w:val="22"/>
              </w:rPr>
              <w:t>(c)  Collaboration indicator: Collaborates effectively with colleagues on a wide range of tasks.</w:t>
            </w:r>
          </w:p>
        </w:tc>
        <w:tc>
          <w:tcPr>
            <w:tcW w:w="1361" w:type="dxa"/>
            <w:shd w:val="clear" w:color="auto" w:fill="FBD4B4"/>
            <w:vAlign w:val="center"/>
          </w:tcPr>
          <w:p w:rsidR="00E41AE5" w:rsidRPr="00F67A3D" w:rsidRDefault="00E41AE5" w:rsidP="00F67A3D">
            <w:pPr>
              <w:widowControl w:val="0"/>
              <w:jc w:val="center"/>
              <w:rPr>
                <w:snapToGrid w:val="0"/>
                <w:szCs w:val="22"/>
              </w:rPr>
            </w:pPr>
          </w:p>
        </w:tc>
        <w:tc>
          <w:tcPr>
            <w:tcW w:w="1161" w:type="dxa"/>
            <w:shd w:val="clear" w:color="auto" w:fill="FBD4B4"/>
            <w:vAlign w:val="center"/>
          </w:tcPr>
          <w:p w:rsidR="00E41AE5" w:rsidRPr="00F67A3D" w:rsidRDefault="00E41AE5" w:rsidP="00F67A3D">
            <w:pPr>
              <w:widowControl w:val="0"/>
              <w:jc w:val="center"/>
              <w:rPr>
                <w:snapToGrid w:val="0"/>
                <w:szCs w:val="22"/>
              </w:rPr>
            </w:pPr>
            <w:r w:rsidRPr="00F67A3D">
              <w:rPr>
                <w:snapToGrid w:val="0"/>
                <w:szCs w:val="22"/>
              </w:rPr>
              <w:t>X</w:t>
            </w:r>
          </w:p>
        </w:tc>
        <w:tc>
          <w:tcPr>
            <w:tcW w:w="1629" w:type="dxa"/>
            <w:shd w:val="clear" w:color="auto" w:fill="FBD4B4"/>
            <w:vAlign w:val="center"/>
          </w:tcPr>
          <w:p w:rsidR="00E41AE5" w:rsidRPr="00F67A3D" w:rsidRDefault="00E41AE5" w:rsidP="00F67A3D">
            <w:pPr>
              <w:widowControl w:val="0"/>
              <w:jc w:val="center"/>
              <w:rPr>
                <w:snapToGrid w:val="0"/>
                <w:szCs w:val="22"/>
              </w:rPr>
            </w:pPr>
          </w:p>
        </w:tc>
      </w:tr>
      <w:tr w:rsidR="0058005B" w:rsidRPr="00F67A3D" w:rsidTr="00F67A3D">
        <w:trPr>
          <w:trHeight w:val="332"/>
        </w:trPr>
        <w:tc>
          <w:tcPr>
            <w:tcW w:w="10159" w:type="dxa"/>
            <w:shd w:val="clear" w:color="auto" w:fill="FBD4B4"/>
            <w:vAlign w:val="center"/>
          </w:tcPr>
          <w:p w:rsidR="00E41AE5" w:rsidRPr="00F67A3D" w:rsidRDefault="00E41AE5" w:rsidP="00F67A3D">
            <w:pPr>
              <w:widowControl w:val="0"/>
              <w:rPr>
                <w:snapToGrid w:val="0"/>
                <w:szCs w:val="22"/>
              </w:rPr>
            </w:pPr>
            <w:r w:rsidRPr="00F67A3D">
              <w:rPr>
                <w:snapToGrid w:val="0"/>
                <w:szCs w:val="22"/>
              </w:rPr>
              <w:t>(d)  Decision-making indicator: Becomes involved in school-wide decision-making, and takes an active role in school improvement planning.</w:t>
            </w:r>
          </w:p>
        </w:tc>
        <w:tc>
          <w:tcPr>
            <w:tcW w:w="1361" w:type="dxa"/>
            <w:shd w:val="clear" w:color="auto" w:fill="FBD4B4"/>
            <w:vAlign w:val="center"/>
          </w:tcPr>
          <w:p w:rsidR="00E41AE5" w:rsidRPr="00F67A3D" w:rsidRDefault="00E41AE5" w:rsidP="00F67A3D">
            <w:pPr>
              <w:widowControl w:val="0"/>
              <w:jc w:val="center"/>
              <w:rPr>
                <w:snapToGrid w:val="0"/>
                <w:szCs w:val="22"/>
              </w:rPr>
            </w:pPr>
            <w:r w:rsidRPr="00F67A3D">
              <w:rPr>
                <w:snapToGrid w:val="0"/>
                <w:szCs w:val="22"/>
              </w:rPr>
              <w:t>X</w:t>
            </w:r>
          </w:p>
        </w:tc>
        <w:tc>
          <w:tcPr>
            <w:tcW w:w="1161" w:type="dxa"/>
            <w:shd w:val="clear" w:color="auto" w:fill="FBD4B4"/>
            <w:vAlign w:val="center"/>
          </w:tcPr>
          <w:p w:rsidR="00E41AE5" w:rsidRPr="00F67A3D" w:rsidRDefault="00E41AE5" w:rsidP="00F67A3D">
            <w:pPr>
              <w:widowControl w:val="0"/>
              <w:jc w:val="center"/>
              <w:rPr>
                <w:snapToGrid w:val="0"/>
                <w:szCs w:val="22"/>
              </w:rPr>
            </w:pPr>
          </w:p>
        </w:tc>
        <w:tc>
          <w:tcPr>
            <w:tcW w:w="1629" w:type="dxa"/>
            <w:shd w:val="clear" w:color="auto" w:fill="FBD4B4"/>
            <w:vAlign w:val="center"/>
          </w:tcPr>
          <w:p w:rsidR="00E41AE5" w:rsidRPr="00F67A3D" w:rsidRDefault="00E41AE5" w:rsidP="00F67A3D">
            <w:pPr>
              <w:widowControl w:val="0"/>
              <w:jc w:val="center"/>
              <w:rPr>
                <w:snapToGrid w:val="0"/>
                <w:szCs w:val="22"/>
              </w:rPr>
            </w:pPr>
          </w:p>
        </w:tc>
      </w:tr>
      <w:tr w:rsidR="0058005B" w:rsidRPr="00F67A3D" w:rsidTr="00F67A3D">
        <w:trPr>
          <w:trHeight w:val="242"/>
        </w:trPr>
        <w:tc>
          <w:tcPr>
            <w:tcW w:w="10159" w:type="dxa"/>
            <w:shd w:val="clear" w:color="auto" w:fill="FBD4B4"/>
            <w:vAlign w:val="center"/>
          </w:tcPr>
          <w:p w:rsidR="00E41AE5" w:rsidRPr="00F67A3D" w:rsidRDefault="00E41AE5" w:rsidP="00F67A3D">
            <w:pPr>
              <w:widowControl w:val="0"/>
              <w:rPr>
                <w:snapToGrid w:val="0"/>
                <w:szCs w:val="22"/>
              </w:rPr>
            </w:pPr>
            <w:r w:rsidRPr="00F67A3D">
              <w:rPr>
                <w:snapToGrid w:val="0"/>
                <w:szCs w:val="22"/>
              </w:rPr>
              <w:t>(e)  Shared Responsibility indicator: Shares responsibility for the performance of all students within the school.</w:t>
            </w:r>
          </w:p>
        </w:tc>
        <w:tc>
          <w:tcPr>
            <w:tcW w:w="1361" w:type="dxa"/>
            <w:shd w:val="clear" w:color="auto" w:fill="FBD4B4"/>
            <w:vAlign w:val="center"/>
          </w:tcPr>
          <w:p w:rsidR="00E41AE5" w:rsidRPr="00F67A3D" w:rsidRDefault="00E41AE5" w:rsidP="00F67A3D">
            <w:pPr>
              <w:widowControl w:val="0"/>
              <w:jc w:val="center"/>
              <w:rPr>
                <w:snapToGrid w:val="0"/>
                <w:szCs w:val="22"/>
              </w:rPr>
            </w:pPr>
            <w:r w:rsidRPr="00F67A3D">
              <w:rPr>
                <w:snapToGrid w:val="0"/>
                <w:szCs w:val="22"/>
              </w:rPr>
              <w:t>X</w:t>
            </w:r>
          </w:p>
        </w:tc>
        <w:tc>
          <w:tcPr>
            <w:tcW w:w="1161" w:type="dxa"/>
            <w:shd w:val="clear" w:color="auto" w:fill="FBD4B4"/>
            <w:vAlign w:val="center"/>
          </w:tcPr>
          <w:p w:rsidR="00E41AE5" w:rsidRPr="00F67A3D" w:rsidRDefault="00E41AE5" w:rsidP="00F67A3D">
            <w:pPr>
              <w:widowControl w:val="0"/>
              <w:jc w:val="center"/>
              <w:rPr>
                <w:snapToGrid w:val="0"/>
                <w:szCs w:val="22"/>
              </w:rPr>
            </w:pPr>
          </w:p>
        </w:tc>
        <w:tc>
          <w:tcPr>
            <w:tcW w:w="1629" w:type="dxa"/>
            <w:shd w:val="clear" w:color="auto" w:fill="FBD4B4"/>
            <w:vAlign w:val="center"/>
          </w:tcPr>
          <w:p w:rsidR="00E41AE5" w:rsidRPr="00F67A3D" w:rsidRDefault="00E41AE5" w:rsidP="00F67A3D">
            <w:pPr>
              <w:widowControl w:val="0"/>
              <w:jc w:val="center"/>
              <w:rPr>
                <w:snapToGrid w:val="0"/>
                <w:color w:val="FF0000"/>
                <w:szCs w:val="22"/>
              </w:rPr>
            </w:pPr>
          </w:p>
        </w:tc>
      </w:tr>
      <w:tr w:rsidR="0058005B" w:rsidRPr="00F67A3D" w:rsidTr="00F67A3D">
        <w:trPr>
          <w:trHeight w:val="233"/>
        </w:trPr>
        <w:tc>
          <w:tcPr>
            <w:tcW w:w="10159" w:type="dxa"/>
            <w:shd w:val="clear" w:color="auto" w:fill="FBD4B4"/>
            <w:vAlign w:val="center"/>
          </w:tcPr>
          <w:p w:rsidR="00E41AE5" w:rsidRPr="00F67A3D" w:rsidRDefault="00E41AE5" w:rsidP="00F67A3D">
            <w:pPr>
              <w:widowControl w:val="0"/>
              <w:rPr>
                <w:snapToGrid w:val="0"/>
                <w:szCs w:val="22"/>
              </w:rPr>
            </w:pPr>
            <w:r w:rsidRPr="00F67A3D">
              <w:rPr>
                <w:snapToGrid w:val="0"/>
                <w:szCs w:val="22"/>
              </w:rPr>
              <w:t>(f)  Professional Responsibilities indicator: Is ethical and reliable, and meets routine responsibilities consistently.</w:t>
            </w:r>
          </w:p>
        </w:tc>
        <w:tc>
          <w:tcPr>
            <w:tcW w:w="1361" w:type="dxa"/>
            <w:shd w:val="clear" w:color="auto" w:fill="FBD4B4"/>
            <w:vAlign w:val="center"/>
          </w:tcPr>
          <w:p w:rsidR="00E41AE5" w:rsidRPr="00F67A3D" w:rsidRDefault="00E41AE5" w:rsidP="00F67A3D">
            <w:pPr>
              <w:widowControl w:val="0"/>
              <w:rPr>
                <w:snapToGrid w:val="0"/>
                <w:szCs w:val="22"/>
              </w:rPr>
            </w:pPr>
          </w:p>
        </w:tc>
        <w:tc>
          <w:tcPr>
            <w:tcW w:w="1161" w:type="dxa"/>
            <w:shd w:val="clear" w:color="auto" w:fill="FBD4B4"/>
            <w:vAlign w:val="center"/>
          </w:tcPr>
          <w:p w:rsidR="00E41AE5" w:rsidRPr="00F67A3D" w:rsidRDefault="00E41AE5" w:rsidP="00F67A3D">
            <w:pPr>
              <w:widowControl w:val="0"/>
              <w:rPr>
                <w:snapToGrid w:val="0"/>
                <w:szCs w:val="22"/>
              </w:rPr>
            </w:pPr>
          </w:p>
        </w:tc>
        <w:tc>
          <w:tcPr>
            <w:tcW w:w="1629" w:type="dxa"/>
            <w:shd w:val="clear" w:color="auto" w:fill="FBD4B4"/>
            <w:vAlign w:val="center"/>
          </w:tcPr>
          <w:p w:rsidR="00E41AE5" w:rsidRPr="00F67A3D" w:rsidRDefault="00E41AE5" w:rsidP="00F67A3D">
            <w:pPr>
              <w:widowControl w:val="0"/>
              <w:rPr>
                <w:snapToGrid w:val="0"/>
                <w:szCs w:val="22"/>
              </w:rPr>
            </w:pPr>
            <w:r w:rsidRPr="00F67A3D">
              <w:rPr>
                <w:snapToGrid w:val="0"/>
                <w:szCs w:val="22"/>
              </w:rPr>
              <w:t>X</w:t>
            </w:r>
          </w:p>
        </w:tc>
      </w:tr>
    </w:tbl>
    <w:p w:rsidR="00541A5E" w:rsidRDefault="00541A5E">
      <w:pPr>
        <w:rPr>
          <w:color w:val="E36C0A"/>
          <w:sz w:val="28"/>
        </w:rPr>
        <w:sectPr w:rsidR="00541A5E" w:rsidSect="00000677">
          <w:pgSz w:w="15840" w:h="12240" w:orient="landscape"/>
          <w:pgMar w:top="720" w:right="576" w:bottom="270" w:left="810" w:header="720" w:footer="720" w:gutter="0"/>
          <w:cols w:space="720"/>
          <w:docGrid w:linePitch="360"/>
        </w:sectPr>
      </w:pPr>
    </w:p>
    <w:p w:rsidR="00D32201" w:rsidRPr="000B36D3" w:rsidRDefault="00D32201" w:rsidP="00D32201">
      <w:pPr>
        <w:rPr>
          <w:color w:val="E36C0A"/>
          <w:sz w:val="28"/>
        </w:rPr>
      </w:pPr>
      <w:bookmarkStart w:id="9" w:name="AppendixB"/>
      <w:r>
        <w:rPr>
          <w:color w:val="E36C0A"/>
          <w:sz w:val="28"/>
        </w:rPr>
        <w:lastRenderedPageBreak/>
        <w:t>Appendix B</w:t>
      </w:r>
    </w:p>
    <w:bookmarkEnd w:id="9"/>
    <w:p w:rsidR="002A4B82" w:rsidRDefault="002A4B82" w:rsidP="002A4B82">
      <w:pPr>
        <w:pStyle w:val="IntenseQuote"/>
        <w:spacing w:before="0" w:after="0"/>
      </w:pPr>
      <w:r>
        <w:t>Specific guidelines for teacher candidates</w:t>
      </w:r>
    </w:p>
    <w:p w:rsidR="00C84F79" w:rsidRDefault="00946797" w:rsidP="00C84F79">
      <w:r>
        <w:t>The</w:t>
      </w:r>
      <w:r w:rsidR="002A4B82">
        <w:t xml:space="preserve"> </w:t>
      </w:r>
      <w:r w:rsidR="008D2277">
        <w:t>Professional Standards for Teacher (PSTs)</w:t>
      </w:r>
      <w:r w:rsidR="002A4B82">
        <w:t xml:space="preserve"> </w:t>
      </w:r>
      <w:r w:rsidR="00D97DBE">
        <w:t xml:space="preserve">and indicators </w:t>
      </w:r>
      <w:r w:rsidR="002A4B82">
        <w:t xml:space="preserve">are aligned to </w:t>
      </w:r>
      <w:r w:rsidR="00ED519C">
        <w:t xml:space="preserve">the </w:t>
      </w:r>
      <w:r w:rsidR="00F909AB">
        <w:t>Massachusetts’ Educator</w:t>
      </w:r>
      <w:r w:rsidR="00E57C72">
        <w:t xml:space="preserve"> Evaluation</w:t>
      </w:r>
      <w:r w:rsidR="002A4B82">
        <w:t xml:space="preserve"> </w:t>
      </w:r>
      <w:r w:rsidR="00B64A5E">
        <w:t xml:space="preserve">Framework </w:t>
      </w:r>
      <w:r w:rsidR="002A4B82">
        <w:t>to ensure that you are prepared for your first year of teaching.</w:t>
      </w:r>
      <w:r w:rsidR="002A4B82">
        <w:rPr>
          <w:i/>
          <w:color w:val="FF0000"/>
        </w:rPr>
        <w:t xml:space="preserve"> </w:t>
      </w:r>
      <w:r w:rsidR="002A4B82">
        <w:t>The PSTs</w:t>
      </w:r>
      <w:r w:rsidR="00D97DBE">
        <w:t xml:space="preserve"> and indicators</w:t>
      </w:r>
      <w:r w:rsidR="002A4B82">
        <w:t xml:space="preserve"> should accomplish three main objectives: </w:t>
      </w:r>
    </w:p>
    <w:p w:rsidR="00C84F79" w:rsidRDefault="00C84F79" w:rsidP="00C84F79"/>
    <w:p w:rsidR="00C84F79" w:rsidRDefault="00C84F79" w:rsidP="00C84F79">
      <w:pPr>
        <w:pStyle w:val="ListParagraph"/>
        <w:numPr>
          <w:ilvl w:val="0"/>
          <w:numId w:val="35"/>
        </w:numPr>
      </w:pPr>
      <w:r>
        <w:t>P</w:t>
      </w:r>
      <w:r w:rsidR="002A4B82">
        <w:t>rovide clarity about what to exp</w:t>
      </w:r>
      <w:r>
        <w:t xml:space="preserve">ect from a preparation program; </w:t>
      </w:r>
    </w:p>
    <w:p w:rsidR="00C84F79" w:rsidRDefault="00C84F79" w:rsidP="00C84F79"/>
    <w:p w:rsidR="00C84F79" w:rsidRDefault="00C84F79" w:rsidP="00C84F79">
      <w:pPr>
        <w:pStyle w:val="ListParagraph"/>
        <w:numPr>
          <w:ilvl w:val="0"/>
          <w:numId w:val="35"/>
        </w:numPr>
      </w:pPr>
      <w:r>
        <w:t>Help</w:t>
      </w:r>
      <w:r w:rsidR="002A4B82">
        <w:t xml:space="preserve"> you take ownership over your own learning by outlining the </w:t>
      </w:r>
      <w:r w:rsidR="003F0A47">
        <w:t>PSTs</w:t>
      </w:r>
      <w:r w:rsidR="002A4B82">
        <w:t xml:space="preserve"> and i</w:t>
      </w:r>
      <w:r>
        <w:t xml:space="preserve">ndicators you must </w:t>
      </w:r>
      <w:r w:rsidR="002A4B82">
        <w:t>know, practice, and demonstra</w:t>
      </w:r>
      <w:r>
        <w:t xml:space="preserve">te upon program completion; and </w:t>
      </w:r>
    </w:p>
    <w:p w:rsidR="00C84F79" w:rsidRDefault="00C84F79" w:rsidP="00C84F79">
      <w:pPr>
        <w:ind w:left="720" w:hanging="360"/>
      </w:pPr>
    </w:p>
    <w:p w:rsidR="000D0B8B" w:rsidRDefault="00C84F79" w:rsidP="00C84F79">
      <w:pPr>
        <w:pStyle w:val="ListParagraph"/>
        <w:numPr>
          <w:ilvl w:val="0"/>
          <w:numId w:val="35"/>
        </w:numPr>
      </w:pPr>
      <w:r>
        <w:t>E</w:t>
      </w:r>
      <w:r w:rsidR="002A4B82">
        <w:t xml:space="preserve">mpower you to be directive about the support you need to </w:t>
      </w:r>
      <w:r>
        <w:t xml:space="preserve">achieve you own goals and those </w:t>
      </w:r>
      <w:r w:rsidR="002A4B82">
        <w:t>outlined in the PSTs</w:t>
      </w:r>
      <w:r w:rsidR="003F0A47">
        <w:t xml:space="preserve"> and indicators</w:t>
      </w:r>
      <w:r w:rsidR="002A4B82">
        <w:t>.</w:t>
      </w:r>
    </w:p>
    <w:p w:rsidR="002A4B82" w:rsidRDefault="002A4B82" w:rsidP="002A4B82"/>
    <w:p w:rsidR="002A4B82" w:rsidRDefault="002A4B82" w:rsidP="002A4B82">
      <w:r>
        <w:t xml:space="preserve">Of course, you will continue to grow and develop in all areas throughout your career. However, as a teacher candidate, you can expect different level of exposure and practice for the various Standards and Indicators. Each </w:t>
      </w:r>
      <w:r w:rsidR="003F0A47">
        <w:t>PST and indicator</w:t>
      </w:r>
      <w:r>
        <w:t xml:space="preserve"> is marked “Introduction”, “Practice”, or “Demonstrate</w:t>
      </w:r>
      <w:r w:rsidR="002669D9">
        <w:t>.”</w:t>
      </w:r>
      <w:r>
        <w:t xml:space="preserve"> </w:t>
      </w:r>
      <w:r w:rsidR="002669D9">
        <w:t>B</w:t>
      </w:r>
      <w:r>
        <w:t xml:space="preserve">elow is the description of what each </w:t>
      </w:r>
      <w:r w:rsidR="002669D9">
        <w:t>l</w:t>
      </w:r>
      <w:r>
        <w:t>evel means for you during your preparation.</w:t>
      </w:r>
    </w:p>
    <w:p w:rsidR="002A4B82" w:rsidRPr="00172A85" w:rsidRDefault="002A4B82" w:rsidP="002A4B82">
      <w:pP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200"/>
      </w:tblGrid>
      <w:tr w:rsidR="002A4B82" w:rsidRPr="00F67A3D" w:rsidTr="00F67A3D">
        <w:tc>
          <w:tcPr>
            <w:tcW w:w="2268" w:type="dxa"/>
            <w:shd w:val="clear" w:color="auto" w:fill="D9D9D9"/>
          </w:tcPr>
          <w:p w:rsidR="002A4B82" w:rsidRPr="00F67A3D" w:rsidRDefault="002A4B82" w:rsidP="007645A9">
            <w:pPr>
              <w:rPr>
                <w:b/>
              </w:rPr>
            </w:pPr>
            <w:r w:rsidRPr="00F67A3D">
              <w:rPr>
                <w:b/>
              </w:rPr>
              <w:t>Level of practice</w:t>
            </w:r>
          </w:p>
        </w:tc>
        <w:tc>
          <w:tcPr>
            <w:tcW w:w="7200" w:type="dxa"/>
            <w:shd w:val="clear" w:color="auto" w:fill="D9D9D9"/>
          </w:tcPr>
          <w:p w:rsidR="002A4B82" w:rsidRPr="00F67A3D" w:rsidRDefault="002A4B82" w:rsidP="007645A9">
            <w:pPr>
              <w:rPr>
                <w:b/>
              </w:rPr>
            </w:pPr>
            <w:r w:rsidRPr="00F67A3D">
              <w:rPr>
                <w:b/>
              </w:rPr>
              <w:t>Implications for candidates</w:t>
            </w:r>
          </w:p>
        </w:tc>
      </w:tr>
      <w:tr w:rsidR="002A4B82" w:rsidRPr="00F67A3D" w:rsidTr="00F67A3D">
        <w:tc>
          <w:tcPr>
            <w:tcW w:w="2268" w:type="dxa"/>
          </w:tcPr>
          <w:p w:rsidR="002A4B82" w:rsidRPr="00F67A3D" w:rsidRDefault="002A4B82" w:rsidP="007645A9">
            <w:r w:rsidRPr="00F67A3D">
              <w:t>Introduction</w:t>
            </w:r>
          </w:p>
        </w:tc>
        <w:tc>
          <w:tcPr>
            <w:tcW w:w="7200" w:type="dxa"/>
          </w:tcPr>
          <w:p w:rsidR="002A4B82" w:rsidRPr="00F67A3D" w:rsidRDefault="002A4B82" w:rsidP="00F67A3D">
            <w:pPr>
              <w:spacing w:before="100" w:beforeAutospacing="1" w:after="100" w:afterAutospacing="1"/>
              <w:outlineLvl w:val="2"/>
              <w:rPr>
                <w:bCs/>
                <w:color w:val="000000"/>
              </w:rPr>
            </w:pPr>
            <w:bookmarkStart w:id="10" w:name="_Toc403470365"/>
            <w:r w:rsidRPr="00F67A3D">
              <w:rPr>
                <w:bCs/>
                <w:color w:val="000000"/>
              </w:rPr>
              <w:t>Candidates show understanding through coursework and/or in field-based experiences.</w:t>
            </w:r>
            <w:bookmarkEnd w:id="10"/>
          </w:p>
        </w:tc>
      </w:tr>
      <w:tr w:rsidR="002A4B82" w:rsidRPr="00F67A3D" w:rsidTr="00F67A3D">
        <w:tc>
          <w:tcPr>
            <w:tcW w:w="2268" w:type="dxa"/>
          </w:tcPr>
          <w:p w:rsidR="002A4B82" w:rsidRPr="00F67A3D" w:rsidRDefault="002A4B82" w:rsidP="007645A9">
            <w:r w:rsidRPr="00F67A3D">
              <w:t>Practice</w:t>
            </w:r>
          </w:p>
        </w:tc>
        <w:tc>
          <w:tcPr>
            <w:tcW w:w="7200" w:type="dxa"/>
          </w:tcPr>
          <w:p w:rsidR="002A4B82" w:rsidRPr="00F67A3D" w:rsidRDefault="002A4B82" w:rsidP="007645A9">
            <w:r w:rsidRPr="00F67A3D">
              <w:rPr>
                <w:bCs/>
                <w:color w:val="000000"/>
              </w:rPr>
              <w:t>Candidates have the opportunity to practice, to be observed, and to receive feedback during field-based experiences.</w:t>
            </w:r>
          </w:p>
        </w:tc>
      </w:tr>
      <w:tr w:rsidR="002A4B82" w:rsidRPr="00F67A3D" w:rsidTr="00F67A3D">
        <w:tc>
          <w:tcPr>
            <w:tcW w:w="2268" w:type="dxa"/>
          </w:tcPr>
          <w:p w:rsidR="002A4B82" w:rsidRPr="00F67A3D" w:rsidRDefault="002A4B82" w:rsidP="007645A9">
            <w:r w:rsidRPr="00F67A3D">
              <w:t>Demonstrat</w:t>
            </w:r>
            <w:r w:rsidR="00B04CAC">
              <w:t>e</w:t>
            </w:r>
          </w:p>
        </w:tc>
        <w:tc>
          <w:tcPr>
            <w:tcW w:w="7200" w:type="dxa"/>
          </w:tcPr>
          <w:p w:rsidR="002A4B82" w:rsidRPr="00F67A3D" w:rsidRDefault="00A23E82" w:rsidP="007645A9">
            <w:r w:rsidRPr="00F67A3D">
              <w:rPr>
                <w:bCs/>
                <w:color w:val="000000"/>
              </w:rPr>
              <w:t xml:space="preserve">Candidates </w:t>
            </w:r>
            <w:r>
              <w:rPr>
                <w:bCs/>
                <w:color w:val="000000"/>
              </w:rPr>
              <w:t xml:space="preserve">consistently </w:t>
            </w:r>
            <w:r w:rsidRPr="00F67A3D">
              <w:rPr>
                <w:bCs/>
                <w:color w:val="000000"/>
              </w:rPr>
              <w:t xml:space="preserve">demonstrate </w:t>
            </w:r>
            <w:r>
              <w:rPr>
                <w:bCs/>
                <w:color w:val="000000"/>
              </w:rPr>
              <w:t>competency</w:t>
            </w:r>
            <w:r w:rsidRPr="00F67A3D">
              <w:rPr>
                <w:bCs/>
                <w:color w:val="000000"/>
              </w:rPr>
              <w:t xml:space="preserve"> through coursework and in field-based experience</w:t>
            </w:r>
            <w:r>
              <w:rPr>
                <w:bCs/>
                <w:color w:val="000000"/>
              </w:rPr>
              <w:t>s as measured by the teacher performance assessment</w:t>
            </w:r>
            <w:r w:rsidRPr="00F67A3D">
              <w:rPr>
                <w:bCs/>
                <w:color w:val="000000"/>
              </w:rPr>
              <w:t>.</w:t>
            </w:r>
          </w:p>
        </w:tc>
      </w:tr>
    </w:tbl>
    <w:p w:rsidR="002A4B82" w:rsidRDefault="002A4B82" w:rsidP="002A4B82"/>
    <w:p w:rsidR="002A4B82" w:rsidRDefault="002A4B82" w:rsidP="002A4B82">
      <w:r>
        <w:t xml:space="preserve">Consistency between these PSTs </w:t>
      </w:r>
      <w:r w:rsidR="002B6996">
        <w:t xml:space="preserve">and indicators </w:t>
      </w:r>
      <w:r>
        <w:t xml:space="preserve">and </w:t>
      </w:r>
      <w:r w:rsidR="00E57C72">
        <w:t xml:space="preserve">the </w:t>
      </w:r>
      <w:hyperlink r:id="rId38" w:history="1">
        <w:r w:rsidR="00B64A5E" w:rsidRPr="000A3642">
          <w:rPr>
            <w:rStyle w:val="Hyperlink"/>
          </w:rPr>
          <w:t xml:space="preserve">MA </w:t>
        </w:r>
        <w:r w:rsidR="00E57C72" w:rsidRPr="000A3642">
          <w:rPr>
            <w:rStyle w:val="Hyperlink"/>
          </w:rPr>
          <w:t>Educator Evaluation</w:t>
        </w:r>
        <w:r w:rsidR="00B64A5E" w:rsidRPr="000A3642">
          <w:rPr>
            <w:rStyle w:val="Hyperlink"/>
          </w:rPr>
          <w:t xml:space="preserve"> Framework</w:t>
        </w:r>
      </w:hyperlink>
      <w:r>
        <w:t xml:space="preserve"> means that there should be consistency between your pre-service training and </w:t>
      </w:r>
      <w:r w:rsidR="003214E0">
        <w:t>the</w:t>
      </w:r>
      <w:r>
        <w:t xml:space="preserve"> expectations</w:t>
      </w:r>
      <w:r w:rsidR="003214E0">
        <w:t xml:space="preserve"> once you’re employed</w:t>
      </w:r>
      <w:r>
        <w:t xml:space="preserve">. The PSTs </w:t>
      </w:r>
      <w:r w:rsidR="004178FC">
        <w:t xml:space="preserve">and indicators </w:t>
      </w:r>
      <w:r>
        <w:t>should help you develop a reflective practic</w:t>
      </w:r>
      <w:r w:rsidR="006F28EE">
        <w:t>e where you self-assess your</w:t>
      </w:r>
      <w:r>
        <w:t xml:space="preserve"> skills and ability to continuously become a stronger teacher.</w:t>
      </w:r>
    </w:p>
    <w:p w:rsidR="002A4B82" w:rsidRDefault="002A4B82" w:rsidP="002A4B82"/>
    <w:p w:rsidR="0079585A" w:rsidRDefault="005E5914" w:rsidP="002A4B82">
      <w:pPr>
        <w:rPr>
          <w:color w:val="E36C0A"/>
          <w:szCs w:val="22"/>
        </w:rPr>
      </w:pPr>
      <w:r>
        <w:t>You should use the PSTs and indicators</w:t>
      </w:r>
      <w:r w:rsidR="002A4B82">
        <w:t xml:space="preserve"> throughout your teacher preparation to ensure you have the requisite knowledge and experiences to demonst</w:t>
      </w:r>
      <w:r w:rsidR="00823870">
        <w:t xml:space="preserve">rate proficiency in these areas. </w:t>
      </w:r>
      <w:r w:rsidR="00823870">
        <w:rPr>
          <w:color w:val="E36C0A"/>
          <w:szCs w:val="22"/>
        </w:rPr>
        <w:t xml:space="preserve"> </w:t>
      </w:r>
    </w:p>
    <w:p w:rsidR="0079585A" w:rsidRDefault="0079585A" w:rsidP="002A4B82">
      <w:pPr>
        <w:rPr>
          <w:color w:val="E36C0A"/>
          <w:szCs w:val="22"/>
        </w:rPr>
      </w:pPr>
    </w:p>
    <w:p w:rsidR="002A4B82" w:rsidRDefault="00450D68">
      <w:pPr>
        <w:rPr>
          <w:color w:val="E36C0A"/>
          <w:sz w:val="28"/>
        </w:rPr>
      </w:pPr>
      <w:r>
        <w:rPr>
          <w:color w:val="E36C0A"/>
          <w:szCs w:val="22"/>
        </w:rPr>
        <w:t>Additional r</w:t>
      </w:r>
      <w:r w:rsidR="003214E0">
        <w:rPr>
          <w:color w:val="E36C0A"/>
          <w:szCs w:val="22"/>
        </w:rPr>
        <w:t>esources and information about the PSTs</w:t>
      </w:r>
      <w:r w:rsidR="00C92FCA">
        <w:rPr>
          <w:color w:val="E36C0A"/>
          <w:szCs w:val="22"/>
        </w:rPr>
        <w:t xml:space="preserve"> and indicators </w:t>
      </w:r>
      <w:r w:rsidR="003214E0">
        <w:rPr>
          <w:color w:val="E36C0A"/>
          <w:szCs w:val="22"/>
        </w:rPr>
        <w:t xml:space="preserve">can be found in the </w:t>
      </w:r>
      <w:r w:rsidR="003214E0">
        <w:rPr>
          <w:i/>
          <w:color w:val="E36C0A"/>
          <w:szCs w:val="22"/>
        </w:rPr>
        <w:t xml:space="preserve">Guidelines for the Professional </w:t>
      </w:r>
      <w:r w:rsidR="0079585A">
        <w:rPr>
          <w:i/>
          <w:color w:val="E36C0A"/>
          <w:szCs w:val="22"/>
        </w:rPr>
        <w:t>Standards for Teachers</w:t>
      </w:r>
      <w:r w:rsidR="003214E0">
        <w:rPr>
          <w:color w:val="E36C0A"/>
          <w:szCs w:val="22"/>
        </w:rPr>
        <w:t xml:space="preserve"> available at </w:t>
      </w:r>
      <w:hyperlink r:id="rId39" w:history="1">
        <w:r w:rsidR="0079585A">
          <w:rPr>
            <w:rStyle w:val="Hyperlink"/>
            <w:szCs w:val="22"/>
          </w:rPr>
          <w:t>http://www.doe.mass.edu/edprep/resources.html</w:t>
        </w:r>
      </w:hyperlink>
      <w:r w:rsidR="003214E0">
        <w:rPr>
          <w:color w:val="E36C0A"/>
          <w:szCs w:val="22"/>
        </w:rPr>
        <w:t xml:space="preserve">. </w:t>
      </w:r>
      <w:r w:rsidR="002A4B82">
        <w:rPr>
          <w:color w:val="E36C0A"/>
          <w:sz w:val="28"/>
        </w:rPr>
        <w:br w:type="page"/>
      </w:r>
    </w:p>
    <w:p w:rsidR="00D32201" w:rsidRPr="000B36D3" w:rsidRDefault="00D32201" w:rsidP="00D32201">
      <w:pPr>
        <w:rPr>
          <w:color w:val="E36C0A"/>
          <w:sz w:val="28"/>
        </w:rPr>
      </w:pPr>
      <w:bookmarkStart w:id="11" w:name="AppendixC"/>
      <w:r>
        <w:rPr>
          <w:color w:val="E36C0A"/>
          <w:sz w:val="28"/>
        </w:rPr>
        <w:lastRenderedPageBreak/>
        <w:t>Appendix C</w:t>
      </w:r>
    </w:p>
    <w:bookmarkEnd w:id="11"/>
    <w:p w:rsidR="002A4B82" w:rsidRDefault="00D32201" w:rsidP="002A4B82">
      <w:pPr>
        <w:pStyle w:val="IntenseQuote"/>
        <w:spacing w:before="0" w:after="0"/>
      </w:pPr>
      <w:r>
        <w:t xml:space="preserve"> </w:t>
      </w:r>
      <w:r w:rsidR="00277CBD">
        <w:t>Specific guidelines for Program Supervisors &amp; Supervising P</w:t>
      </w:r>
      <w:r w:rsidR="002A4B82">
        <w:t>ractitioners</w:t>
      </w:r>
    </w:p>
    <w:p w:rsidR="002A4B82" w:rsidRDefault="002A4B82" w:rsidP="002A4B82">
      <w:r>
        <w:t xml:space="preserve">The </w:t>
      </w:r>
      <w:r w:rsidR="00ED519C">
        <w:t>Professional Standards for Teacher (</w:t>
      </w:r>
      <w:r>
        <w:t>PSTs</w:t>
      </w:r>
      <w:r w:rsidR="00ED519C">
        <w:t>)</w:t>
      </w:r>
      <w:r>
        <w:t xml:space="preserve"> </w:t>
      </w:r>
      <w:r w:rsidR="005D4169">
        <w:t xml:space="preserve">and indicators </w:t>
      </w:r>
      <w:r>
        <w:t>are aligned to</w:t>
      </w:r>
      <w:r w:rsidR="00ED519C">
        <w:t xml:space="preserve"> the</w:t>
      </w:r>
      <w:r>
        <w:t xml:space="preserve"> </w:t>
      </w:r>
      <w:r w:rsidR="00ED519C">
        <w:t>Massachusetts’</w:t>
      </w:r>
      <w:r w:rsidR="00E57C72">
        <w:t xml:space="preserve"> Educator Evaluation</w:t>
      </w:r>
      <w:r>
        <w:t xml:space="preserve"> </w:t>
      </w:r>
      <w:r w:rsidR="00B64A5E">
        <w:t xml:space="preserve">Framework </w:t>
      </w:r>
      <w:r>
        <w:t xml:space="preserve">to ensure that </w:t>
      </w:r>
      <w:r w:rsidR="00ED519C">
        <w:t>beginning</w:t>
      </w:r>
      <w:r>
        <w:t xml:space="preserve"> teachers are prepared for their first year in the classroom. Broadly, PSTs</w:t>
      </w:r>
      <w:r w:rsidR="005D4169">
        <w:t xml:space="preserve"> and indicators</w:t>
      </w:r>
      <w:r>
        <w:t xml:space="preserve"> should strengthen the feedback and support that candidates receive during their field-based expe</w:t>
      </w:r>
      <w:r w:rsidR="002C39D1">
        <w:t>rience. They should also guide Program Supervisors and Supervising P</w:t>
      </w:r>
      <w:r>
        <w:t xml:space="preserve">ractitioners as they design practicum experiences that will give candidates exposure, experience </w:t>
      </w:r>
      <w:r w:rsidR="003214E0">
        <w:t xml:space="preserve">and </w:t>
      </w:r>
      <w:r>
        <w:t>practice in critical areas.</w:t>
      </w:r>
    </w:p>
    <w:p w:rsidR="002A4B82" w:rsidRDefault="002A4B82" w:rsidP="002A4B82"/>
    <w:p w:rsidR="002A4B82" w:rsidRDefault="00277CBD" w:rsidP="002A4B82">
      <w:r>
        <w:t>Program S</w:t>
      </w:r>
      <w:r w:rsidR="002A4B82">
        <w:t>upervisors should use PSTs</w:t>
      </w:r>
      <w:r w:rsidR="004828DD">
        <w:t xml:space="preserve"> and indicators</w:t>
      </w:r>
      <w:r w:rsidR="002A4B82">
        <w:t xml:space="preserve"> to provide specific and relevant feedback to candidates. </w:t>
      </w:r>
      <w:r w:rsidR="0094182B">
        <w:t xml:space="preserve">PSTs and indicators </w:t>
      </w:r>
      <w:r w:rsidR="002A4B82">
        <w:t>should guide coaching conversations and be utilized as a point of reflection for candidates as they set improvement goals and monit</w:t>
      </w:r>
      <w:r>
        <w:t>or their own progress. Program Supervisors should also utilize</w:t>
      </w:r>
      <w:r w:rsidR="002A4B82">
        <w:t xml:space="preserve"> the levels of practice – Introduction, Practice, and Demonstration – to verify that candidates have opportunities to engage with different activities appropriately and frequently. A description of each level of practice is included below:</w:t>
      </w:r>
    </w:p>
    <w:p w:rsidR="002A4B82" w:rsidRDefault="002A4B82" w:rsidP="002A4B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200"/>
      </w:tblGrid>
      <w:tr w:rsidR="002A4B82" w:rsidRPr="00F67A3D" w:rsidTr="00F67A3D">
        <w:tc>
          <w:tcPr>
            <w:tcW w:w="2268" w:type="dxa"/>
            <w:shd w:val="clear" w:color="auto" w:fill="D9D9D9"/>
          </w:tcPr>
          <w:p w:rsidR="002A4B82" w:rsidRPr="00F67A3D" w:rsidRDefault="002A4B82" w:rsidP="007645A9">
            <w:pPr>
              <w:rPr>
                <w:b/>
              </w:rPr>
            </w:pPr>
            <w:r w:rsidRPr="00F67A3D">
              <w:rPr>
                <w:b/>
              </w:rPr>
              <w:t>Level of practice</w:t>
            </w:r>
          </w:p>
        </w:tc>
        <w:tc>
          <w:tcPr>
            <w:tcW w:w="7200" w:type="dxa"/>
            <w:shd w:val="clear" w:color="auto" w:fill="D9D9D9"/>
          </w:tcPr>
          <w:p w:rsidR="002A4B82" w:rsidRPr="00F67A3D" w:rsidRDefault="002A4B82" w:rsidP="007645A9">
            <w:pPr>
              <w:rPr>
                <w:b/>
              </w:rPr>
            </w:pPr>
            <w:r w:rsidRPr="00F67A3D">
              <w:rPr>
                <w:b/>
              </w:rPr>
              <w:t>Implications for candidates</w:t>
            </w:r>
          </w:p>
        </w:tc>
      </w:tr>
      <w:tr w:rsidR="002A4B82" w:rsidRPr="00F67A3D" w:rsidTr="00F67A3D">
        <w:tc>
          <w:tcPr>
            <w:tcW w:w="2268" w:type="dxa"/>
          </w:tcPr>
          <w:p w:rsidR="002A4B82" w:rsidRPr="00F67A3D" w:rsidRDefault="002A4B82" w:rsidP="007645A9">
            <w:r w:rsidRPr="00F67A3D">
              <w:t>Introduction</w:t>
            </w:r>
          </w:p>
        </w:tc>
        <w:tc>
          <w:tcPr>
            <w:tcW w:w="7200" w:type="dxa"/>
          </w:tcPr>
          <w:p w:rsidR="002A4B82" w:rsidRPr="00F67A3D" w:rsidRDefault="002A4B82" w:rsidP="00F67A3D">
            <w:pPr>
              <w:spacing w:before="100" w:beforeAutospacing="1" w:after="100" w:afterAutospacing="1"/>
              <w:outlineLvl w:val="2"/>
              <w:rPr>
                <w:bCs/>
                <w:color w:val="000000"/>
              </w:rPr>
            </w:pPr>
            <w:bookmarkStart w:id="12" w:name="_Toc403470366"/>
            <w:r w:rsidRPr="00F67A3D">
              <w:rPr>
                <w:bCs/>
                <w:color w:val="000000"/>
              </w:rPr>
              <w:t>Candidates show understanding through coursework and/or in field-based experiences.</w:t>
            </w:r>
            <w:bookmarkEnd w:id="12"/>
          </w:p>
        </w:tc>
      </w:tr>
      <w:tr w:rsidR="002A4B82" w:rsidRPr="00F67A3D" w:rsidTr="00F67A3D">
        <w:tc>
          <w:tcPr>
            <w:tcW w:w="2268" w:type="dxa"/>
          </w:tcPr>
          <w:p w:rsidR="002A4B82" w:rsidRPr="00F67A3D" w:rsidRDefault="002A4B82" w:rsidP="007645A9">
            <w:r w:rsidRPr="00F67A3D">
              <w:t>Practice</w:t>
            </w:r>
          </w:p>
        </w:tc>
        <w:tc>
          <w:tcPr>
            <w:tcW w:w="7200" w:type="dxa"/>
          </w:tcPr>
          <w:p w:rsidR="002A4B82" w:rsidRPr="00F67A3D" w:rsidRDefault="002A4B82" w:rsidP="007645A9">
            <w:r w:rsidRPr="00F67A3D">
              <w:rPr>
                <w:bCs/>
                <w:color w:val="000000"/>
              </w:rPr>
              <w:t>Candidates have the opportunity to practice, to be observed, and to receive feedback during field-based experiences.</w:t>
            </w:r>
          </w:p>
        </w:tc>
      </w:tr>
      <w:tr w:rsidR="002A4B82" w:rsidRPr="00F67A3D" w:rsidTr="00F67A3D">
        <w:tc>
          <w:tcPr>
            <w:tcW w:w="2268" w:type="dxa"/>
          </w:tcPr>
          <w:p w:rsidR="002A4B82" w:rsidRPr="00F67A3D" w:rsidRDefault="002A4B82" w:rsidP="007645A9">
            <w:r w:rsidRPr="00F67A3D">
              <w:t>Demonstra</w:t>
            </w:r>
            <w:r w:rsidR="00195371">
              <w:t>te</w:t>
            </w:r>
          </w:p>
        </w:tc>
        <w:tc>
          <w:tcPr>
            <w:tcW w:w="7200" w:type="dxa"/>
          </w:tcPr>
          <w:p w:rsidR="002A4B82" w:rsidRPr="00F67A3D" w:rsidRDefault="00A23E82" w:rsidP="00A23E82">
            <w:r w:rsidRPr="00F67A3D">
              <w:rPr>
                <w:bCs/>
                <w:color w:val="000000"/>
              </w:rPr>
              <w:t xml:space="preserve">Candidates </w:t>
            </w:r>
            <w:r>
              <w:rPr>
                <w:bCs/>
                <w:color w:val="000000"/>
              </w:rPr>
              <w:t xml:space="preserve">consistently </w:t>
            </w:r>
            <w:r w:rsidRPr="00F67A3D">
              <w:rPr>
                <w:bCs/>
                <w:color w:val="000000"/>
              </w:rPr>
              <w:t xml:space="preserve">demonstrate </w:t>
            </w:r>
            <w:r>
              <w:rPr>
                <w:bCs/>
                <w:color w:val="000000"/>
              </w:rPr>
              <w:t>competency</w:t>
            </w:r>
            <w:r w:rsidRPr="00F67A3D">
              <w:rPr>
                <w:bCs/>
                <w:color w:val="000000"/>
              </w:rPr>
              <w:t xml:space="preserve"> through coursework and in field-based experience</w:t>
            </w:r>
            <w:r>
              <w:rPr>
                <w:bCs/>
                <w:color w:val="000000"/>
              </w:rPr>
              <w:t>s as measured by the teacher performance assessment</w:t>
            </w:r>
            <w:r w:rsidRPr="00F67A3D">
              <w:rPr>
                <w:bCs/>
                <w:color w:val="000000"/>
              </w:rPr>
              <w:t>.</w:t>
            </w:r>
          </w:p>
        </w:tc>
      </w:tr>
    </w:tbl>
    <w:p w:rsidR="002A4B82" w:rsidRDefault="002A4B82" w:rsidP="002A4B82"/>
    <w:p w:rsidR="002A4B82" w:rsidRDefault="00E57C72" w:rsidP="002A4B82">
      <w:r>
        <w:t>Supervising P</w:t>
      </w:r>
      <w:r w:rsidR="002A4B82">
        <w:t>ractitioners should use PSTs</w:t>
      </w:r>
      <w:r w:rsidR="00F77267">
        <w:t xml:space="preserve"> and indicators</w:t>
      </w:r>
      <w:r w:rsidR="002A4B82">
        <w:t xml:space="preserve"> to determine when and how often candidates have opportunities to practice specific</w:t>
      </w:r>
      <w:r w:rsidR="00AA755A">
        <w:t xml:space="preserve"> skills. The levels of practice </w:t>
      </w:r>
      <w:r w:rsidR="002A4B82">
        <w:t xml:space="preserve">(listed in the table above) provide guidance about how much exposure and experience candidates need with each </w:t>
      </w:r>
      <w:r w:rsidR="007A3C1D">
        <w:t>PST and indicator</w:t>
      </w:r>
      <w:r w:rsidR="00277CBD">
        <w:t>. Further, Supervising P</w:t>
      </w:r>
      <w:r w:rsidR="002A4B82">
        <w:t>ractitioners should utilize PSTs</w:t>
      </w:r>
      <w:r w:rsidR="00E241DB">
        <w:t xml:space="preserve"> and indicators</w:t>
      </w:r>
      <w:r w:rsidR="002A4B82">
        <w:t xml:space="preserve"> to provide targeted feedback that helps candidates to progress and reflect on their practice. </w:t>
      </w:r>
    </w:p>
    <w:p w:rsidR="002A4B82" w:rsidRDefault="002A4B82" w:rsidP="002A4B82"/>
    <w:p w:rsidR="002A4B82" w:rsidRDefault="002A4B82" w:rsidP="002A4B82">
      <w:r>
        <w:t>Please note: The</w:t>
      </w:r>
      <w:r w:rsidR="00EB69B0">
        <w:t xml:space="preserve"> Teacher</w:t>
      </w:r>
      <w:r>
        <w:t xml:space="preserve"> Per</w:t>
      </w:r>
      <w:r w:rsidR="00EB69B0">
        <w:t>formance Assessment (TPA)</w:t>
      </w:r>
      <w:r>
        <w:t xml:space="preserve"> will </w:t>
      </w:r>
      <w:r w:rsidR="00500356">
        <w:t>specify what “effectiveness”</w:t>
      </w:r>
      <w:r>
        <w:t xml:space="preserve"> </w:t>
      </w:r>
      <w:r w:rsidR="00500356">
        <w:t xml:space="preserve">looks like for </w:t>
      </w:r>
      <w:r>
        <w:t>candidates on all Demonstra</w:t>
      </w:r>
      <w:r w:rsidR="000951F7">
        <w:t>te</w:t>
      </w:r>
      <w:r w:rsidR="00277CBD">
        <w:t>-level indicators. Program Supervisors and Supervising P</w:t>
      </w:r>
      <w:r>
        <w:t xml:space="preserve">ractitioners should make sure that candidates are aware of this requirement, and they should ensure candidates have ample opportunities to practice and demonstrate these indicators. </w:t>
      </w:r>
      <w:r w:rsidR="00B525EA">
        <w:t xml:space="preserve">ESE is developing a </w:t>
      </w:r>
      <w:r w:rsidR="00844C22">
        <w:t>performance assessment that</w:t>
      </w:r>
      <w:r w:rsidR="00B525EA">
        <w:t xml:space="preserve"> aligns with the </w:t>
      </w:r>
      <w:r w:rsidR="00B64A5E">
        <w:t xml:space="preserve">MA </w:t>
      </w:r>
      <w:r w:rsidR="00B525EA">
        <w:t>Ed</w:t>
      </w:r>
      <w:r w:rsidR="00B64A5E">
        <w:t>ucator</w:t>
      </w:r>
      <w:r w:rsidR="00B525EA">
        <w:t xml:space="preserve"> Eval</w:t>
      </w:r>
      <w:r w:rsidR="00B64A5E">
        <w:t>uation</w:t>
      </w:r>
      <w:r w:rsidR="00844C22">
        <w:t xml:space="preserve"> Framework. This assessment</w:t>
      </w:r>
      <w:r w:rsidR="00B525EA">
        <w:t xml:space="preserve"> will replace the current Pre-service Performance Assessment (PPA) beginning in </w:t>
      </w:r>
      <w:r w:rsidR="000951F7">
        <w:t>the 2016-2017 school year</w:t>
      </w:r>
      <w:r w:rsidR="00B525EA">
        <w:t xml:space="preserve">. </w:t>
      </w:r>
    </w:p>
    <w:p w:rsidR="002A4B82" w:rsidRDefault="002A4B82" w:rsidP="002A4B82"/>
    <w:p w:rsidR="003214E0" w:rsidRDefault="003214E0" w:rsidP="003214E0">
      <w:pPr>
        <w:rPr>
          <w:color w:val="E36C0A"/>
          <w:szCs w:val="22"/>
        </w:rPr>
      </w:pPr>
      <w:r w:rsidRPr="003214E0">
        <w:rPr>
          <w:color w:val="E36C0A"/>
          <w:szCs w:val="22"/>
        </w:rPr>
        <w:t>Additiona</w:t>
      </w:r>
      <w:r>
        <w:rPr>
          <w:color w:val="E36C0A"/>
          <w:szCs w:val="22"/>
        </w:rPr>
        <w:t>l resources and information about the PSTs</w:t>
      </w:r>
      <w:r w:rsidR="006A08BC">
        <w:rPr>
          <w:color w:val="E36C0A"/>
          <w:szCs w:val="22"/>
        </w:rPr>
        <w:t xml:space="preserve"> and indicators</w:t>
      </w:r>
      <w:r>
        <w:rPr>
          <w:color w:val="E36C0A"/>
          <w:szCs w:val="22"/>
        </w:rPr>
        <w:t xml:space="preserve"> can be found in the </w:t>
      </w:r>
      <w:r>
        <w:rPr>
          <w:i/>
          <w:color w:val="E36C0A"/>
          <w:szCs w:val="22"/>
        </w:rPr>
        <w:t>Guidelines for the Professional Standards for Teachers</w:t>
      </w:r>
      <w:r>
        <w:rPr>
          <w:color w:val="E36C0A"/>
          <w:szCs w:val="22"/>
        </w:rPr>
        <w:t xml:space="preserve"> available at </w:t>
      </w:r>
      <w:hyperlink r:id="rId40" w:history="1">
        <w:r w:rsidR="003C48A4">
          <w:rPr>
            <w:rStyle w:val="Hyperlink"/>
            <w:szCs w:val="22"/>
          </w:rPr>
          <w:t>http://www.doe.mass.edu/edprep/resources.html</w:t>
        </w:r>
      </w:hyperlink>
      <w:r w:rsidR="003C48A4">
        <w:rPr>
          <w:rStyle w:val="Hyperlink"/>
          <w:szCs w:val="22"/>
        </w:rPr>
        <w:t>.</w:t>
      </w:r>
    </w:p>
    <w:p w:rsidR="002A4B82" w:rsidRDefault="002A4B82" w:rsidP="002A4B82"/>
    <w:p w:rsidR="003B62C2" w:rsidRPr="003B62C2" w:rsidRDefault="00B0163E" w:rsidP="00B0163E">
      <w:pPr>
        <w:rPr>
          <w:color w:val="FF0000"/>
        </w:rPr>
      </w:pPr>
      <w:r w:rsidRPr="003B62C2">
        <w:rPr>
          <w:color w:val="FF0000"/>
        </w:rPr>
        <w:t xml:space="preserve"> </w:t>
      </w:r>
    </w:p>
    <w:p w:rsidR="005D3727" w:rsidRPr="002A4B82" w:rsidRDefault="005D3727" w:rsidP="002A4B82">
      <w:pPr>
        <w:rPr>
          <w:color w:val="E36C0A"/>
          <w:sz w:val="28"/>
        </w:rPr>
      </w:pPr>
    </w:p>
    <w:sectPr w:rsidR="005D3727" w:rsidRPr="002A4B82" w:rsidSect="00E03B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DF" w:rsidRDefault="00BF0DDF" w:rsidP="00DA6597">
      <w:r>
        <w:separator/>
      </w:r>
    </w:p>
  </w:endnote>
  <w:endnote w:type="continuationSeparator" w:id="0">
    <w:p w:rsidR="00BF0DDF" w:rsidRDefault="00BF0DDF" w:rsidP="00DA6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8F" w:rsidRPr="00172D9D" w:rsidRDefault="00F3008F" w:rsidP="00D652AB">
    <w:pPr>
      <w:pStyle w:val="Footer"/>
      <w:tabs>
        <w:tab w:val="clear" w:pos="9360"/>
        <w:tab w:val="right" w:pos="9990"/>
      </w:tabs>
    </w:pPr>
    <w:r>
      <w:t>Guidelines for the Professional Standards for Teachers – January 2015</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8F" w:rsidRDefault="00FE529D">
    <w:pPr>
      <w:pStyle w:val="Footer"/>
      <w:jc w:val="right"/>
    </w:pPr>
    <w:r>
      <w:fldChar w:fldCharType="begin"/>
    </w:r>
    <w:r w:rsidR="009706BB">
      <w:instrText xml:space="preserve"> PAGE   \* MERGEFORMAT </w:instrText>
    </w:r>
    <w:r>
      <w:fldChar w:fldCharType="separate"/>
    </w:r>
    <w:r w:rsidR="00F34AB6">
      <w:rPr>
        <w:noProof/>
      </w:rPr>
      <w:t>14</w:t>
    </w:r>
    <w:r>
      <w:rPr>
        <w:noProof/>
      </w:rPr>
      <w:fldChar w:fldCharType="end"/>
    </w:r>
  </w:p>
  <w:p w:rsidR="00F3008F" w:rsidRPr="00D652AB" w:rsidRDefault="00F3008F" w:rsidP="00D65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DF" w:rsidRDefault="00BF0DDF" w:rsidP="00DA6597">
      <w:r>
        <w:separator/>
      </w:r>
    </w:p>
  </w:footnote>
  <w:footnote w:type="continuationSeparator" w:id="0">
    <w:p w:rsidR="00BF0DDF" w:rsidRDefault="00BF0DDF" w:rsidP="00DA6597">
      <w:r>
        <w:continuationSeparator/>
      </w:r>
    </w:p>
  </w:footnote>
  <w:footnote w:id="1">
    <w:p w:rsidR="00F3008F" w:rsidRDefault="00F3008F">
      <w:pPr>
        <w:pStyle w:val="FootnoteText"/>
      </w:pPr>
      <w:r>
        <w:rPr>
          <w:rStyle w:val="FootnoteReference"/>
        </w:rPr>
        <w:footnoteRef/>
      </w:r>
      <w:r>
        <w:t xml:space="preserve"> “Sponsoring Organization” is the term ESE uses for organizations that have been approved by ESE to manage educator preparation program(s) in the state.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8F" w:rsidRDefault="00F30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8F" w:rsidRDefault="00F3008F" w:rsidP="00D652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8F" w:rsidRDefault="00F30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DCD"/>
    <w:multiLevelType w:val="hybridMultilevel"/>
    <w:tmpl w:val="302EBF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F76598"/>
    <w:multiLevelType w:val="hybridMultilevel"/>
    <w:tmpl w:val="7604DB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81105"/>
    <w:multiLevelType w:val="hybridMultilevel"/>
    <w:tmpl w:val="53C8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75690"/>
    <w:multiLevelType w:val="hybridMultilevel"/>
    <w:tmpl w:val="074A1286"/>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2430" w:hanging="180"/>
      </w:pPr>
      <w:rPr>
        <w:rFonts w:ascii="Symbol" w:hAnsi="Symbo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A870E7D"/>
    <w:multiLevelType w:val="hybridMultilevel"/>
    <w:tmpl w:val="FC1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F71DC"/>
    <w:multiLevelType w:val="hybridMultilevel"/>
    <w:tmpl w:val="DEB6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44C59"/>
    <w:multiLevelType w:val="hybridMultilevel"/>
    <w:tmpl w:val="8C12E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B00C5F"/>
    <w:multiLevelType w:val="hybridMultilevel"/>
    <w:tmpl w:val="9590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41EE4"/>
    <w:multiLevelType w:val="hybridMultilevel"/>
    <w:tmpl w:val="A44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D0178"/>
    <w:multiLevelType w:val="hybridMultilevel"/>
    <w:tmpl w:val="08DAEB7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90761"/>
    <w:multiLevelType w:val="hybridMultilevel"/>
    <w:tmpl w:val="83B09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0A14DB"/>
    <w:multiLevelType w:val="hybridMultilevel"/>
    <w:tmpl w:val="A3F0D3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DD0BF4"/>
    <w:multiLevelType w:val="hybridMultilevel"/>
    <w:tmpl w:val="62189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26ED0"/>
    <w:multiLevelType w:val="hybridMultilevel"/>
    <w:tmpl w:val="ED7A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C2471"/>
    <w:multiLevelType w:val="hybridMultilevel"/>
    <w:tmpl w:val="6F1A9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D4600"/>
    <w:multiLevelType w:val="hybridMultilevel"/>
    <w:tmpl w:val="7976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85C3C"/>
    <w:multiLevelType w:val="hybridMultilevel"/>
    <w:tmpl w:val="7B8E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0B2C5B"/>
    <w:multiLevelType w:val="hybridMultilevel"/>
    <w:tmpl w:val="5D249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4D5FA5"/>
    <w:multiLevelType w:val="hybridMultilevel"/>
    <w:tmpl w:val="8B70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700CF"/>
    <w:multiLevelType w:val="hybridMultilevel"/>
    <w:tmpl w:val="6BD4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40AD6"/>
    <w:multiLevelType w:val="hybridMultilevel"/>
    <w:tmpl w:val="9EDCCCAA"/>
    <w:lvl w:ilvl="0" w:tplc="E8CCA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251E5"/>
    <w:multiLevelType w:val="hybridMultilevel"/>
    <w:tmpl w:val="2158A03A"/>
    <w:lvl w:ilvl="0" w:tplc="84F4F6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5663A"/>
    <w:multiLevelType w:val="hybridMultilevel"/>
    <w:tmpl w:val="2158A03A"/>
    <w:lvl w:ilvl="0" w:tplc="84F4F6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A2FBC"/>
    <w:multiLevelType w:val="hybridMultilevel"/>
    <w:tmpl w:val="D96EF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F05DD6"/>
    <w:multiLevelType w:val="hybridMultilevel"/>
    <w:tmpl w:val="1FE03404"/>
    <w:lvl w:ilvl="0" w:tplc="0409000F">
      <w:start w:val="1"/>
      <w:numFmt w:val="decimal"/>
      <w:lvlText w:val="%1."/>
      <w:lvlJc w:val="left"/>
      <w:pPr>
        <w:ind w:left="720" w:hanging="360"/>
      </w:pPr>
    </w:lvl>
    <w:lvl w:ilvl="1" w:tplc="D79AC9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24E96"/>
    <w:multiLevelType w:val="hybridMultilevel"/>
    <w:tmpl w:val="33EA1B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C306D"/>
    <w:multiLevelType w:val="hybridMultilevel"/>
    <w:tmpl w:val="E06E71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4C30C5"/>
    <w:multiLevelType w:val="hybridMultilevel"/>
    <w:tmpl w:val="A1884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00FF7"/>
    <w:multiLevelType w:val="hybridMultilevel"/>
    <w:tmpl w:val="06EA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A2ACD"/>
    <w:multiLevelType w:val="hybridMultilevel"/>
    <w:tmpl w:val="5104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F056A5"/>
    <w:multiLevelType w:val="hybridMultilevel"/>
    <w:tmpl w:val="84505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94DA2"/>
    <w:multiLevelType w:val="hybridMultilevel"/>
    <w:tmpl w:val="EC32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FC0ECA"/>
    <w:multiLevelType w:val="hybridMultilevel"/>
    <w:tmpl w:val="1984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E11BD"/>
    <w:multiLevelType w:val="hybridMultilevel"/>
    <w:tmpl w:val="7CC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22FF7"/>
    <w:multiLevelType w:val="hybridMultilevel"/>
    <w:tmpl w:val="0D4C5C9E"/>
    <w:lvl w:ilvl="0" w:tplc="90E658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92469"/>
    <w:multiLevelType w:val="hybridMultilevel"/>
    <w:tmpl w:val="20C0B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2F21BA"/>
    <w:multiLevelType w:val="hybridMultilevel"/>
    <w:tmpl w:val="47D2C7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372C38"/>
    <w:multiLevelType w:val="hybridMultilevel"/>
    <w:tmpl w:val="16503C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14"/>
  </w:num>
  <w:num w:numId="3">
    <w:abstractNumId w:val="27"/>
  </w:num>
  <w:num w:numId="4">
    <w:abstractNumId w:val="2"/>
  </w:num>
  <w:num w:numId="5">
    <w:abstractNumId w:val="8"/>
  </w:num>
  <w:num w:numId="6">
    <w:abstractNumId w:val="29"/>
  </w:num>
  <w:num w:numId="7">
    <w:abstractNumId w:val="35"/>
  </w:num>
  <w:num w:numId="8">
    <w:abstractNumId w:val="17"/>
  </w:num>
  <w:num w:numId="9">
    <w:abstractNumId w:val="31"/>
  </w:num>
  <w:num w:numId="10">
    <w:abstractNumId w:val="24"/>
  </w:num>
  <w:num w:numId="11">
    <w:abstractNumId w:val="18"/>
  </w:num>
  <w:num w:numId="12">
    <w:abstractNumId w:val="28"/>
  </w:num>
  <w:num w:numId="13">
    <w:abstractNumId w:val="15"/>
  </w:num>
  <w:num w:numId="14">
    <w:abstractNumId w:val="3"/>
  </w:num>
  <w:num w:numId="15">
    <w:abstractNumId w:val="5"/>
  </w:num>
  <w:num w:numId="16">
    <w:abstractNumId w:val="9"/>
  </w:num>
  <w:num w:numId="17">
    <w:abstractNumId w:val="33"/>
  </w:num>
  <w:num w:numId="18">
    <w:abstractNumId w:val="19"/>
  </w:num>
  <w:num w:numId="19">
    <w:abstractNumId w:val="32"/>
  </w:num>
  <w:num w:numId="20">
    <w:abstractNumId w:val="37"/>
  </w:num>
  <w:num w:numId="21">
    <w:abstractNumId w:val="11"/>
  </w:num>
  <w:num w:numId="22">
    <w:abstractNumId w:val="0"/>
  </w:num>
  <w:num w:numId="23">
    <w:abstractNumId w:val="10"/>
  </w:num>
  <w:num w:numId="24">
    <w:abstractNumId w:val="30"/>
  </w:num>
  <w:num w:numId="25">
    <w:abstractNumId w:val="23"/>
  </w:num>
  <w:num w:numId="26">
    <w:abstractNumId w:val="6"/>
  </w:num>
  <w:num w:numId="27">
    <w:abstractNumId w:val="4"/>
  </w:num>
  <w:num w:numId="28">
    <w:abstractNumId w:val="13"/>
  </w:num>
  <w:num w:numId="29">
    <w:abstractNumId w:val="16"/>
  </w:num>
  <w:num w:numId="30">
    <w:abstractNumId w:val="7"/>
  </w:num>
  <w:num w:numId="31">
    <w:abstractNumId w:val="22"/>
  </w:num>
  <w:num w:numId="32">
    <w:abstractNumId w:val="21"/>
  </w:num>
  <w:num w:numId="33">
    <w:abstractNumId w:val="20"/>
  </w:num>
  <w:num w:numId="34">
    <w:abstractNumId w:val="12"/>
  </w:num>
  <w:num w:numId="35">
    <w:abstractNumId w:val="34"/>
  </w:num>
  <w:num w:numId="36">
    <w:abstractNumId w:val="26"/>
  </w:num>
  <w:num w:numId="37">
    <w:abstractNumId w:val="3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720"/>
  <w:drawingGridHorizontalSpacing w:val="110"/>
  <w:displayHorizontalDrawingGridEvery w:val="2"/>
  <w:noPunctuationKerning/>
  <w:characterSpacingControl w:val="doNotCompress"/>
  <w:footnotePr>
    <w:numRestart w:val="eachSect"/>
    <w:footnote w:id="-1"/>
    <w:footnote w:id="0"/>
  </w:footnotePr>
  <w:endnotePr>
    <w:endnote w:id="-1"/>
    <w:endnote w:id="0"/>
  </w:endnotePr>
  <w:compat/>
  <w:rsids>
    <w:rsidRoot w:val="00062365"/>
    <w:rsid w:val="00000677"/>
    <w:rsid w:val="00005075"/>
    <w:rsid w:val="00014630"/>
    <w:rsid w:val="00020704"/>
    <w:rsid w:val="00030EA9"/>
    <w:rsid w:val="00052BD4"/>
    <w:rsid w:val="00053314"/>
    <w:rsid w:val="00062365"/>
    <w:rsid w:val="0007095B"/>
    <w:rsid w:val="000741FB"/>
    <w:rsid w:val="00075B75"/>
    <w:rsid w:val="00077EE1"/>
    <w:rsid w:val="00081C4D"/>
    <w:rsid w:val="0008416F"/>
    <w:rsid w:val="00090EC1"/>
    <w:rsid w:val="000919AC"/>
    <w:rsid w:val="000925C2"/>
    <w:rsid w:val="000951F7"/>
    <w:rsid w:val="000962D4"/>
    <w:rsid w:val="000A3642"/>
    <w:rsid w:val="000A67BF"/>
    <w:rsid w:val="000B42EF"/>
    <w:rsid w:val="000C2F18"/>
    <w:rsid w:val="000C365C"/>
    <w:rsid w:val="000C542D"/>
    <w:rsid w:val="000D0B8B"/>
    <w:rsid w:val="000D0EED"/>
    <w:rsid w:val="000D2E0A"/>
    <w:rsid w:val="000D3B13"/>
    <w:rsid w:val="000E7887"/>
    <w:rsid w:val="000F10FC"/>
    <w:rsid w:val="00101689"/>
    <w:rsid w:val="001029A9"/>
    <w:rsid w:val="0010633C"/>
    <w:rsid w:val="0010691E"/>
    <w:rsid w:val="0011199B"/>
    <w:rsid w:val="00115D50"/>
    <w:rsid w:val="0011723A"/>
    <w:rsid w:val="00117A0A"/>
    <w:rsid w:val="00121712"/>
    <w:rsid w:val="001338EA"/>
    <w:rsid w:val="001343BD"/>
    <w:rsid w:val="001471C1"/>
    <w:rsid w:val="0015412C"/>
    <w:rsid w:val="0015764F"/>
    <w:rsid w:val="00172A85"/>
    <w:rsid w:val="00173978"/>
    <w:rsid w:val="00184117"/>
    <w:rsid w:val="00192E94"/>
    <w:rsid w:val="00194370"/>
    <w:rsid w:val="00195371"/>
    <w:rsid w:val="001978F0"/>
    <w:rsid w:val="001A7402"/>
    <w:rsid w:val="001A7DD0"/>
    <w:rsid w:val="001B02C7"/>
    <w:rsid w:val="001B0E4E"/>
    <w:rsid w:val="001B1C16"/>
    <w:rsid w:val="001B347B"/>
    <w:rsid w:val="001C4DDB"/>
    <w:rsid w:val="001C58CE"/>
    <w:rsid w:val="001D225A"/>
    <w:rsid w:val="001D512B"/>
    <w:rsid w:val="001D5752"/>
    <w:rsid w:val="001E205D"/>
    <w:rsid w:val="00211825"/>
    <w:rsid w:val="00215FF9"/>
    <w:rsid w:val="002178E5"/>
    <w:rsid w:val="00222290"/>
    <w:rsid w:val="00226F87"/>
    <w:rsid w:val="00231EB9"/>
    <w:rsid w:val="0023377F"/>
    <w:rsid w:val="002343E4"/>
    <w:rsid w:val="00246987"/>
    <w:rsid w:val="00253BCB"/>
    <w:rsid w:val="00255A22"/>
    <w:rsid w:val="002643C1"/>
    <w:rsid w:val="00265FB1"/>
    <w:rsid w:val="002669D9"/>
    <w:rsid w:val="0027013A"/>
    <w:rsid w:val="00277CBD"/>
    <w:rsid w:val="0028220C"/>
    <w:rsid w:val="00286AA4"/>
    <w:rsid w:val="002A4B82"/>
    <w:rsid w:val="002A5589"/>
    <w:rsid w:val="002B1925"/>
    <w:rsid w:val="002B3EE5"/>
    <w:rsid w:val="002B6996"/>
    <w:rsid w:val="002B7F57"/>
    <w:rsid w:val="002C39D1"/>
    <w:rsid w:val="002E0C7B"/>
    <w:rsid w:val="002F0D7B"/>
    <w:rsid w:val="002F1791"/>
    <w:rsid w:val="003169F6"/>
    <w:rsid w:val="003214E0"/>
    <w:rsid w:val="00321563"/>
    <w:rsid w:val="00333E09"/>
    <w:rsid w:val="00345F70"/>
    <w:rsid w:val="003476E3"/>
    <w:rsid w:val="0035279B"/>
    <w:rsid w:val="00361404"/>
    <w:rsid w:val="00362E4B"/>
    <w:rsid w:val="00365CDE"/>
    <w:rsid w:val="00377543"/>
    <w:rsid w:val="0038738D"/>
    <w:rsid w:val="003878CC"/>
    <w:rsid w:val="003879DD"/>
    <w:rsid w:val="00390C92"/>
    <w:rsid w:val="003944B2"/>
    <w:rsid w:val="003A3D43"/>
    <w:rsid w:val="003A43C1"/>
    <w:rsid w:val="003B62C2"/>
    <w:rsid w:val="003C48A4"/>
    <w:rsid w:val="003D3B07"/>
    <w:rsid w:val="003D4F49"/>
    <w:rsid w:val="003F0586"/>
    <w:rsid w:val="003F0A47"/>
    <w:rsid w:val="004178FC"/>
    <w:rsid w:val="00434EAE"/>
    <w:rsid w:val="00445DC3"/>
    <w:rsid w:val="00450D68"/>
    <w:rsid w:val="004828DD"/>
    <w:rsid w:val="00486E93"/>
    <w:rsid w:val="004914C3"/>
    <w:rsid w:val="00496628"/>
    <w:rsid w:val="00497D48"/>
    <w:rsid w:val="004A12F6"/>
    <w:rsid w:val="004A1A15"/>
    <w:rsid w:val="004A2369"/>
    <w:rsid w:val="004A2A40"/>
    <w:rsid w:val="004A5479"/>
    <w:rsid w:val="004A7DB6"/>
    <w:rsid w:val="004B676C"/>
    <w:rsid w:val="004B7DAB"/>
    <w:rsid w:val="004C2BCA"/>
    <w:rsid w:val="004D05C2"/>
    <w:rsid w:val="004D3431"/>
    <w:rsid w:val="004D43F8"/>
    <w:rsid w:val="004D47B9"/>
    <w:rsid w:val="004D69B0"/>
    <w:rsid w:val="004E3990"/>
    <w:rsid w:val="004E7F5F"/>
    <w:rsid w:val="004F2931"/>
    <w:rsid w:val="004F3E99"/>
    <w:rsid w:val="00500356"/>
    <w:rsid w:val="0050370E"/>
    <w:rsid w:val="00513A35"/>
    <w:rsid w:val="0051473C"/>
    <w:rsid w:val="005264A8"/>
    <w:rsid w:val="00535139"/>
    <w:rsid w:val="00541A5E"/>
    <w:rsid w:val="00542369"/>
    <w:rsid w:val="00542743"/>
    <w:rsid w:val="00543B1D"/>
    <w:rsid w:val="0054518B"/>
    <w:rsid w:val="00555747"/>
    <w:rsid w:val="00555FC9"/>
    <w:rsid w:val="00561265"/>
    <w:rsid w:val="00575DDA"/>
    <w:rsid w:val="0058005B"/>
    <w:rsid w:val="005802E6"/>
    <w:rsid w:val="00584C1D"/>
    <w:rsid w:val="00584CCA"/>
    <w:rsid w:val="00592BD1"/>
    <w:rsid w:val="005A6F2D"/>
    <w:rsid w:val="005B28F3"/>
    <w:rsid w:val="005B562F"/>
    <w:rsid w:val="005B7ACE"/>
    <w:rsid w:val="005C28DF"/>
    <w:rsid w:val="005C2CA3"/>
    <w:rsid w:val="005C5EEF"/>
    <w:rsid w:val="005D3727"/>
    <w:rsid w:val="005D4169"/>
    <w:rsid w:val="005E5914"/>
    <w:rsid w:val="006025A8"/>
    <w:rsid w:val="0060502A"/>
    <w:rsid w:val="00605592"/>
    <w:rsid w:val="00630BEA"/>
    <w:rsid w:val="00632EE1"/>
    <w:rsid w:val="00655553"/>
    <w:rsid w:val="00674C07"/>
    <w:rsid w:val="00682215"/>
    <w:rsid w:val="00682913"/>
    <w:rsid w:val="00683DD1"/>
    <w:rsid w:val="0068482D"/>
    <w:rsid w:val="006A08BC"/>
    <w:rsid w:val="006A4E51"/>
    <w:rsid w:val="006A6AEA"/>
    <w:rsid w:val="006B0097"/>
    <w:rsid w:val="006B0B52"/>
    <w:rsid w:val="006B396D"/>
    <w:rsid w:val="006C0D2B"/>
    <w:rsid w:val="006E3B5A"/>
    <w:rsid w:val="006F28EE"/>
    <w:rsid w:val="006F706F"/>
    <w:rsid w:val="00714887"/>
    <w:rsid w:val="007164DB"/>
    <w:rsid w:val="00720472"/>
    <w:rsid w:val="00721FAE"/>
    <w:rsid w:val="00730BC6"/>
    <w:rsid w:val="00735F82"/>
    <w:rsid w:val="00743D31"/>
    <w:rsid w:val="007460CD"/>
    <w:rsid w:val="007507F8"/>
    <w:rsid w:val="007645A9"/>
    <w:rsid w:val="0079585A"/>
    <w:rsid w:val="00797326"/>
    <w:rsid w:val="00797DBB"/>
    <w:rsid w:val="007A0AD2"/>
    <w:rsid w:val="007A3C1D"/>
    <w:rsid w:val="007A69EB"/>
    <w:rsid w:val="007B24A4"/>
    <w:rsid w:val="007B361B"/>
    <w:rsid w:val="007C3A74"/>
    <w:rsid w:val="007D5BB9"/>
    <w:rsid w:val="007E6593"/>
    <w:rsid w:val="007F343F"/>
    <w:rsid w:val="007F4D79"/>
    <w:rsid w:val="00801306"/>
    <w:rsid w:val="008111CF"/>
    <w:rsid w:val="00821115"/>
    <w:rsid w:val="00823870"/>
    <w:rsid w:val="00835299"/>
    <w:rsid w:val="00835ED3"/>
    <w:rsid w:val="008369CB"/>
    <w:rsid w:val="00844C22"/>
    <w:rsid w:val="00845AE8"/>
    <w:rsid w:val="00853CAA"/>
    <w:rsid w:val="00855174"/>
    <w:rsid w:val="0086167E"/>
    <w:rsid w:val="00864E2F"/>
    <w:rsid w:val="00870A55"/>
    <w:rsid w:val="00874127"/>
    <w:rsid w:val="00876DEB"/>
    <w:rsid w:val="008951F9"/>
    <w:rsid w:val="008A6682"/>
    <w:rsid w:val="008B1614"/>
    <w:rsid w:val="008B77E5"/>
    <w:rsid w:val="008C1A9B"/>
    <w:rsid w:val="008C61EC"/>
    <w:rsid w:val="008D2262"/>
    <w:rsid w:val="008D2277"/>
    <w:rsid w:val="008D2DCC"/>
    <w:rsid w:val="008D6F7E"/>
    <w:rsid w:val="008E044E"/>
    <w:rsid w:val="008F030F"/>
    <w:rsid w:val="008F0AB5"/>
    <w:rsid w:val="008F1808"/>
    <w:rsid w:val="008F569D"/>
    <w:rsid w:val="00900BB6"/>
    <w:rsid w:val="0090699C"/>
    <w:rsid w:val="00912E7C"/>
    <w:rsid w:val="00916713"/>
    <w:rsid w:val="00917B25"/>
    <w:rsid w:val="00920AAE"/>
    <w:rsid w:val="00923559"/>
    <w:rsid w:val="009331D6"/>
    <w:rsid w:val="00934161"/>
    <w:rsid w:val="0094182B"/>
    <w:rsid w:val="00946797"/>
    <w:rsid w:val="0094776A"/>
    <w:rsid w:val="0095235C"/>
    <w:rsid w:val="00952E72"/>
    <w:rsid w:val="00957C4B"/>
    <w:rsid w:val="00960CA0"/>
    <w:rsid w:val="00967DCC"/>
    <w:rsid w:val="009706BB"/>
    <w:rsid w:val="0098006B"/>
    <w:rsid w:val="00993F3A"/>
    <w:rsid w:val="0099513A"/>
    <w:rsid w:val="009A604F"/>
    <w:rsid w:val="009B09ED"/>
    <w:rsid w:val="009B3D10"/>
    <w:rsid w:val="009B776B"/>
    <w:rsid w:val="009F127E"/>
    <w:rsid w:val="00A021CE"/>
    <w:rsid w:val="00A13D85"/>
    <w:rsid w:val="00A21B9D"/>
    <w:rsid w:val="00A23E82"/>
    <w:rsid w:val="00A24F42"/>
    <w:rsid w:val="00A27A8B"/>
    <w:rsid w:val="00A30181"/>
    <w:rsid w:val="00A372D1"/>
    <w:rsid w:val="00A41F8B"/>
    <w:rsid w:val="00A46A45"/>
    <w:rsid w:val="00A5083A"/>
    <w:rsid w:val="00A60095"/>
    <w:rsid w:val="00A6269F"/>
    <w:rsid w:val="00A6279B"/>
    <w:rsid w:val="00A75026"/>
    <w:rsid w:val="00A8423D"/>
    <w:rsid w:val="00AA755A"/>
    <w:rsid w:val="00AB2328"/>
    <w:rsid w:val="00AB41BF"/>
    <w:rsid w:val="00AB4CCF"/>
    <w:rsid w:val="00AB7134"/>
    <w:rsid w:val="00AC03C0"/>
    <w:rsid w:val="00AE3006"/>
    <w:rsid w:val="00AF27A2"/>
    <w:rsid w:val="00AF2A9F"/>
    <w:rsid w:val="00B0163E"/>
    <w:rsid w:val="00B03011"/>
    <w:rsid w:val="00B04CAC"/>
    <w:rsid w:val="00B068E0"/>
    <w:rsid w:val="00B16679"/>
    <w:rsid w:val="00B16AFB"/>
    <w:rsid w:val="00B26F1D"/>
    <w:rsid w:val="00B30BB0"/>
    <w:rsid w:val="00B359D9"/>
    <w:rsid w:val="00B43157"/>
    <w:rsid w:val="00B440E8"/>
    <w:rsid w:val="00B51B9F"/>
    <w:rsid w:val="00B525EA"/>
    <w:rsid w:val="00B6245A"/>
    <w:rsid w:val="00B64A5E"/>
    <w:rsid w:val="00B66746"/>
    <w:rsid w:val="00B77274"/>
    <w:rsid w:val="00B9693A"/>
    <w:rsid w:val="00B97D1E"/>
    <w:rsid w:val="00BA07C7"/>
    <w:rsid w:val="00BA4C1B"/>
    <w:rsid w:val="00BB61C2"/>
    <w:rsid w:val="00BD4A40"/>
    <w:rsid w:val="00BD55BE"/>
    <w:rsid w:val="00BE25C2"/>
    <w:rsid w:val="00BE6C70"/>
    <w:rsid w:val="00BF0DDF"/>
    <w:rsid w:val="00C03536"/>
    <w:rsid w:val="00C04B0C"/>
    <w:rsid w:val="00C10D2B"/>
    <w:rsid w:val="00C158C8"/>
    <w:rsid w:val="00C164D9"/>
    <w:rsid w:val="00C21CB4"/>
    <w:rsid w:val="00C22702"/>
    <w:rsid w:val="00C242BD"/>
    <w:rsid w:val="00C267EF"/>
    <w:rsid w:val="00C5268F"/>
    <w:rsid w:val="00C5609B"/>
    <w:rsid w:val="00C803DB"/>
    <w:rsid w:val="00C82863"/>
    <w:rsid w:val="00C840A4"/>
    <w:rsid w:val="00C84299"/>
    <w:rsid w:val="00C84924"/>
    <w:rsid w:val="00C84F79"/>
    <w:rsid w:val="00C92FCA"/>
    <w:rsid w:val="00CA3C85"/>
    <w:rsid w:val="00CB3942"/>
    <w:rsid w:val="00CC74FA"/>
    <w:rsid w:val="00CE0D93"/>
    <w:rsid w:val="00CE13AB"/>
    <w:rsid w:val="00CE1C9C"/>
    <w:rsid w:val="00CE253C"/>
    <w:rsid w:val="00CF3B2E"/>
    <w:rsid w:val="00CF69EA"/>
    <w:rsid w:val="00D0249E"/>
    <w:rsid w:val="00D05DD4"/>
    <w:rsid w:val="00D07152"/>
    <w:rsid w:val="00D11C6F"/>
    <w:rsid w:val="00D139A3"/>
    <w:rsid w:val="00D1645A"/>
    <w:rsid w:val="00D16978"/>
    <w:rsid w:val="00D32201"/>
    <w:rsid w:val="00D3684B"/>
    <w:rsid w:val="00D40BAB"/>
    <w:rsid w:val="00D56658"/>
    <w:rsid w:val="00D640F3"/>
    <w:rsid w:val="00D6492A"/>
    <w:rsid w:val="00D64E03"/>
    <w:rsid w:val="00D652AB"/>
    <w:rsid w:val="00D758C4"/>
    <w:rsid w:val="00D76215"/>
    <w:rsid w:val="00D97DBE"/>
    <w:rsid w:val="00D97F88"/>
    <w:rsid w:val="00DA0B99"/>
    <w:rsid w:val="00DA6597"/>
    <w:rsid w:val="00DA765D"/>
    <w:rsid w:val="00DA76F1"/>
    <w:rsid w:val="00DC559C"/>
    <w:rsid w:val="00DC70BB"/>
    <w:rsid w:val="00DC72DC"/>
    <w:rsid w:val="00DD0F2C"/>
    <w:rsid w:val="00DE5CD8"/>
    <w:rsid w:val="00E02746"/>
    <w:rsid w:val="00E03B3C"/>
    <w:rsid w:val="00E062C6"/>
    <w:rsid w:val="00E07C8F"/>
    <w:rsid w:val="00E114F9"/>
    <w:rsid w:val="00E14DAA"/>
    <w:rsid w:val="00E22357"/>
    <w:rsid w:val="00E241DB"/>
    <w:rsid w:val="00E26811"/>
    <w:rsid w:val="00E27BD9"/>
    <w:rsid w:val="00E36546"/>
    <w:rsid w:val="00E41AE5"/>
    <w:rsid w:val="00E57C72"/>
    <w:rsid w:val="00E57DF1"/>
    <w:rsid w:val="00E62123"/>
    <w:rsid w:val="00E6212E"/>
    <w:rsid w:val="00E80815"/>
    <w:rsid w:val="00E87575"/>
    <w:rsid w:val="00E944D4"/>
    <w:rsid w:val="00EA676C"/>
    <w:rsid w:val="00EB69B0"/>
    <w:rsid w:val="00ED519C"/>
    <w:rsid w:val="00ED60B0"/>
    <w:rsid w:val="00EF58CB"/>
    <w:rsid w:val="00F01E5A"/>
    <w:rsid w:val="00F05F7C"/>
    <w:rsid w:val="00F20FB1"/>
    <w:rsid w:val="00F2352B"/>
    <w:rsid w:val="00F3008F"/>
    <w:rsid w:val="00F34AB6"/>
    <w:rsid w:val="00F50FF5"/>
    <w:rsid w:val="00F56A6A"/>
    <w:rsid w:val="00F57B9C"/>
    <w:rsid w:val="00F61605"/>
    <w:rsid w:val="00F67A3D"/>
    <w:rsid w:val="00F77267"/>
    <w:rsid w:val="00F80FA5"/>
    <w:rsid w:val="00F86A77"/>
    <w:rsid w:val="00F909AB"/>
    <w:rsid w:val="00F941F9"/>
    <w:rsid w:val="00FA2EA3"/>
    <w:rsid w:val="00FA403A"/>
    <w:rsid w:val="00FA4E59"/>
    <w:rsid w:val="00FA7809"/>
    <w:rsid w:val="00FB2C34"/>
    <w:rsid w:val="00FB7BD0"/>
    <w:rsid w:val="00FC1749"/>
    <w:rsid w:val="00FC19F5"/>
    <w:rsid w:val="00FC53E1"/>
    <w:rsid w:val="00FC7944"/>
    <w:rsid w:val="00FD0CDF"/>
    <w:rsid w:val="00FE1D9D"/>
    <w:rsid w:val="00FE529D"/>
    <w:rsid w:val="00FF01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B3C"/>
    <w:rPr>
      <w:rFonts w:ascii="Calibri" w:hAnsi="Calibri"/>
      <w:sz w:val="22"/>
      <w:szCs w:val="24"/>
    </w:rPr>
  </w:style>
  <w:style w:type="paragraph" w:styleId="Heading1">
    <w:name w:val="heading 1"/>
    <w:basedOn w:val="Normal"/>
    <w:next w:val="Normal"/>
    <w:link w:val="Heading1Char"/>
    <w:qFormat/>
    <w:rsid w:val="00E03B3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B3C"/>
    <w:rPr>
      <w:rFonts w:ascii="Cambria" w:eastAsia="Times New Roman" w:hAnsi="Cambria" w:cs="Times New Roman"/>
      <w:b/>
      <w:bCs/>
      <w:color w:val="365F91"/>
      <w:sz w:val="28"/>
      <w:szCs w:val="28"/>
      <w:lang w:eastAsia="en-US"/>
    </w:rPr>
  </w:style>
  <w:style w:type="paragraph" w:styleId="Subtitle">
    <w:name w:val="Subtitle"/>
    <w:basedOn w:val="Normal"/>
    <w:next w:val="Normal"/>
    <w:link w:val="SubtitleChar"/>
    <w:qFormat/>
    <w:rsid w:val="00E03B3C"/>
    <w:pPr>
      <w:numPr>
        <w:ilvl w:val="1"/>
      </w:numPr>
    </w:pPr>
    <w:rPr>
      <w:rFonts w:ascii="Cambria" w:hAnsi="Cambria"/>
      <w:i/>
      <w:iCs/>
      <w:color w:val="4F81BD"/>
      <w:spacing w:val="15"/>
      <w:sz w:val="24"/>
    </w:rPr>
  </w:style>
  <w:style w:type="character" w:customStyle="1" w:styleId="SubtitleChar">
    <w:name w:val="Subtitle Char"/>
    <w:basedOn w:val="DefaultParagraphFont"/>
    <w:link w:val="Subtitle"/>
    <w:rsid w:val="00E03B3C"/>
    <w:rPr>
      <w:rFonts w:ascii="Cambria" w:eastAsia="Times New Roman" w:hAnsi="Cambria" w:cs="Times New Roman"/>
      <w:i/>
      <w:iCs/>
      <w:color w:val="4F81BD"/>
      <w:spacing w:val="15"/>
      <w:sz w:val="24"/>
      <w:szCs w:val="24"/>
      <w:lang w:eastAsia="en-US"/>
    </w:rPr>
  </w:style>
  <w:style w:type="character" w:styleId="Emphasis">
    <w:name w:val="Emphasis"/>
    <w:basedOn w:val="DefaultParagraphFont"/>
    <w:qFormat/>
    <w:rsid w:val="00E03B3C"/>
    <w:rPr>
      <w:i/>
      <w:iCs/>
    </w:rPr>
  </w:style>
  <w:style w:type="character" w:styleId="Hyperlink">
    <w:name w:val="Hyperlink"/>
    <w:basedOn w:val="DefaultParagraphFont"/>
    <w:uiPriority w:val="99"/>
    <w:unhideWhenUsed/>
    <w:rsid w:val="00E03B3C"/>
    <w:rPr>
      <w:color w:val="0000FF"/>
      <w:u w:val="single"/>
    </w:rPr>
  </w:style>
  <w:style w:type="paragraph" w:styleId="ListParagraph">
    <w:name w:val="List Paragraph"/>
    <w:basedOn w:val="Normal"/>
    <w:uiPriority w:val="34"/>
    <w:qFormat/>
    <w:rsid w:val="00A60095"/>
    <w:pPr>
      <w:ind w:left="720"/>
      <w:contextualSpacing/>
    </w:pPr>
  </w:style>
  <w:style w:type="paragraph" w:styleId="IntenseQuote">
    <w:name w:val="Intense Quote"/>
    <w:basedOn w:val="Normal"/>
    <w:next w:val="Normal"/>
    <w:link w:val="IntenseQuoteChar"/>
    <w:uiPriority w:val="30"/>
    <w:qFormat/>
    <w:rsid w:val="00A60095"/>
    <w:pPr>
      <w:pBdr>
        <w:bottom w:val="single" w:sz="4" w:space="4" w:color="4F81BD"/>
      </w:pBdr>
      <w:spacing w:before="80" w:after="160"/>
      <w:ind w:right="936"/>
    </w:pPr>
    <w:rPr>
      <w:bCs/>
      <w:i/>
      <w:iCs/>
      <w:color w:val="1F497D"/>
    </w:rPr>
  </w:style>
  <w:style w:type="character" w:customStyle="1" w:styleId="IntenseQuoteChar">
    <w:name w:val="Intense Quote Char"/>
    <w:basedOn w:val="DefaultParagraphFont"/>
    <w:link w:val="IntenseQuote"/>
    <w:uiPriority w:val="30"/>
    <w:rsid w:val="00A60095"/>
    <w:rPr>
      <w:rFonts w:ascii="Calibri" w:eastAsia="Times New Roman" w:hAnsi="Calibri"/>
      <w:bCs/>
      <w:i/>
      <w:iCs/>
      <w:color w:val="1F497D"/>
      <w:sz w:val="22"/>
      <w:szCs w:val="24"/>
      <w:lang w:eastAsia="en-US"/>
    </w:rPr>
  </w:style>
  <w:style w:type="table" w:styleId="TableGrid">
    <w:name w:val="Table Grid"/>
    <w:basedOn w:val="TableNormal"/>
    <w:rsid w:val="00A60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A6597"/>
    <w:pPr>
      <w:tabs>
        <w:tab w:val="center" w:pos="4680"/>
        <w:tab w:val="right" w:pos="9360"/>
      </w:tabs>
    </w:pPr>
  </w:style>
  <w:style w:type="character" w:customStyle="1" w:styleId="HeaderChar">
    <w:name w:val="Header Char"/>
    <w:basedOn w:val="DefaultParagraphFont"/>
    <w:link w:val="Header"/>
    <w:rsid w:val="00DA6597"/>
    <w:rPr>
      <w:rFonts w:ascii="Calibri" w:eastAsia="Times New Roman" w:hAnsi="Calibri"/>
      <w:sz w:val="22"/>
      <w:szCs w:val="24"/>
      <w:lang w:eastAsia="en-US"/>
    </w:rPr>
  </w:style>
  <w:style w:type="paragraph" w:styleId="Footer">
    <w:name w:val="footer"/>
    <w:basedOn w:val="Normal"/>
    <w:link w:val="FooterChar"/>
    <w:uiPriority w:val="99"/>
    <w:rsid w:val="00DA6597"/>
    <w:pPr>
      <w:tabs>
        <w:tab w:val="center" w:pos="4680"/>
        <w:tab w:val="right" w:pos="9360"/>
      </w:tabs>
    </w:pPr>
  </w:style>
  <w:style w:type="character" w:customStyle="1" w:styleId="FooterChar">
    <w:name w:val="Footer Char"/>
    <w:basedOn w:val="DefaultParagraphFont"/>
    <w:link w:val="Footer"/>
    <w:uiPriority w:val="99"/>
    <w:rsid w:val="00DA6597"/>
    <w:rPr>
      <w:rFonts w:ascii="Calibri" w:eastAsia="Times New Roman" w:hAnsi="Calibri"/>
      <w:sz w:val="22"/>
      <w:szCs w:val="24"/>
      <w:lang w:eastAsia="en-US"/>
    </w:rPr>
  </w:style>
  <w:style w:type="character" w:styleId="FollowedHyperlink">
    <w:name w:val="FollowedHyperlink"/>
    <w:basedOn w:val="DefaultParagraphFont"/>
    <w:rsid w:val="00735F82"/>
    <w:rPr>
      <w:color w:val="800080"/>
      <w:u w:val="single"/>
    </w:rPr>
  </w:style>
  <w:style w:type="paragraph" w:styleId="BalloonText">
    <w:name w:val="Balloon Text"/>
    <w:basedOn w:val="Normal"/>
    <w:link w:val="BalloonTextChar"/>
    <w:rsid w:val="00835299"/>
    <w:rPr>
      <w:rFonts w:ascii="Tahoma" w:hAnsi="Tahoma" w:cs="Tahoma"/>
      <w:sz w:val="16"/>
      <w:szCs w:val="16"/>
    </w:rPr>
  </w:style>
  <w:style w:type="character" w:customStyle="1" w:styleId="BalloonTextChar">
    <w:name w:val="Balloon Text Char"/>
    <w:basedOn w:val="DefaultParagraphFont"/>
    <w:link w:val="BalloonText"/>
    <w:rsid w:val="00835299"/>
    <w:rPr>
      <w:rFonts w:ascii="Tahoma" w:eastAsia="Times New Roman" w:hAnsi="Tahoma" w:cs="Tahoma"/>
      <w:sz w:val="16"/>
      <w:szCs w:val="16"/>
      <w:lang w:eastAsia="en-US"/>
    </w:rPr>
  </w:style>
  <w:style w:type="paragraph" w:styleId="TOC1">
    <w:name w:val="toc 1"/>
    <w:basedOn w:val="Normal"/>
    <w:next w:val="Normal"/>
    <w:autoRedefine/>
    <w:uiPriority w:val="39"/>
    <w:qFormat/>
    <w:rsid w:val="00D652AB"/>
    <w:pPr>
      <w:spacing w:after="100"/>
    </w:pPr>
  </w:style>
  <w:style w:type="paragraph" w:styleId="TOCHeading">
    <w:name w:val="TOC Heading"/>
    <w:basedOn w:val="Heading1"/>
    <w:next w:val="Normal"/>
    <w:uiPriority w:val="39"/>
    <w:semiHidden/>
    <w:unhideWhenUsed/>
    <w:qFormat/>
    <w:rsid w:val="00D652AB"/>
    <w:pPr>
      <w:spacing w:line="276" w:lineRule="auto"/>
      <w:outlineLvl w:val="9"/>
    </w:pPr>
  </w:style>
  <w:style w:type="paragraph" w:styleId="TOC3">
    <w:name w:val="toc 3"/>
    <w:basedOn w:val="Normal"/>
    <w:next w:val="Normal"/>
    <w:autoRedefine/>
    <w:uiPriority w:val="39"/>
    <w:qFormat/>
    <w:rsid w:val="00D652AB"/>
    <w:pPr>
      <w:spacing w:after="100"/>
      <w:ind w:left="440"/>
    </w:pPr>
  </w:style>
  <w:style w:type="paragraph" w:styleId="TOC2">
    <w:name w:val="toc 2"/>
    <w:basedOn w:val="Normal"/>
    <w:next w:val="Normal"/>
    <w:autoRedefine/>
    <w:uiPriority w:val="39"/>
    <w:unhideWhenUsed/>
    <w:qFormat/>
    <w:rsid w:val="00D652AB"/>
    <w:pPr>
      <w:spacing w:after="100" w:line="276" w:lineRule="auto"/>
      <w:ind w:left="220"/>
    </w:pPr>
    <w:rPr>
      <w:szCs w:val="22"/>
    </w:rPr>
  </w:style>
  <w:style w:type="character" w:styleId="CommentReference">
    <w:name w:val="annotation reference"/>
    <w:basedOn w:val="DefaultParagraphFont"/>
    <w:rsid w:val="00541A5E"/>
    <w:rPr>
      <w:sz w:val="16"/>
      <w:szCs w:val="16"/>
    </w:rPr>
  </w:style>
  <w:style w:type="paragraph" w:styleId="CommentText">
    <w:name w:val="annotation text"/>
    <w:basedOn w:val="Normal"/>
    <w:link w:val="CommentTextChar"/>
    <w:rsid w:val="00541A5E"/>
    <w:rPr>
      <w:sz w:val="20"/>
      <w:szCs w:val="20"/>
    </w:rPr>
  </w:style>
  <w:style w:type="character" w:customStyle="1" w:styleId="CommentTextChar">
    <w:name w:val="Comment Text Char"/>
    <w:basedOn w:val="DefaultParagraphFont"/>
    <w:link w:val="CommentText"/>
    <w:rsid w:val="00541A5E"/>
    <w:rPr>
      <w:rFonts w:ascii="Calibri" w:eastAsia="Times New Roman" w:hAnsi="Calibri"/>
      <w:lang w:eastAsia="en-US"/>
    </w:rPr>
  </w:style>
  <w:style w:type="paragraph" w:styleId="CommentSubject">
    <w:name w:val="annotation subject"/>
    <w:basedOn w:val="CommentText"/>
    <w:next w:val="CommentText"/>
    <w:link w:val="CommentSubjectChar"/>
    <w:rsid w:val="00541A5E"/>
    <w:rPr>
      <w:b/>
      <w:bCs/>
    </w:rPr>
  </w:style>
  <w:style w:type="character" w:customStyle="1" w:styleId="CommentSubjectChar">
    <w:name w:val="Comment Subject Char"/>
    <w:basedOn w:val="CommentTextChar"/>
    <w:link w:val="CommentSubject"/>
    <w:rsid w:val="00541A5E"/>
    <w:rPr>
      <w:rFonts w:ascii="Calibri" w:eastAsia="Times New Roman" w:hAnsi="Calibri"/>
      <w:b/>
      <w:bCs/>
      <w:lang w:eastAsia="en-US"/>
    </w:rPr>
  </w:style>
  <w:style w:type="table" w:customStyle="1" w:styleId="TableGrid1">
    <w:name w:val="Table Grid1"/>
    <w:basedOn w:val="TableNormal"/>
    <w:next w:val="TableGrid"/>
    <w:rsid w:val="00541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64DB"/>
    <w:rPr>
      <w:rFonts w:ascii="Calibri" w:hAnsi="Calibri"/>
      <w:sz w:val="22"/>
      <w:szCs w:val="24"/>
    </w:rPr>
  </w:style>
  <w:style w:type="paragraph" w:styleId="FootnoteText">
    <w:name w:val="footnote text"/>
    <w:basedOn w:val="Normal"/>
    <w:link w:val="FootnoteTextChar"/>
    <w:rsid w:val="0058005B"/>
    <w:rPr>
      <w:sz w:val="20"/>
      <w:szCs w:val="20"/>
    </w:rPr>
  </w:style>
  <w:style w:type="character" w:customStyle="1" w:styleId="FootnoteTextChar">
    <w:name w:val="Footnote Text Char"/>
    <w:basedOn w:val="DefaultParagraphFont"/>
    <w:link w:val="FootnoteText"/>
    <w:rsid w:val="0058005B"/>
    <w:rPr>
      <w:rFonts w:ascii="Calibri" w:hAnsi="Calibri"/>
    </w:rPr>
  </w:style>
  <w:style w:type="character" w:styleId="FootnoteReference">
    <w:name w:val="footnote reference"/>
    <w:basedOn w:val="DefaultParagraphFont"/>
    <w:rsid w:val="005800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B3C"/>
    <w:rPr>
      <w:rFonts w:ascii="Calibri" w:hAnsi="Calibri"/>
      <w:sz w:val="22"/>
      <w:szCs w:val="24"/>
    </w:rPr>
  </w:style>
  <w:style w:type="paragraph" w:styleId="Heading1">
    <w:name w:val="heading 1"/>
    <w:basedOn w:val="Normal"/>
    <w:next w:val="Normal"/>
    <w:link w:val="Heading1Char"/>
    <w:qFormat/>
    <w:rsid w:val="00E03B3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B3C"/>
    <w:rPr>
      <w:rFonts w:ascii="Cambria" w:eastAsia="Times New Roman" w:hAnsi="Cambria" w:cs="Times New Roman"/>
      <w:b/>
      <w:bCs/>
      <w:color w:val="365F91"/>
      <w:sz w:val="28"/>
      <w:szCs w:val="28"/>
      <w:lang w:eastAsia="en-US"/>
    </w:rPr>
  </w:style>
  <w:style w:type="paragraph" w:styleId="Subtitle">
    <w:name w:val="Subtitle"/>
    <w:basedOn w:val="Normal"/>
    <w:next w:val="Normal"/>
    <w:link w:val="SubtitleChar"/>
    <w:qFormat/>
    <w:rsid w:val="00E03B3C"/>
    <w:pPr>
      <w:numPr>
        <w:ilvl w:val="1"/>
      </w:numPr>
    </w:pPr>
    <w:rPr>
      <w:rFonts w:ascii="Cambria" w:hAnsi="Cambria"/>
      <w:i/>
      <w:iCs/>
      <w:color w:val="4F81BD"/>
      <w:spacing w:val="15"/>
      <w:sz w:val="24"/>
    </w:rPr>
  </w:style>
  <w:style w:type="character" w:customStyle="1" w:styleId="SubtitleChar">
    <w:name w:val="Subtitle Char"/>
    <w:basedOn w:val="DefaultParagraphFont"/>
    <w:link w:val="Subtitle"/>
    <w:rsid w:val="00E03B3C"/>
    <w:rPr>
      <w:rFonts w:ascii="Cambria" w:eastAsia="Times New Roman" w:hAnsi="Cambria" w:cs="Times New Roman"/>
      <w:i/>
      <w:iCs/>
      <w:color w:val="4F81BD"/>
      <w:spacing w:val="15"/>
      <w:sz w:val="24"/>
      <w:szCs w:val="24"/>
      <w:lang w:eastAsia="en-US"/>
    </w:rPr>
  </w:style>
  <w:style w:type="character" w:styleId="Emphasis">
    <w:name w:val="Emphasis"/>
    <w:basedOn w:val="DefaultParagraphFont"/>
    <w:qFormat/>
    <w:rsid w:val="00E03B3C"/>
    <w:rPr>
      <w:i/>
      <w:iCs/>
    </w:rPr>
  </w:style>
  <w:style w:type="character" w:styleId="Hyperlink">
    <w:name w:val="Hyperlink"/>
    <w:basedOn w:val="DefaultParagraphFont"/>
    <w:uiPriority w:val="99"/>
    <w:unhideWhenUsed/>
    <w:rsid w:val="00E03B3C"/>
    <w:rPr>
      <w:color w:val="0000FF"/>
      <w:u w:val="single"/>
    </w:rPr>
  </w:style>
  <w:style w:type="paragraph" w:styleId="ListParagraph">
    <w:name w:val="List Paragraph"/>
    <w:basedOn w:val="Normal"/>
    <w:uiPriority w:val="34"/>
    <w:qFormat/>
    <w:rsid w:val="00A60095"/>
    <w:pPr>
      <w:ind w:left="720"/>
      <w:contextualSpacing/>
    </w:pPr>
  </w:style>
  <w:style w:type="paragraph" w:styleId="IntenseQuote">
    <w:name w:val="Intense Quote"/>
    <w:basedOn w:val="Normal"/>
    <w:next w:val="Normal"/>
    <w:link w:val="IntenseQuoteChar"/>
    <w:uiPriority w:val="30"/>
    <w:qFormat/>
    <w:rsid w:val="00A60095"/>
    <w:pPr>
      <w:pBdr>
        <w:bottom w:val="single" w:sz="4" w:space="4" w:color="4F81BD"/>
      </w:pBdr>
      <w:spacing w:before="80" w:after="160"/>
      <w:ind w:right="936"/>
    </w:pPr>
    <w:rPr>
      <w:bCs/>
      <w:i/>
      <w:iCs/>
      <w:color w:val="1F497D"/>
    </w:rPr>
  </w:style>
  <w:style w:type="character" w:customStyle="1" w:styleId="IntenseQuoteChar">
    <w:name w:val="Intense Quote Char"/>
    <w:basedOn w:val="DefaultParagraphFont"/>
    <w:link w:val="IntenseQuote"/>
    <w:uiPriority w:val="30"/>
    <w:rsid w:val="00A60095"/>
    <w:rPr>
      <w:rFonts w:ascii="Calibri" w:eastAsia="Times New Roman" w:hAnsi="Calibri"/>
      <w:bCs/>
      <w:i/>
      <w:iCs/>
      <w:color w:val="1F497D"/>
      <w:sz w:val="22"/>
      <w:szCs w:val="24"/>
      <w:lang w:eastAsia="en-US"/>
    </w:rPr>
  </w:style>
  <w:style w:type="table" w:styleId="TableGrid">
    <w:name w:val="Table Grid"/>
    <w:basedOn w:val="TableNormal"/>
    <w:rsid w:val="00A6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6597"/>
    <w:pPr>
      <w:tabs>
        <w:tab w:val="center" w:pos="4680"/>
        <w:tab w:val="right" w:pos="9360"/>
      </w:tabs>
    </w:pPr>
  </w:style>
  <w:style w:type="character" w:customStyle="1" w:styleId="HeaderChar">
    <w:name w:val="Header Char"/>
    <w:basedOn w:val="DefaultParagraphFont"/>
    <w:link w:val="Header"/>
    <w:rsid w:val="00DA6597"/>
    <w:rPr>
      <w:rFonts w:ascii="Calibri" w:eastAsia="Times New Roman" w:hAnsi="Calibri"/>
      <w:sz w:val="22"/>
      <w:szCs w:val="24"/>
      <w:lang w:eastAsia="en-US"/>
    </w:rPr>
  </w:style>
  <w:style w:type="paragraph" w:styleId="Footer">
    <w:name w:val="footer"/>
    <w:basedOn w:val="Normal"/>
    <w:link w:val="FooterChar"/>
    <w:uiPriority w:val="99"/>
    <w:rsid w:val="00DA6597"/>
    <w:pPr>
      <w:tabs>
        <w:tab w:val="center" w:pos="4680"/>
        <w:tab w:val="right" w:pos="9360"/>
      </w:tabs>
    </w:pPr>
  </w:style>
  <w:style w:type="character" w:customStyle="1" w:styleId="FooterChar">
    <w:name w:val="Footer Char"/>
    <w:basedOn w:val="DefaultParagraphFont"/>
    <w:link w:val="Footer"/>
    <w:uiPriority w:val="99"/>
    <w:rsid w:val="00DA6597"/>
    <w:rPr>
      <w:rFonts w:ascii="Calibri" w:eastAsia="Times New Roman" w:hAnsi="Calibri"/>
      <w:sz w:val="22"/>
      <w:szCs w:val="24"/>
      <w:lang w:eastAsia="en-US"/>
    </w:rPr>
  </w:style>
  <w:style w:type="character" w:styleId="FollowedHyperlink">
    <w:name w:val="FollowedHyperlink"/>
    <w:basedOn w:val="DefaultParagraphFont"/>
    <w:rsid w:val="00735F82"/>
    <w:rPr>
      <w:color w:val="800080"/>
      <w:u w:val="single"/>
    </w:rPr>
  </w:style>
  <w:style w:type="paragraph" w:styleId="BalloonText">
    <w:name w:val="Balloon Text"/>
    <w:basedOn w:val="Normal"/>
    <w:link w:val="BalloonTextChar"/>
    <w:rsid w:val="00835299"/>
    <w:rPr>
      <w:rFonts w:ascii="Tahoma" w:hAnsi="Tahoma" w:cs="Tahoma"/>
      <w:sz w:val="16"/>
      <w:szCs w:val="16"/>
    </w:rPr>
  </w:style>
  <w:style w:type="character" w:customStyle="1" w:styleId="BalloonTextChar">
    <w:name w:val="Balloon Text Char"/>
    <w:basedOn w:val="DefaultParagraphFont"/>
    <w:link w:val="BalloonText"/>
    <w:rsid w:val="00835299"/>
    <w:rPr>
      <w:rFonts w:ascii="Tahoma" w:eastAsia="Times New Roman" w:hAnsi="Tahoma" w:cs="Tahoma"/>
      <w:sz w:val="16"/>
      <w:szCs w:val="16"/>
      <w:lang w:eastAsia="en-US"/>
    </w:rPr>
  </w:style>
  <w:style w:type="paragraph" w:styleId="TOC1">
    <w:name w:val="toc 1"/>
    <w:basedOn w:val="Normal"/>
    <w:next w:val="Normal"/>
    <w:autoRedefine/>
    <w:uiPriority w:val="39"/>
    <w:qFormat/>
    <w:rsid w:val="00D652AB"/>
    <w:pPr>
      <w:spacing w:after="100"/>
    </w:pPr>
  </w:style>
  <w:style w:type="paragraph" w:styleId="TOCHeading">
    <w:name w:val="TOC Heading"/>
    <w:basedOn w:val="Heading1"/>
    <w:next w:val="Normal"/>
    <w:uiPriority w:val="39"/>
    <w:semiHidden/>
    <w:unhideWhenUsed/>
    <w:qFormat/>
    <w:rsid w:val="00D652AB"/>
    <w:pPr>
      <w:spacing w:line="276" w:lineRule="auto"/>
      <w:outlineLvl w:val="9"/>
    </w:pPr>
  </w:style>
  <w:style w:type="paragraph" w:styleId="TOC3">
    <w:name w:val="toc 3"/>
    <w:basedOn w:val="Normal"/>
    <w:next w:val="Normal"/>
    <w:autoRedefine/>
    <w:uiPriority w:val="39"/>
    <w:qFormat/>
    <w:rsid w:val="00D652AB"/>
    <w:pPr>
      <w:spacing w:after="100"/>
      <w:ind w:left="440"/>
    </w:pPr>
  </w:style>
  <w:style w:type="paragraph" w:styleId="TOC2">
    <w:name w:val="toc 2"/>
    <w:basedOn w:val="Normal"/>
    <w:next w:val="Normal"/>
    <w:autoRedefine/>
    <w:uiPriority w:val="39"/>
    <w:unhideWhenUsed/>
    <w:qFormat/>
    <w:rsid w:val="00D652AB"/>
    <w:pPr>
      <w:spacing w:after="100" w:line="276" w:lineRule="auto"/>
      <w:ind w:left="220"/>
    </w:pPr>
    <w:rPr>
      <w:szCs w:val="22"/>
    </w:rPr>
  </w:style>
  <w:style w:type="character" w:styleId="CommentReference">
    <w:name w:val="annotation reference"/>
    <w:basedOn w:val="DefaultParagraphFont"/>
    <w:rsid w:val="00541A5E"/>
    <w:rPr>
      <w:sz w:val="16"/>
      <w:szCs w:val="16"/>
    </w:rPr>
  </w:style>
  <w:style w:type="paragraph" w:styleId="CommentText">
    <w:name w:val="annotation text"/>
    <w:basedOn w:val="Normal"/>
    <w:link w:val="CommentTextChar"/>
    <w:rsid w:val="00541A5E"/>
    <w:rPr>
      <w:sz w:val="20"/>
      <w:szCs w:val="20"/>
    </w:rPr>
  </w:style>
  <w:style w:type="character" w:customStyle="1" w:styleId="CommentTextChar">
    <w:name w:val="Comment Text Char"/>
    <w:basedOn w:val="DefaultParagraphFont"/>
    <w:link w:val="CommentText"/>
    <w:rsid w:val="00541A5E"/>
    <w:rPr>
      <w:rFonts w:ascii="Calibri" w:eastAsia="Times New Roman" w:hAnsi="Calibri"/>
      <w:lang w:eastAsia="en-US"/>
    </w:rPr>
  </w:style>
  <w:style w:type="paragraph" w:styleId="CommentSubject">
    <w:name w:val="annotation subject"/>
    <w:basedOn w:val="CommentText"/>
    <w:next w:val="CommentText"/>
    <w:link w:val="CommentSubjectChar"/>
    <w:rsid w:val="00541A5E"/>
    <w:rPr>
      <w:b/>
      <w:bCs/>
    </w:rPr>
  </w:style>
  <w:style w:type="character" w:customStyle="1" w:styleId="CommentSubjectChar">
    <w:name w:val="Comment Subject Char"/>
    <w:basedOn w:val="CommentTextChar"/>
    <w:link w:val="CommentSubject"/>
    <w:rsid w:val="00541A5E"/>
    <w:rPr>
      <w:rFonts w:ascii="Calibri" w:eastAsia="Times New Roman" w:hAnsi="Calibri"/>
      <w:b/>
      <w:bCs/>
      <w:lang w:eastAsia="en-US"/>
    </w:rPr>
  </w:style>
  <w:style w:type="table" w:customStyle="1" w:styleId="TableGrid1">
    <w:name w:val="Table Grid1"/>
    <w:basedOn w:val="TableNormal"/>
    <w:next w:val="TableGrid"/>
    <w:rsid w:val="00541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64DB"/>
    <w:rPr>
      <w:rFonts w:ascii="Calibri" w:hAnsi="Calibri"/>
      <w:sz w:val="22"/>
      <w:szCs w:val="24"/>
    </w:rPr>
  </w:style>
  <w:style w:type="paragraph" w:styleId="FootnoteText">
    <w:name w:val="footnote text"/>
    <w:basedOn w:val="Normal"/>
    <w:link w:val="FootnoteTextChar"/>
    <w:rsid w:val="0058005B"/>
    <w:rPr>
      <w:sz w:val="20"/>
      <w:szCs w:val="20"/>
    </w:rPr>
  </w:style>
  <w:style w:type="character" w:customStyle="1" w:styleId="FootnoteTextChar">
    <w:name w:val="Footnote Text Char"/>
    <w:basedOn w:val="DefaultParagraphFont"/>
    <w:link w:val="FootnoteText"/>
    <w:rsid w:val="0058005B"/>
    <w:rPr>
      <w:rFonts w:ascii="Calibri" w:hAnsi="Calibri"/>
    </w:rPr>
  </w:style>
  <w:style w:type="character" w:styleId="FootnoteReference">
    <w:name w:val="footnote reference"/>
    <w:basedOn w:val="DefaultParagraphFont"/>
    <w:rsid w:val="005800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boe/docs/2013-11/item5.html" TargetMode="External"/><Relationship Id="rId26" Type="http://schemas.openxmlformats.org/officeDocument/2006/relationships/hyperlink" Target="http://www.doe.mass.edu/lawsregs/603cmr7.html?section=06" TargetMode="External"/><Relationship Id="rId39" Type="http://schemas.openxmlformats.org/officeDocument/2006/relationships/hyperlink" Target="http://www.doe.mass.edu/edprep/resources.html" TargetMode="External"/><Relationship Id="rId3" Type="http://schemas.openxmlformats.org/officeDocument/2006/relationships/customXml" Target="../customXml/item3.xml"/><Relationship Id="rId21" Type="http://schemas.openxmlformats.org/officeDocument/2006/relationships/hyperlink" Target="http://www.doe.mass.edu/edeva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edeval/" TargetMode="External"/><Relationship Id="rId25" Type="http://schemas.openxmlformats.org/officeDocument/2006/relationships/hyperlink" Target="http://www.doe.mass.edu/frameworks/current.html" TargetMode="External"/><Relationship Id="rId33" Type="http://schemas.openxmlformats.org/officeDocument/2006/relationships/hyperlink" Target="http://www.doe.mass.edu/edprep/evaltool/CriteriaList.pdf" TargetMode="External"/><Relationship Id="rId38" Type="http://schemas.openxmlformats.org/officeDocument/2006/relationships/hyperlink" Target="http://www.doe.mass.edu/edeval/" TargetMode="External"/><Relationship Id="rId2" Type="http://schemas.openxmlformats.org/officeDocument/2006/relationships/customXml" Target="../customXml/item2.xml"/><Relationship Id="rId16" Type="http://schemas.openxmlformats.org/officeDocument/2006/relationships/hyperlink" Target="http://www.doe.mass.edu/lawsregs/603cmr7.html?section=03" TargetMode="External"/><Relationship Id="rId20" Type="http://schemas.openxmlformats.org/officeDocument/2006/relationships/hyperlink" Target="http://www.doe.mass.edu/retell/" TargetMode="External"/><Relationship Id="rId29" Type="http://schemas.openxmlformats.org/officeDocument/2006/relationships/hyperlink" Target="http://www.doe.mass.edu/edprep/pr.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 TargetMode="External"/><Relationship Id="rId32" Type="http://schemas.openxmlformats.org/officeDocument/2006/relationships/image" Target="media/image3.png"/><Relationship Id="rId37" Type="http://schemas.openxmlformats.org/officeDocument/2006/relationships/header" Target="header3.xml"/><Relationship Id="rId40" Type="http://schemas.openxmlformats.org/officeDocument/2006/relationships/hyperlink" Target="http://www.doe.mass.edu/edprep/resources.html" TargetMode="External"/><Relationship Id="rId5" Type="http://schemas.openxmlformats.org/officeDocument/2006/relationships/customXml" Target="../customXml/item5.xml"/><Relationship Id="rId15" Type="http://schemas.openxmlformats.org/officeDocument/2006/relationships/hyperlink" Target="http://www.doe.mass.edu/edeval/" TargetMode="External"/><Relationship Id="rId23" Type="http://schemas.openxmlformats.org/officeDocument/2006/relationships/hyperlink" Target="http://www.doe.mass.edu/edeval/" TargetMode="External"/><Relationship Id="rId28" Type="http://schemas.openxmlformats.org/officeDocument/2006/relationships/hyperlink" Target="http://www.doe.mass.edu/edprep/"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lawsregs/603cmr35.html?section=03" TargetMode="External"/><Relationship Id="rId31" Type="http://schemas.openxmlformats.org/officeDocument/2006/relationships/hyperlink" Target="http://www.doe.mass.edu/edprep/nte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edprep/evaltool/CriteriaList.pdf" TargetMode="External"/><Relationship Id="rId27" Type="http://schemas.openxmlformats.org/officeDocument/2006/relationships/hyperlink" Target="http://www.doe.mass.edu/edeval/model/" TargetMode="External"/><Relationship Id="rId30" Type="http://schemas.openxmlformats.org/officeDocument/2006/relationships/hyperlink" Target="http://www.doe.mass.edu/lawsregs/603cmr7.html?section=03" TargetMode="External"/><Relationship Id="rId35" Type="http://schemas.openxmlformats.org/officeDocument/2006/relationships/header" Target="header2.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DESE-231-13428</_dlc_DocId>
    <_dlc_DocIdUrl xmlns="733efe1c-5bbe-4968-87dc-d400e65c879f">
      <Url>https://sharepoint.doemass.org/ese/webteam/cps/_layouts/DocIdRedir.aspx?ID=DESE-231-13428</Url>
      <Description>DESE-231-13428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9B66-728F-4C20-BA96-AEC68A733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EB40-36AF-4686-A35E-1C0EAFA3B3B5}">
  <ds:schemaRefs>
    <ds:schemaRef ds:uri="http://schemas.microsoft.com/sharepoint/events"/>
  </ds:schemaRefs>
</ds:datastoreItem>
</file>

<file path=customXml/itemProps3.xml><?xml version="1.0" encoding="utf-8"?>
<ds:datastoreItem xmlns:ds="http://schemas.openxmlformats.org/officeDocument/2006/customXml" ds:itemID="{37B00170-69FD-4FF3-87D8-138F3DF62B5E}">
  <ds:schemaRefs>
    <ds:schemaRef ds:uri="http://schemas.microsoft.com/sharepoint/v3/contenttype/forms"/>
  </ds:schemaRefs>
</ds:datastoreItem>
</file>

<file path=customXml/itemProps4.xml><?xml version="1.0" encoding="utf-8"?>
<ds:datastoreItem xmlns:ds="http://schemas.openxmlformats.org/officeDocument/2006/customXml" ds:itemID="{6372F645-BCD2-4B2A-95CB-972A58B283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2D831AF-A445-4EED-8006-232BB5E2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5764</Words>
  <Characters>35795</Characters>
  <Application>Microsoft Office Word</Application>
  <DocSecurity>0</DocSecurity>
  <Lines>941</Lines>
  <Paragraphs>352</Paragraphs>
  <ScaleCrop>false</ScaleCrop>
  <HeadingPairs>
    <vt:vector size="2" baseType="variant">
      <vt:variant>
        <vt:lpstr>Title</vt:lpstr>
      </vt:variant>
      <vt:variant>
        <vt:i4>1</vt:i4>
      </vt:variant>
    </vt:vector>
  </HeadingPairs>
  <TitlesOfParts>
    <vt:vector size="1" baseType="lpstr">
      <vt:lpstr>Guidelines for Professional Standards for Teachers</vt:lpstr>
    </vt:vector>
  </TitlesOfParts>
  <Company/>
  <LinksUpToDate>false</LinksUpToDate>
  <CharactersWithSpaces>41207</CharactersWithSpaces>
  <SharedDoc>false</SharedDoc>
  <HLinks>
    <vt:vector size="174" baseType="variant">
      <vt:variant>
        <vt:i4>5439569</vt:i4>
      </vt:variant>
      <vt:variant>
        <vt:i4>84</vt:i4>
      </vt:variant>
      <vt:variant>
        <vt:i4>0</vt:i4>
      </vt:variant>
      <vt:variant>
        <vt:i4>5</vt:i4>
      </vt:variant>
      <vt:variant>
        <vt:lpwstr>http://www.doe.mass.edu/edprep/resources</vt:lpwstr>
      </vt:variant>
      <vt:variant>
        <vt:lpwstr/>
      </vt:variant>
      <vt:variant>
        <vt:i4>5636107</vt:i4>
      </vt:variant>
      <vt:variant>
        <vt:i4>81</vt:i4>
      </vt:variant>
      <vt:variant>
        <vt:i4>0</vt:i4>
      </vt:variant>
      <vt:variant>
        <vt:i4>5</vt:i4>
      </vt:variant>
      <vt:variant>
        <vt:lpwstr>http://www.doe.mass.edu/edprep/resources.html</vt:lpwstr>
      </vt:variant>
      <vt:variant>
        <vt:lpwstr/>
      </vt:variant>
      <vt:variant>
        <vt:i4>3080306</vt:i4>
      </vt:variant>
      <vt:variant>
        <vt:i4>78</vt:i4>
      </vt:variant>
      <vt:variant>
        <vt:i4>0</vt:i4>
      </vt:variant>
      <vt:variant>
        <vt:i4>5</vt:i4>
      </vt:variant>
      <vt:variant>
        <vt:lpwstr>http://www.doe.mass.edu/edeval/</vt:lpwstr>
      </vt:variant>
      <vt:variant>
        <vt:lpwstr/>
      </vt:variant>
      <vt:variant>
        <vt:i4>1638406</vt:i4>
      </vt:variant>
      <vt:variant>
        <vt:i4>75</vt:i4>
      </vt:variant>
      <vt:variant>
        <vt:i4>0</vt:i4>
      </vt:variant>
      <vt:variant>
        <vt:i4>5</vt:i4>
      </vt:variant>
      <vt:variant>
        <vt:lpwstr>http://www.doe.mass.edu/edprep/evaltool/CriteriaList.pdf</vt:lpwstr>
      </vt:variant>
      <vt:variant>
        <vt:lpwstr/>
      </vt:variant>
      <vt:variant>
        <vt:i4>655437</vt:i4>
      </vt:variant>
      <vt:variant>
        <vt:i4>72</vt:i4>
      </vt:variant>
      <vt:variant>
        <vt:i4>0</vt:i4>
      </vt:variant>
      <vt:variant>
        <vt:i4>5</vt:i4>
      </vt:variant>
      <vt:variant>
        <vt:lpwstr>http://www.doe.mass.edu/edprep/ntep.html</vt:lpwstr>
      </vt:variant>
      <vt:variant>
        <vt:lpwstr/>
      </vt:variant>
      <vt:variant>
        <vt:i4>7405627</vt:i4>
      </vt:variant>
      <vt:variant>
        <vt:i4>69</vt:i4>
      </vt:variant>
      <vt:variant>
        <vt:i4>0</vt:i4>
      </vt:variant>
      <vt:variant>
        <vt:i4>5</vt:i4>
      </vt:variant>
      <vt:variant>
        <vt:lpwstr>http://www.doe.mass.edu/edprep/pr.html</vt:lpwstr>
      </vt:variant>
      <vt:variant>
        <vt:lpwstr/>
      </vt:variant>
      <vt:variant>
        <vt:i4>3604579</vt:i4>
      </vt:variant>
      <vt:variant>
        <vt:i4>66</vt:i4>
      </vt:variant>
      <vt:variant>
        <vt:i4>0</vt:i4>
      </vt:variant>
      <vt:variant>
        <vt:i4>5</vt:i4>
      </vt:variant>
      <vt:variant>
        <vt:lpwstr>http://www.doe.mass.edu/edprep/</vt:lpwstr>
      </vt:variant>
      <vt:variant>
        <vt:lpwstr/>
      </vt:variant>
      <vt:variant>
        <vt:i4>4849751</vt:i4>
      </vt:variant>
      <vt:variant>
        <vt:i4>63</vt:i4>
      </vt:variant>
      <vt:variant>
        <vt:i4>0</vt:i4>
      </vt:variant>
      <vt:variant>
        <vt:i4>5</vt:i4>
      </vt:variant>
      <vt:variant>
        <vt:lpwstr>http://www.doe.mass.edu/edeval/model/</vt:lpwstr>
      </vt:variant>
      <vt:variant>
        <vt:lpwstr/>
      </vt:variant>
      <vt:variant>
        <vt:i4>4521986</vt:i4>
      </vt:variant>
      <vt:variant>
        <vt:i4>60</vt:i4>
      </vt:variant>
      <vt:variant>
        <vt:i4>0</vt:i4>
      </vt:variant>
      <vt:variant>
        <vt:i4>5</vt:i4>
      </vt:variant>
      <vt:variant>
        <vt:lpwstr>http://www.doe.mass.edu/lawsregs/603cmr7.html?section=06</vt:lpwstr>
      </vt:variant>
      <vt:variant>
        <vt:lpwstr/>
      </vt:variant>
      <vt:variant>
        <vt:i4>8061047</vt:i4>
      </vt:variant>
      <vt:variant>
        <vt:i4>57</vt:i4>
      </vt:variant>
      <vt:variant>
        <vt:i4>0</vt:i4>
      </vt:variant>
      <vt:variant>
        <vt:i4>5</vt:i4>
      </vt:variant>
      <vt:variant>
        <vt:lpwstr>http://www.doe.mass.edu/candi/</vt:lpwstr>
      </vt:variant>
      <vt:variant>
        <vt:lpwstr/>
      </vt:variant>
      <vt:variant>
        <vt:i4>3080306</vt:i4>
      </vt:variant>
      <vt:variant>
        <vt:i4>54</vt:i4>
      </vt:variant>
      <vt:variant>
        <vt:i4>0</vt:i4>
      </vt:variant>
      <vt:variant>
        <vt:i4>5</vt:i4>
      </vt:variant>
      <vt:variant>
        <vt:lpwstr>http://www.doe.mass.edu/edeval/</vt:lpwstr>
      </vt:variant>
      <vt:variant>
        <vt:lpwstr/>
      </vt:variant>
      <vt:variant>
        <vt:i4>1638406</vt:i4>
      </vt:variant>
      <vt:variant>
        <vt:i4>51</vt:i4>
      </vt:variant>
      <vt:variant>
        <vt:i4>0</vt:i4>
      </vt:variant>
      <vt:variant>
        <vt:i4>5</vt:i4>
      </vt:variant>
      <vt:variant>
        <vt:lpwstr>http://www.doe.mass.edu/edprep/evaltool/CriteriaList.pdf</vt:lpwstr>
      </vt:variant>
      <vt:variant>
        <vt:lpwstr/>
      </vt:variant>
      <vt:variant>
        <vt:i4>3080306</vt:i4>
      </vt:variant>
      <vt:variant>
        <vt:i4>48</vt:i4>
      </vt:variant>
      <vt:variant>
        <vt:i4>0</vt:i4>
      </vt:variant>
      <vt:variant>
        <vt:i4>5</vt:i4>
      </vt:variant>
      <vt:variant>
        <vt:lpwstr>http://www.doe.mass.edu/edeval</vt:lpwstr>
      </vt:variant>
      <vt:variant>
        <vt:lpwstr/>
      </vt:variant>
      <vt:variant>
        <vt:i4>3670051</vt:i4>
      </vt:variant>
      <vt:variant>
        <vt:i4>45</vt:i4>
      </vt:variant>
      <vt:variant>
        <vt:i4>0</vt:i4>
      </vt:variant>
      <vt:variant>
        <vt:i4>5</vt:i4>
      </vt:variant>
      <vt:variant>
        <vt:lpwstr>http://www.doe.mass.edu/lawsregs/603cmr35.html</vt:lpwstr>
      </vt:variant>
      <vt:variant>
        <vt:lpwstr/>
      </vt:variant>
      <vt:variant>
        <vt:i4>589846</vt:i4>
      </vt:variant>
      <vt:variant>
        <vt:i4>42</vt:i4>
      </vt:variant>
      <vt:variant>
        <vt:i4>0</vt:i4>
      </vt:variant>
      <vt:variant>
        <vt:i4>5</vt:i4>
      </vt:variant>
      <vt:variant>
        <vt:lpwstr/>
      </vt:variant>
      <vt:variant>
        <vt:lpwstr>AppendixB</vt:lpwstr>
      </vt:variant>
      <vt:variant>
        <vt:i4>852024</vt:i4>
      </vt:variant>
      <vt:variant>
        <vt:i4>39</vt:i4>
      </vt:variant>
      <vt:variant>
        <vt:i4>0</vt:i4>
      </vt:variant>
      <vt:variant>
        <vt:i4>5</vt:i4>
      </vt:variant>
      <vt:variant>
        <vt:lpwstr/>
      </vt:variant>
      <vt:variant>
        <vt:lpwstr>Intersecting_Initiatives</vt:lpwstr>
      </vt:variant>
      <vt:variant>
        <vt:i4>3014754</vt:i4>
      </vt:variant>
      <vt:variant>
        <vt:i4>36</vt:i4>
      </vt:variant>
      <vt:variant>
        <vt:i4>0</vt:i4>
      </vt:variant>
      <vt:variant>
        <vt:i4>5</vt:i4>
      </vt:variant>
      <vt:variant>
        <vt:lpwstr>http://www.doe.mass.edu/boe/docs/2013-11/item5.html</vt:lpwstr>
      </vt:variant>
      <vt:variant>
        <vt:lpwstr/>
      </vt:variant>
      <vt:variant>
        <vt:i4>3080306</vt:i4>
      </vt:variant>
      <vt:variant>
        <vt:i4>33</vt:i4>
      </vt:variant>
      <vt:variant>
        <vt:i4>0</vt:i4>
      </vt:variant>
      <vt:variant>
        <vt:i4>5</vt:i4>
      </vt:variant>
      <vt:variant>
        <vt:lpwstr>http://www.doe.mass.edu/edeval/</vt:lpwstr>
      </vt:variant>
      <vt:variant>
        <vt:lpwstr/>
      </vt:variant>
      <vt:variant>
        <vt:i4>4194306</vt:i4>
      </vt:variant>
      <vt:variant>
        <vt:i4>30</vt:i4>
      </vt:variant>
      <vt:variant>
        <vt:i4>0</vt:i4>
      </vt:variant>
      <vt:variant>
        <vt:i4>5</vt:i4>
      </vt:variant>
      <vt:variant>
        <vt:lpwstr>http://www.doe.mass.edu/lawsregs/603cmr7.html?section=03</vt:lpwstr>
      </vt:variant>
      <vt:variant>
        <vt:lpwstr/>
      </vt:variant>
      <vt:variant>
        <vt:i4>589846</vt:i4>
      </vt:variant>
      <vt:variant>
        <vt:i4>27</vt:i4>
      </vt:variant>
      <vt:variant>
        <vt:i4>0</vt:i4>
      </vt:variant>
      <vt:variant>
        <vt:i4>5</vt:i4>
      </vt:variant>
      <vt:variant>
        <vt:lpwstr/>
      </vt:variant>
      <vt:variant>
        <vt:lpwstr>AppendixC</vt:lpwstr>
      </vt:variant>
      <vt:variant>
        <vt:i4>589846</vt:i4>
      </vt:variant>
      <vt:variant>
        <vt:i4>24</vt:i4>
      </vt:variant>
      <vt:variant>
        <vt:i4>0</vt:i4>
      </vt:variant>
      <vt:variant>
        <vt:i4>5</vt:i4>
      </vt:variant>
      <vt:variant>
        <vt:lpwstr/>
      </vt:variant>
      <vt:variant>
        <vt:lpwstr>AppendixB</vt:lpwstr>
      </vt:variant>
      <vt:variant>
        <vt:i4>589846</vt:i4>
      </vt:variant>
      <vt:variant>
        <vt:i4>21</vt:i4>
      </vt:variant>
      <vt:variant>
        <vt:i4>0</vt:i4>
      </vt:variant>
      <vt:variant>
        <vt:i4>5</vt:i4>
      </vt:variant>
      <vt:variant>
        <vt:lpwstr/>
      </vt:variant>
      <vt:variant>
        <vt:lpwstr>AppendixA</vt:lpwstr>
      </vt:variant>
      <vt:variant>
        <vt:i4>589846</vt:i4>
      </vt:variant>
      <vt:variant>
        <vt:i4>18</vt:i4>
      </vt:variant>
      <vt:variant>
        <vt:i4>0</vt:i4>
      </vt:variant>
      <vt:variant>
        <vt:i4>5</vt:i4>
      </vt:variant>
      <vt:variant>
        <vt:lpwstr/>
      </vt:variant>
      <vt:variant>
        <vt:lpwstr>AppendixA</vt:lpwstr>
      </vt:variant>
      <vt:variant>
        <vt:i4>27</vt:i4>
      </vt:variant>
      <vt:variant>
        <vt:i4>15</vt:i4>
      </vt:variant>
      <vt:variant>
        <vt:i4>0</vt:i4>
      </vt:variant>
      <vt:variant>
        <vt:i4>5</vt:i4>
      </vt:variant>
      <vt:variant>
        <vt:lpwstr/>
      </vt:variant>
      <vt:variant>
        <vt:lpwstr>Timeline</vt:lpwstr>
      </vt:variant>
      <vt:variant>
        <vt:i4>852024</vt:i4>
      </vt:variant>
      <vt:variant>
        <vt:i4>12</vt:i4>
      </vt:variant>
      <vt:variant>
        <vt:i4>0</vt:i4>
      </vt:variant>
      <vt:variant>
        <vt:i4>5</vt:i4>
      </vt:variant>
      <vt:variant>
        <vt:lpwstr/>
      </vt:variant>
      <vt:variant>
        <vt:lpwstr>Intersecting_Initiatives</vt:lpwstr>
      </vt:variant>
      <vt:variant>
        <vt:i4>7602302</vt:i4>
      </vt:variant>
      <vt:variant>
        <vt:i4>9</vt:i4>
      </vt:variant>
      <vt:variant>
        <vt:i4>0</vt:i4>
      </vt:variant>
      <vt:variant>
        <vt:i4>5</vt:i4>
      </vt:variant>
      <vt:variant>
        <vt:lpwstr/>
      </vt:variant>
      <vt:variant>
        <vt:lpwstr>GuidelinesForSponsoringOrgs</vt:lpwstr>
      </vt:variant>
      <vt:variant>
        <vt:i4>6815853</vt:i4>
      </vt:variant>
      <vt:variant>
        <vt:i4>6</vt:i4>
      </vt:variant>
      <vt:variant>
        <vt:i4>0</vt:i4>
      </vt:variant>
      <vt:variant>
        <vt:i4>5</vt:i4>
      </vt:variant>
      <vt:variant>
        <vt:lpwstr/>
      </vt:variant>
      <vt:variant>
        <vt:lpwstr>OrgAndStructureOfStandards</vt:lpwstr>
      </vt:variant>
      <vt:variant>
        <vt:i4>1507331</vt:i4>
      </vt:variant>
      <vt:variant>
        <vt:i4>3</vt:i4>
      </vt:variant>
      <vt:variant>
        <vt:i4>0</vt:i4>
      </vt:variant>
      <vt:variant>
        <vt:i4>5</vt:i4>
      </vt:variant>
      <vt:variant>
        <vt:lpwstr/>
      </vt:variant>
      <vt:variant>
        <vt:lpwstr>Audience</vt:lpwstr>
      </vt:variant>
      <vt:variant>
        <vt:i4>3080306</vt:i4>
      </vt:variant>
      <vt:variant>
        <vt:i4>0</vt:i4>
      </vt:variant>
      <vt:variant>
        <vt:i4>0</vt:i4>
      </vt:variant>
      <vt:variant>
        <vt:i4>5</vt:i4>
      </vt:variant>
      <vt:variant>
        <vt:lpwstr>http://www.doe.mass.edu/edeval/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Professional Standards for Teachers</dc:title>
  <dc:creator>ESE</dc:creator>
  <cp:lastModifiedBy>dzou</cp:lastModifiedBy>
  <cp:revision>4</cp:revision>
  <cp:lastPrinted>2015-01-15T20:42:00Z</cp:lastPrinted>
  <dcterms:created xsi:type="dcterms:W3CDTF">2015-01-26T20:48:00Z</dcterms:created>
  <dcterms:modified xsi:type="dcterms:W3CDTF">2015-01-29T21:52:00Z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2015</vt:lpwstr>
  </property>
</Properties>
</file>