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8001" w14:textId="47AE5CF5" w:rsidR="00DE2B12" w:rsidRPr="001E2AEA" w:rsidRDefault="009B412E" w:rsidP="5F1998C7">
      <w:pPr>
        <w:spacing w:after="0" w:line="240" w:lineRule="auto"/>
        <w:rPr>
          <w:b/>
          <w:bCs/>
          <w:color w:val="1F497D" w:themeColor="text2"/>
          <w:sz w:val="28"/>
          <w:szCs w:val="28"/>
        </w:rPr>
      </w:pPr>
      <w:r>
        <w:br/>
      </w:r>
      <w:r w:rsidR="001F6CD2" w:rsidRPr="5F1998C7">
        <w:rPr>
          <w:b/>
          <w:bCs/>
          <w:color w:val="1F497D" w:themeColor="text2"/>
          <w:sz w:val="28"/>
          <w:szCs w:val="28"/>
        </w:rPr>
        <w:t xml:space="preserve">Carl D. Perkins Career &amp; Technical Education </w:t>
      </w:r>
      <w:r w:rsidR="5F1998C7">
        <w:rPr>
          <w:noProof/>
        </w:rPr>
        <w:drawing>
          <wp:anchor distT="0" distB="0" distL="114300" distR="114300" simplePos="0" relativeHeight="251658240" behindDoc="0" locked="0" layoutInCell="1" allowOverlap="1" wp14:anchorId="0F09A73F" wp14:editId="4780D9A7">
            <wp:simplePos x="0" y="0"/>
            <wp:positionH relativeFrom="column">
              <wp:align>right</wp:align>
            </wp:positionH>
            <wp:positionV relativeFrom="paragraph">
              <wp:posOffset>0</wp:posOffset>
            </wp:positionV>
            <wp:extent cx="1714500" cy="1028700"/>
            <wp:effectExtent l="0" t="0" r="0" b="0"/>
            <wp:wrapNone/>
            <wp:docPr id="148389894" name="Picture 14838989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9894" name="Picture 148389894"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1028700"/>
                    </a:xfrm>
                    <a:prstGeom prst="rect">
                      <a:avLst/>
                    </a:prstGeom>
                  </pic:spPr>
                </pic:pic>
              </a:graphicData>
            </a:graphic>
            <wp14:sizeRelH relativeFrom="page">
              <wp14:pctWidth>0</wp14:pctWidth>
            </wp14:sizeRelH>
            <wp14:sizeRelV relativeFrom="page">
              <wp14:pctHeight>0</wp14:pctHeight>
            </wp14:sizeRelV>
          </wp:anchor>
        </w:drawing>
      </w:r>
    </w:p>
    <w:p w14:paraId="432D9EEC" w14:textId="64959A57" w:rsidR="00811F57" w:rsidRPr="00AB1465" w:rsidRDefault="00DE2B12" w:rsidP="00C004F4">
      <w:pPr>
        <w:spacing w:after="0" w:line="240" w:lineRule="auto"/>
        <w:rPr>
          <w:b/>
          <w:color w:val="1F497D" w:themeColor="text2"/>
          <w:sz w:val="24"/>
          <w:szCs w:val="24"/>
        </w:rPr>
      </w:pPr>
      <w:r w:rsidRPr="4A9856E1">
        <w:rPr>
          <w:b/>
          <w:color w:val="1F497D" w:themeColor="text2"/>
          <w:sz w:val="24"/>
          <w:szCs w:val="24"/>
        </w:rPr>
        <w:t>Posts</w:t>
      </w:r>
      <w:r w:rsidR="001F6CD2" w:rsidRPr="4A9856E1">
        <w:rPr>
          <w:b/>
          <w:color w:val="1F497D" w:themeColor="text2"/>
          <w:sz w:val="24"/>
          <w:szCs w:val="24"/>
        </w:rPr>
        <w:t>econdary Allocation Grant</w:t>
      </w:r>
      <w:r w:rsidR="00056E07" w:rsidRPr="4A9856E1">
        <w:rPr>
          <w:b/>
          <w:color w:val="1F497D" w:themeColor="text2"/>
          <w:sz w:val="24"/>
          <w:szCs w:val="24"/>
        </w:rPr>
        <w:t>:</w:t>
      </w:r>
      <w:r w:rsidR="00972D90" w:rsidRPr="4A9856E1">
        <w:rPr>
          <w:b/>
          <w:color w:val="1F497D" w:themeColor="text2"/>
          <w:sz w:val="24"/>
          <w:szCs w:val="24"/>
        </w:rPr>
        <w:t xml:space="preserve"> Quick Reference Guide</w:t>
      </w:r>
      <w:r w:rsidR="00AB1465" w:rsidRPr="4A9856E1">
        <w:rPr>
          <w:b/>
          <w:color w:val="1F497D" w:themeColor="text2"/>
          <w:sz w:val="24"/>
          <w:szCs w:val="24"/>
        </w:rPr>
        <w:t xml:space="preserve"> – Fund Code </w:t>
      </w:r>
      <w:r w:rsidR="30E3713D" w:rsidRPr="4A9856E1">
        <w:rPr>
          <w:b/>
          <w:bCs/>
          <w:color w:val="1F497D" w:themeColor="text2"/>
          <w:sz w:val="24"/>
          <w:szCs w:val="24"/>
        </w:rPr>
        <w:t>0</w:t>
      </w:r>
      <w:r w:rsidR="00AB1465" w:rsidRPr="4A9856E1">
        <w:rPr>
          <w:b/>
          <w:bCs/>
          <w:color w:val="1F497D" w:themeColor="text2"/>
          <w:sz w:val="24"/>
          <w:szCs w:val="24"/>
        </w:rPr>
        <w:t>401</w:t>
      </w:r>
      <w:r w:rsidR="00972D90" w:rsidRPr="4A9856E1">
        <w:rPr>
          <w:b/>
          <w:color w:val="1F497D" w:themeColor="text2"/>
          <w:sz w:val="24"/>
          <w:szCs w:val="24"/>
        </w:rPr>
        <w:t xml:space="preserve"> </w:t>
      </w:r>
    </w:p>
    <w:p w14:paraId="5EAE1173" w14:textId="77777777" w:rsidR="00AF429B" w:rsidRPr="00A56AFB" w:rsidRDefault="00AB1465" w:rsidP="001E2AEA">
      <w:pPr>
        <w:spacing w:after="0" w:line="360" w:lineRule="auto"/>
        <w:rPr>
          <w:b/>
          <w:sz w:val="24"/>
          <w:szCs w:val="32"/>
        </w:rPr>
      </w:pPr>
      <w:r w:rsidRPr="00A90A20">
        <w:rPr>
          <w:b/>
          <w:color w:val="984806" w:themeColor="accent6" w:themeShade="80"/>
          <w:sz w:val="24"/>
          <w:szCs w:val="32"/>
        </w:rPr>
        <w:t xml:space="preserve">Improving </w:t>
      </w:r>
      <w:r w:rsidR="001424A9" w:rsidRPr="00A90A20">
        <w:rPr>
          <w:b/>
          <w:color w:val="984806" w:themeColor="accent6" w:themeShade="80"/>
          <w:sz w:val="24"/>
          <w:szCs w:val="32"/>
        </w:rPr>
        <w:t>C</w:t>
      </w:r>
      <w:r w:rsidRPr="00A90A20">
        <w:rPr>
          <w:b/>
          <w:color w:val="984806" w:themeColor="accent6" w:themeShade="80"/>
          <w:sz w:val="24"/>
          <w:szCs w:val="32"/>
        </w:rPr>
        <w:t xml:space="preserve">areer and </w:t>
      </w:r>
      <w:r w:rsidR="001424A9" w:rsidRPr="00A90A20">
        <w:rPr>
          <w:b/>
          <w:color w:val="984806" w:themeColor="accent6" w:themeShade="80"/>
          <w:sz w:val="24"/>
          <w:szCs w:val="32"/>
        </w:rPr>
        <w:t>T</w:t>
      </w:r>
      <w:r w:rsidRPr="00A90A20">
        <w:rPr>
          <w:b/>
          <w:color w:val="984806" w:themeColor="accent6" w:themeShade="80"/>
          <w:sz w:val="24"/>
          <w:szCs w:val="32"/>
        </w:rPr>
        <w:t xml:space="preserve">echnical </w:t>
      </w:r>
      <w:r w:rsidR="001424A9" w:rsidRPr="00A90A20">
        <w:rPr>
          <w:b/>
          <w:color w:val="984806" w:themeColor="accent6" w:themeShade="80"/>
          <w:sz w:val="24"/>
          <w:szCs w:val="32"/>
        </w:rPr>
        <w:t>E</w:t>
      </w:r>
      <w:r w:rsidRPr="00A90A20">
        <w:rPr>
          <w:b/>
          <w:color w:val="984806" w:themeColor="accent6" w:themeShade="80"/>
          <w:sz w:val="24"/>
          <w:szCs w:val="32"/>
        </w:rPr>
        <w:t>ducation</w:t>
      </w:r>
      <w:r w:rsidR="001F6CD2" w:rsidRPr="00A56AFB">
        <w:rPr>
          <w:b/>
          <w:sz w:val="24"/>
          <w:szCs w:val="32"/>
        </w:rPr>
        <w:t xml:space="preserve"> </w:t>
      </w:r>
    </w:p>
    <w:p w14:paraId="039439A5" w14:textId="068E6C8D" w:rsidR="00056E07" w:rsidRPr="00AF429B" w:rsidRDefault="001F6CD2" w:rsidP="00E35D8B">
      <w:pPr>
        <w:spacing w:after="0" w:line="240" w:lineRule="auto"/>
        <w:rPr>
          <w:b/>
          <w:color w:val="E36C0A" w:themeColor="accent6" w:themeShade="BF"/>
          <w:sz w:val="24"/>
          <w:szCs w:val="32"/>
        </w:rPr>
      </w:pPr>
      <w:r>
        <w:rPr>
          <w:b/>
          <w:color w:val="1F497D" w:themeColor="text2"/>
          <w:sz w:val="24"/>
          <w:szCs w:val="20"/>
        </w:rPr>
        <w:t xml:space="preserve">Purpose and </w:t>
      </w:r>
      <w:r w:rsidR="009B412E" w:rsidRPr="00056E07">
        <w:rPr>
          <w:b/>
          <w:color w:val="1F497D" w:themeColor="text2"/>
          <w:sz w:val="24"/>
          <w:szCs w:val="20"/>
        </w:rPr>
        <w:t xml:space="preserve">Priorities of </w:t>
      </w:r>
      <w:r>
        <w:rPr>
          <w:b/>
          <w:color w:val="1F497D" w:themeColor="text2"/>
          <w:sz w:val="24"/>
          <w:szCs w:val="20"/>
        </w:rPr>
        <w:t xml:space="preserve">Perkins </w:t>
      </w:r>
      <w:r w:rsidR="00373898">
        <w:rPr>
          <w:b/>
          <w:color w:val="1F497D" w:themeColor="text2"/>
          <w:sz w:val="24"/>
          <w:szCs w:val="20"/>
        </w:rPr>
        <w:t>Posts</w:t>
      </w:r>
      <w:r>
        <w:rPr>
          <w:b/>
          <w:color w:val="1F497D" w:themeColor="text2"/>
          <w:sz w:val="24"/>
          <w:szCs w:val="20"/>
        </w:rPr>
        <w:t>econdary Allocation Grant</w:t>
      </w:r>
      <w:r w:rsidR="009B412E" w:rsidRPr="00056E07">
        <w:rPr>
          <w:b/>
          <w:color w:val="1F497D" w:themeColor="text2"/>
          <w:sz w:val="24"/>
          <w:szCs w:val="20"/>
        </w:rPr>
        <w:t>:</w:t>
      </w:r>
      <w:r w:rsidR="009B412E" w:rsidRPr="00056E07">
        <w:rPr>
          <w:color w:val="1F497D" w:themeColor="text2"/>
          <w:sz w:val="24"/>
          <w:szCs w:val="20"/>
        </w:rPr>
        <w:t xml:space="preserve"> </w:t>
      </w:r>
    </w:p>
    <w:p w14:paraId="687422B7" w14:textId="77777777" w:rsidR="009E4C8F" w:rsidRPr="00787EE2" w:rsidRDefault="00787EE2" w:rsidP="00E35D8B">
      <w:pPr>
        <w:pStyle w:val="ListParagraph"/>
        <w:numPr>
          <w:ilvl w:val="0"/>
          <w:numId w:val="35"/>
        </w:numPr>
        <w:spacing w:line="240" w:lineRule="auto"/>
        <w:ind w:left="270" w:hanging="270"/>
        <w:rPr>
          <w:sz w:val="20"/>
          <w:szCs w:val="20"/>
        </w:rPr>
      </w:pPr>
      <w:r w:rsidRPr="009E4C8F">
        <w:rPr>
          <w:sz w:val="20"/>
          <w:szCs w:val="20"/>
        </w:rPr>
        <w:t>A</w:t>
      </w:r>
      <w:r w:rsidR="001F6CD2" w:rsidRPr="009E4C8F">
        <w:rPr>
          <w:sz w:val="20"/>
          <w:szCs w:val="20"/>
        </w:rPr>
        <w:t>ssist</w:t>
      </w:r>
      <w:r w:rsidR="00373898" w:rsidRPr="009E4C8F">
        <w:rPr>
          <w:sz w:val="20"/>
          <w:szCs w:val="20"/>
        </w:rPr>
        <w:t xml:space="preserve"> </w:t>
      </w:r>
      <w:r w:rsidR="00373898" w:rsidRPr="009E4C8F">
        <w:rPr>
          <w:b/>
          <w:sz w:val="20"/>
          <w:szCs w:val="20"/>
        </w:rPr>
        <w:t>public two-year colleges</w:t>
      </w:r>
      <w:r w:rsidR="00373898" w:rsidRPr="009E4C8F">
        <w:rPr>
          <w:sz w:val="20"/>
          <w:szCs w:val="20"/>
        </w:rPr>
        <w:t xml:space="preserve"> in improving secondary level programs </w:t>
      </w:r>
      <w:r w:rsidR="001F6CD2" w:rsidRPr="009E4C8F">
        <w:rPr>
          <w:sz w:val="20"/>
          <w:szCs w:val="20"/>
        </w:rPr>
        <w:t xml:space="preserve">that meet the definition of career and technical education as contained in the </w:t>
      </w:r>
      <w:r w:rsidR="009E4C8F" w:rsidRPr="002E748B">
        <w:rPr>
          <w:sz w:val="20"/>
        </w:rPr>
        <w:t>Strengthening Career and Technical Education for the 21</w:t>
      </w:r>
      <w:r w:rsidR="009E4C8F" w:rsidRPr="002E748B">
        <w:rPr>
          <w:sz w:val="20"/>
          <w:vertAlign w:val="superscript"/>
        </w:rPr>
        <w:t>st</w:t>
      </w:r>
      <w:r w:rsidR="009E4C8F" w:rsidRPr="002E748B">
        <w:rPr>
          <w:sz w:val="20"/>
        </w:rPr>
        <w:t xml:space="preserve"> Century Act P.L. 115-224 </w:t>
      </w:r>
      <w:r w:rsidR="009E4C8F">
        <w:rPr>
          <w:sz w:val="20"/>
          <w:szCs w:val="20"/>
        </w:rPr>
        <w:t xml:space="preserve">(Perkins </w:t>
      </w:r>
      <w:r w:rsidR="009E4C8F" w:rsidRPr="00787EE2">
        <w:rPr>
          <w:sz w:val="20"/>
          <w:szCs w:val="20"/>
        </w:rPr>
        <w:t>V).</w:t>
      </w:r>
    </w:p>
    <w:p w14:paraId="13472CCD" w14:textId="77777777" w:rsidR="001E2AEA" w:rsidRDefault="009E4C8F" w:rsidP="00E35D8B">
      <w:pPr>
        <w:pStyle w:val="ListParagraph"/>
        <w:numPr>
          <w:ilvl w:val="0"/>
          <w:numId w:val="35"/>
        </w:numPr>
        <w:spacing w:after="0" w:line="240" w:lineRule="auto"/>
        <w:ind w:left="270" w:hanging="270"/>
        <w:rPr>
          <w:sz w:val="20"/>
          <w:szCs w:val="20"/>
        </w:rPr>
      </w:pPr>
      <w:r>
        <w:rPr>
          <w:sz w:val="20"/>
          <w:szCs w:val="20"/>
        </w:rPr>
        <w:t xml:space="preserve">Support career and technical education programs that are sufficient size, </w:t>
      </w:r>
      <w:proofErr w:type="gramStart"/>
      <w:r>
        <w:rPr>
          <w:sz w:val="20"/>
          <w:szCs w:val="20"/>
        </w:rPr>
        <w:t>scope</w:t>
      </w:r>
      <w:proofErr w:type="gramEnd"/>
      <w:r>
        <w:rPr>
          <w:sz w:val="20"/>
          <w:szCs w:val="20"/>
        </w:rPr>
        <w:t xml:space="preserve"> and quality to be effective</w:t>
      </w:r>
      <w:r w:rsidRPr="00787EE2">
        <w:rPr>
          <w:sz w:val="20"/>
          <w:szCs w:val="20"/>
        </w:rPr>
        <w:t>.</w:t>
      </w:r>
    </w:p>
    <w:p w14:paraId="460FDAE8" w14:textId="77777777" w:rsidR="001E2AEA" w:rsidRDefault="001E2AEA" w:rsidP="001E2AEA">
      <w:pPr>
        <w:spacing w:after="0" w:line="240" w:lineRule="auto"/>
        <w:rPr>
          <w:b/>
          <w:bCs/>
          <w:color w:val="1F497D" w:themeColor="text2"/>
          <w:sz w:val="24"/>
          <w:szCs w:val="24"/>
        </w:rPr>
      </w:pPr>
    </w:p>
    <w:p w14:paraId="1218571D" w14:textId="29589318" w:rsidR="001750EA" w:rsidRPr="001E2AEA" w:rsidRDefault="001750EA" w:rsidP="001E2AEA">
      <w:pPr>
        <w:spacing w:after="0" w:line="240" w:lineRule="auto"/>
        <w:rPr>
          <w:sz w:val="20"/>
          <w:szCs w:val="20"/>
        </w:rPr>
      </w:pPr>
      <w:r w:rsidRPr="001E2AEA">
        <w:rPr>
          <w:b/>
          <w:bCs/>
          <w:color w:val="1F497D" w:themeColor="text2"/>
          <w:sz w:val="24"/>
          <w:szCs w:val="24"/>
        </w:rPr>
        <w:t>Required Spending</w:t>
      </w:r>
      <w:r w:rsidRPr="001E2AEA">
        <w:rPr>
          <w:color w:val="1F497D" w:themeColor="text2"/>
        </w:rPr>
        <w:t>:</w:t>
      </w:r>
    </w:p>
    <w:p w14:paraId="62465E37" w14:textId="293B1600" w:rsidR="53622DAE" w:rsidRPr="001E2AEA" w:rsidRDefault="00784595" w:rsidP="4D572E2F">
      <w:pPr>
        <w:pStyle w:val="ListParagraph"/>
        <w:numPr>
          <w:ilvl w:val="0"/>
          <w:numId w:val="40"/>
        </w:numPr>
        <w:spacing w:line="240" w:lineRule="auto"/>
        <w:rPr>
          <w:rFonts w:eastAsiaTheme="minorEastAsia"/>
          <w:color w:val="000000" w:themeColor="text1"/>
          <w:sz w:val="20"/>
          <w:szCs w:val="20"/>
        </w:rPr>
      </w:pPr>
      <w:r w:rsidRPr="6BB58AB9">
        <w:rPr>
          <w:rFonts w:ascii="Calibri" w:eastAsia="Calibri" w:hAnsi="Calibri" w:cs="Calibri"/>
          <w:color w:val="000000" w:themeColor="text1"/>
          <w:sz w:val="20"/>
          <w:szCs w:val="20"/>
        </w:rPr>
        <w:t xml:space="preserve">Fulfill </w:t>
      </w:r>
      <w:r w:rsidR="001E2AEA" w:rsidRPr="6BB58AB9">
        <w:rPr>
          <w:rFonts w:ascii="Calibri" w:eastAsia="Calibri" w:hAnsi="Calibri" w:cs="Calibri"/>
          <w:color w:val="000000" w:themeColor="text1"/>
          <w:sz w:val="20"/>
          <w:szCs w:val="20"/>
        </w:rPr>
        <w:t>the six categories of</w:t>
      </w:r>
      <w:r w:rsidR="00AF429B" w:rsidRPr="6BB58AB9">
        <w:rPr>
          <w:rFonts w:ascii="Calibri" w:eastAsia="Calibri" w:hAnsi="Calibri" w:cs="Calibri"/>
          <w:color w:val="000000" w:themeColor="text1"/>
          <w:sz w:val="20"/>
          <w:szCs w:val="20"/>
        </w:rPr>
        <w:t xml:space="preserve"> </w:t>
      </w:r>
      <w:r w:rsidR="007E1AC6" w:rsidRPr="6BB58AB9">
        <w:rPr>
          <w:rFonts w:ascii="Calibri" w:eastAsia="Calibri" w:hAnsi="Calibri" w:cs="Calibri"/>
          <w:b/>
          <w:bCs/>
          <w:color w:val="000000" w:themeColor="text1"/>
          <w:sz w:val="20"/>
          <w:szCs w:val="20"/>
        </w:rPr>
        <w:t>Required Use of Funds from Section 135(b) of Perkins V</w:t>
      </w:r>
      <w:r w:rsidRPr="6BB58AB9">
        <w:rPr>
          <w:rFonts w:ascii="Calibri" w:eastAsia="Calibri" w:hAnsi="Calibri" w:cs="Calibri"/>
          <w:color w:val="000000" w:themeColor="text1"/>
          <w:sz w:val="20"/>
          <w:szCs w:val="20"/>
        </w:rPr>
        <w:t xml:space="preserve">. </w:t>
      </w:r>
      <w:r w:rsidR="00AF429B" w:rsidRPr="6BB58AB9">
        <w:rPr>
          <w:rFonts w:ascii="Calibri" w:eastAsia="Calibri" w:hAnsi="Calibri" w:cs="Calibri"/>
          <w:color w:val="000000" w:themeColor="text1"/>
          <w:sz w:val="20"/>
          <w:szCs w:val="20"/>
        </w:rPr>
        <w:t xml:space="preserve">Note that one strategy may satisfy multiple required uses of funds, and multiple strategies may satisfy the same required use, as long as each is met at least once. Refer to </w:t>
      </w:r>
      <w:hyperlink r:id="rId13" w:history="1">
        <w:r w:rsidR="00AF429B" w:rsidRPr="007B352E">
          <w:rPr>
            <w:rStyle w:val="Hyperlink"/>
            <w:rFonts w:ascii="Calibri" w:eastAsia="Calibri" w:hAnsi="Calibri" w:cs="Calibri"/>
            <w:sz w:val="20"/>
            <w:szCs w:val="20"/>
          </w:rPr>
          <w:t>resource guide</w:t>
        </w:r>
      </w:hyperlink>
      <w:r w:rsidR="00AF429B" w:rsidRPr="6BB58AB9">
        <w:rPr>
          <w:rFonts w:ascii="Calibri" w:eastAsia="Calibri" w:hAnsi="Calibri" w:cs="Calibri"/>
          <w:b/>
          <w:bCs/>
          <w:color w:val="000000" w:themeColor="text1"/>
          <w:sz w:val="20"/>
          <w:szCs w:val="20"/>
        </w:rPr>
        <w:t xml:space="preserve"> </w:t>
      </w:r>
      <w:r w:rsidR="00AF429B" w:rsidRPr="6BB58AB9">
        <w:rPr>
          <w:rFonts w:ascii="Calibri" w:eastAsia="Calibri" w:hAnsi="Calibri" w:cs="Calibri"/>
          <w:color w:val="000000" w:themeColor="text1"/>
          <w:sz w:val="20"/>
          <w:szCs w:val="20"/>
        </w:rPr>
        <w:t xml:space="preserve">for more details. </w:t>
      </w:r>
    </w:p>
    <w:p w14:paraId="254CDD78" w14:textId="567FCA68" w:rsidR="00836274" w:rsidRPr="001E2AEA" w:rsidRDefault="00304970" w:rsidP="6BB58AB9">
      <w:pPr>
        <w:pStyle w:val="ListParagraph"/>
        <w:numPr>
          <w:ilvl w:val="0"/>
          <w:numId w:val="40"/>
        </w:numPr>
        <w:spacing w:after="0" w:line="240" w:lineRule="auto"/>
        <w:rPr>
          <w:sz w:val="20"/>
          <w:szCs w:val="20"/>
        </w:rPr>
      </w:pPr>
      <w:r w:rsidRPr="00936CE2">
        <w:rPr>
          <w:sz w:val="20"/>
          <w:szCs w:val="20"/>
        </w:rPr>
        <w:t xml:space="preserve">A portion of each Perkins allocation (no minimum amount is defined) must be spent on </w:t>
      </w:r>
      <w:r w:rsidRPr="00304970">
        <w:rPr>
          <w:b/>
          <w:bCs/>
          <w:sz w:val="20"/>
          <w:szCs w:val="20"/>
        </w:rPr>
        <w:t>High Quality Professional Development</w:t>
      </w:r>
      <w:r w:rsidRPr="00936CE2">
        <w:rPr>
          <w:sz w:val="20"/>
          <w:szCs w:val="20"/>
        </w:rPr>
        <w:t xml:space="preserve"> (HQPD). </w:t>
      </w:r>
      <w:r>
        <w:rPr>
          <w:b/>
          <w:bCs/>
          <w:sz w:val="20"/>
          <w:szCs w:val="20"/>
        </w:rPr>
        <w:t>HQPD</w:t>
      </w:r>
      <w:r w:rsidR="001750EA" w:rsidRPr="6BB58AB9">
        <w:rPr>
          <w:sz w:val="20"/>
          <w:szCs w:val="20"/>
        </w:rPr>
        <w:t xml:space="preserve"> activities are sustained (not stand-alone, 1-day, or short-term workshops), intensive, collaborative, job-embedded, data-driven, and classroom-focused. </w:t>
      </w:r>
    </w:p>
    <w:p w14:paraId="40AEE485" w14:textId="0CC3A3BE" w:rsidR="001E2AEA" w:rsidRPr="001E2AEA" w:rsidRDefault="00853B86" w:rsidP="777F0063">
      <w:pPr>
        <w:pStyle w:val="ListParagraph"/>
        <w:numPr>
          <w:ilvl w:val="0"/>
          <w:numId w:val="40"/>
        </w:numPr>
        <w:spacing w:after="0" w:line="240" w:lineRule="auto"/>
        <w:rPr>
          <w:sz w:val="20"/>
          <w:szCs w:val="20"/>
        </w:rPr>
      </w:pPr>
      <w:r w:rsidRPr="777F0063">
        <w:rPr>
          <w:b/>
          <w:bCs/>
          <w:sz w:val="20"/>
          <w:szCs w:val="20"/>
        </w:rPr>
        <w:t>Secondary-Postsecondary Linkages</w:t>
      </w:r>
      <w:r w:rsidRPr="777F0063">
        <w:rPr>
          <w:b/>
          <w:bCs/>
          <w:i/>
          <w:iCs/>
          <w:sz w:val="20"/>
          <w:szCs w:val="20"/>
        </w:rPr>
        <w:t xml:space="preserve"> - A minimum of 20% of the Perkins Postsecondary allocations funds must be used for secondary-postsecondary linkage activities and services. </w:t>
      </w:r>
      <w:r w:rsidRPr="777F0063">
        <w:rPr>
          <w:sz w:val="20"/>
          <w:szCs w:val="20"/>
        </w:rPr>
        <w:t xml:space="preserve">For a definition and samples of Secondary-Postsecondary Linkages, please visit the Office for College, Career, and Technical Education’s </w:t>
      </w:r>
      <w:hyperlink r:id="rId14">
        <w:r w:rsidRPr="777F0063">
          <w:rPr>
            <w:rStyle w:val="Hyperlink"/>
            <w:rFonts w:cstheme="minorBidi"/>
            <w:sz w:val="20"/>
            <w:szCs w:val="20"/>
          </w:rPr>
          <w:t>frequently asked questions</w:t>
        </w:r>
      </w:hyperlink>
      <w:r w:rsidRPr="777F0063">
        <w:rPr>
          <w:sz w:val="20"/>
          <w:szCs w:val="20"/>
        </w:rPr>
        <w:t>.</w:t>
      </w:r>
    </w:p>
    <w:tbl>
      <w:tblPr>
        <w:tblStyle w:val="MediumShading1-Accent1"/>
        <w:tblW w:w="10880" w:type="dxa"/>
        <w:tblLayout w:type="fixed"/>
        <w:tblLook w:val="04A0" w:firstRow="1" w:lastRow="0" w:firstColumn="1" w:lastColumn="0" w:noHBand="0" w:noVBand="1"/>
        <w:tblCaption w:val="Table of Allowable and Unallowable Costs"/>
      </w:tblPr>
      <w:tblGrid>
        <w:gridCol w:w="1998"/>
        <w:gridCol w:w="4922"/>
        <w:gridCol w:w="3960"/>
      </w:tblGrid>
      <w:tr w:rsidR="008A468A" w:rsidRPr="008A468A" w14:paraId="0B7971B1" w14:textId="77777777" w:rsidTr="0BDC97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shd w:val="clear" w:color="auto" w:fill="1F497D" w:themeFill="text2"/>
          </w:tcPr>
          <w:p w14:paraId="145B3974" w14:textId="19F20602" w:rsidR="008A468A" w:rsidRPr="0092051A" w:rsidRDefault="4BD3616C" w:rsidP="782F50D1">
            <w:pPr>
              <w:spacing w:before="40" w:after="40" w:line="276" w:lineRule="auto"/>
              <w:jc w:val="center"/>
            </w:pPr>
            <w:r w:rsidRPr="782F50D1">
              <w:rPr>
                <w:sz w:val="24"/>
                <w:szCs w:val="24"/>
              </w:rPr>
              <w:t>Categories</w:t>
            </w:r>
          </w:p>
        </w:tc>
        <w:tc>
          <w:tcPr>
            <w:tcW w:w="4922" w:type="dxa"/>
            <w:shd w:val="clear" w:color="auto" w:fill="1F497D" w:themeFill="text2"/>
          </w:tcPr>
          <w:p w14:paraId="0AB7C081" w14:textId="77777777" w:rsidR="008A468A" w:rsidRPr="0092051A" w:rsidRDefault="00AB1465"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Allowable Costs</w:t>
            </w:r>
          </w:p>
        </w:tc>
        <w:tc>
          <w:tcPr>
            <w:tcW w:w="3960" w:type="dxa"/>
            <w:shd w:val="clear" w:color="auto" w:fill="1F497D" w:themeFill="text2"/>
          </w:tcPr>
          <w:p w14:paraId="4660D287" w14:textId="77777777" w:rsidR="008A468A" w:rsidRPr="0092051A" w:rsidRDefault="00AB1465"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Unallowable Costs</w:t>
            </w:r>
          </w:p>
        </w:tc>
      </w:tr>
      <w:tr w:rsidR="008A468A" w:rsidRPr="008A468A" w14:paraId="7A465DBF" w14:textId="77777777" w:rsidTr="0BDC9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D0B5550"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Administrator Salaries</w:t>
            </w:r>
          </w:p>
        </w:tc>
        <w:tc>
          <w:tcPr>
            <w:tcW w:w="4922" w:type="dxa"/>
          </w:tcPr>
          <w:p w14:paraId="46D4B8E0" w14:textId="77777777" w:rsidR="00EC25E8" w:rsidRPr="009B412E" w:rsidRDefault="001F6CD2" w:rsidP="00F804A8">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Salaries for administrator(s) overseeing any aspect of the activities funded by the grant (only for time spent on those activities)</w:t>
            </w:r>
          </w:p>
        </w:tc>
        <w:tc>
          <w:tcPr>
            <w:tcW w:w="3960" w:type="dxa"/>
          </w:tcPr>
          <w:p w14:paraId="69C548E8" w14:textId="77777777" w:rsidR="008A468A" w:rsidRDefault="001F6CD2" w:rsidP="00F804A8">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Salaries for administrators for time spent on duties unrelated to grant </w:t>
            </w:r>
            <w:proofErr w:type="gramStart"/>
            <w:r>
              <w:rPr>
                <w:sz w:val="20"/>
                <w:szCs w:val="20"/>
              </w:rPr>
              <w:t>activities</w:t>
            </w:r>
            <w:proofErr w:type="gramEnd"/>
          </w:p>
          <w:p w14:paraId="508ADCD3" w14:textId="77777777" w:rsidR="00B71891" w:rsidRPr="009B412E" w:rsidRDefault="00B71891" w:rsidP="00F804A8">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Administrator salaries and indirect costs combined cannot exceed 5% of grant</w:t>
            </w:r>
          </w:p>
        </w:tc>
      </w:tr>
      <w:tr w:rsidR="008A468A" w:rsidRPr="008A468A" w14:paraId="1447567A" w14:textId="77777777" w:rsidTr="0BDC97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8875315"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2E6BD1">
              <w:rPr>
                <w:sz w:val="24"/>
                <w:szCs w:val="20"/>
              </w:rPr>
              <w:t>Instructional/</w:t>
            </w:r>
            <w:r w:rsidRPr="002E6BD1">
              <w:rPr>
                <w:sz w:val="24"/>
                <w:szCs w:val="20"/>
              </w:rPr>
              <w:br/>
              <w:t>Professional Staff</w:t>
            </w:r>
          </w:p>
        </w:tc>
        <w:tc>
          <w:tcPr>
            <w:tcW w:w="4922" w:type="dxa"/>
          </w:tcPr>
          <w:p w14:paraId="7A8B3FA4" w14:textId="2AE53B09" w:rsidR="001F6CD2" w:rsidRDefault="678953DF" w:rsidP="00F804A8">
            <w:pPr>
              <w:pStyle w:val="ListParagraph"/>
              <w:numPr>
                <w:ilvl w:val="0"/>
                <w:numId w:val="16"/>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BDC97BB">
              <w:rPr>
                <w:sz w:val="20"/>
                <w:szCs w:val="20"/>
              </w:rPr>
              <w:t>T</w:t>
            </w:r>
            <w:r w:rsidR="001F6CD2" w:rsidRPr="0BDC97BB">
              <w:rPr>
                <w:sz w:val="20"/>
                <w:szCs w:val="20"/>
              </w:rPr>
              <w:t xml:space="preserve">echnical </w:t>
            </w:r>
            <w:r w:rsidR="00DE2B12" w:rsidRPr="0BDC97BB">
              <w:rPr>
                <w:sz w:val="20"/>
                <w:szCs w:val="20"/>
              </w:rPr>
              <w:t>instructor</w:t>
            </w:r>
            <w:r w:rsidR="001F6CD2" w:rsidRPr="0BDC97BB">
              <w:rPr>
                <w:sz w:val="20"/>
                <w:szCs w:val="20"/>
              </w:rPr>
              <w:t xml:space="preserve"> positions </w:t>
            </w:r>
          </w:p>
          <w:p w14:paraId="4B156FE3" w14:textId="21A8FC6A" w:rsidR="001F6CD2" w:rsidRDefault="001F6CD2" w:rsidP="00F804A8">
            <w:pPr>
              <w:pStyle w:val="ListParagraph"/>
              <w:numPr>
                <w:ilvl w:val="0"/>
                <w:numId w:val="16"/>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Technical instructional aide positions </w:t>
            </w:r>
          </w:p>
          <w:p w14:paraId="1072344E" w14:textId="6AE8238E" w:rsidR="001F6CD2" w:rsidRDefault="001F6CD2" w:rsidP="00F804A8">
            <w:pPr>
              <w:pStyle w:val="ListParagraph"/>
              <w:numPr>
                <w:ilvl w:val="0"/>
                <w:numId w:val="16"/>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Career counselor positions </w:t>
            </w:r>
          </w:p>
          <w:p w14:paraId="58360848" w14:textId="77777777" w:rsidR="003461A7" w:rsidRDefault="001F6CD2" w:rsidP="00F804A8">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Other instructional or professional staff providing services in a Perkins </w:t>
            </w:r>
            <w:proofErr w:type="gramStart"/>
            <w:r>
              <w:rPr>
                <w:sz w:val="20"/>
                <w:szCs w:val="20"/>
              </w:rPr>
              <w:t>program</w:t>
            </w:r>
            <w:proofErr w:type="gramEnd"/>
            <w:r>
              <w:rPr>
                <w:sz w:val="20"/>
                <w:szCs w:val="20"/>
              </w:rPr>
              <w:t xml:space="preserve"> </w:t>
            </w:r>
          </w:p>
          <w:p w14:paraId="084D49D7" w14:textId="1FEA08DF" w:rsidR="004662EA" w:rsidRPr="009B412E" w:rsidRDefault="004662EA" w:rsidP="004662EA">
            <w:pPr>
              <w:pStyle w:val="ListParagraph"/>
              <w:ind w:left="342"/>
              <w:cnfStyle w:val="000000010000" w:firstRow="0" w:lastRow="0" w:firstColumn="0" w:lastColumn="0" w:oddVBand="0" w:evenVBand="0" w:oddHBand="0" w:evenHBand="1" w:firstRowFirstColumn="0" w:firstRowLastColumn="0" w:lastRowFirstColumn="0" w:lastRowLastColumn="0"/>
              <w:rPr>
                <w:sz w:val="20"/>
                <w:szCs w:val="20"/>
              </w:rPr>
            </w:pPr>
          </w:p>
        </w:tc>
        <w:tc>
          <w:tcPr>
            <w:tcW w:w="3960" w:type="dxa"/>
          </w:tcPr>
          <w:p w14:paraId="181664BF" w14:textId="77777777" w:rsidR="001F6CD2" w:rsidRDefault="001F6CD2" w:rsidP="00F804A8">
            <w:pPr>
              <w:pStyle w:val="ListParagraph"/>
              <w:numPr>
                <w:ilvl w:val="0"/>
                <w:numId w:val="16"/>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Salaries or wages of any instructional/ professional staff whose responsibilities are not directly related to a Perkins </w:t>
            </w:r>
            <w:proofErr w:type="gramStart"/>
            <w:r>
              <w:rPr>
                <w:sz w:val="20"/>
                <w:szCs w:val="20"/>
              </w:rPr>
              <w:t>program</w:t>
            </w:r>
            <w:proofErr w:type="gramEnd"/>
          </w:p>
          <w:p w14:paraId="29469824" w14:textId="77777777" w:rsidR="008A468A" w:rsidRPr="001F6CD2" w:rsidRDefault="001F6CD2" w:rsidP="00F804A8">
            <w:pPr>
              <w:pStyle w:val="ListParagraph"/>
              <w:numPr>
                <w:ilvl w:val="0"/>
                <w:numId w:val="16"/>
              </w:numPr>
              <w:spacing w:before="60" w:after="60"/>
              <w:ind w:left="342" w:right="-18" w:hanging="270"/>
              <w:cnfStyle w:val="000000010000" w:firstRow="0" w:lastRow="0" w:firstColumn="0" w:lastColumn="0" w:oddVBand="0" w:evenVBand="0" w:oddHBand="0" w:evenHBand="1" w:firstRowFirstColumn="0" w:firstRowLastColumn="0" w:lastRowFirstColumn="0" w:lastRowLastColumn="0"/>
              <w:rPr>
                <w:sz w:val="20"/>
                <w:szCs w:val="20"/>
              </w:rPr>
            </w:pPr>
            <w:r w:rsidRPr="001F6CD2">
              <w:rPr>
                <w:sz w:val="20"/>
                <w:szCs w:val="20"/>
              </w:rPr>
              <w:t>Any position that has been previously funded with local funds</w:t>
            </w:r>
          </w:p>
        </w:tc>
      </w:tr>
      <w:tr w:rsidR="008A468A" w:rsidRPr="008A468A" w14:paraId="1458AAC8" w14:textId="77777777" w:rsidTr="0BDC9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FCD3F0B"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Support Staff Salaries</w:t>
            </w:r>
          </w:p>
        </w:tc>
        <w:tc>
          <w:tcPr>
            <w:tcW w:w="4922" w:type="dxa"/>
          </w:tcPr>
          <w:p w14:paraId="4FF84FBA" w14:textId="77777777" w:rsidR="008A468A" w:rsidRPr="009B412E" w:rsidRDefault="001F6CD2" w:rsidP="00F804A8">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Clerical or administrativ</w:t>
            </w:r>
            <w:r w:rsidR="00994049">
              <w:rPr>
                <w:sz w:val="20"/>
                <w:szCs w:val="20"/>
              </w:rPr>
              <w:t>e support directly related to</w:t>
            </w:r>
            <w:r>
              <w:rPr>
                <w:sz w:val="20"/>
                <w:szCs w:val="20"/>
              </w:rPr>
              <w:t xml:space="preserve"> a Perkins program (only for time spent on those activities)</w:t>
            </w:r>
            <w:r w:rsidR="00491B01">
              <w:rPr>
                <w:sz w:val="20"/>
                <w:szCs w:val="20"/>
              </w:rPr>
              <w:t>.</w:t>
            </w:r>
            <w:r w:rsidR="00DE2B12">
              <w:rPr>
                <w:sz w:val="20"/>
                <w:szCs w:val="20"/>
              </w:rPr>
              <w:t xml:space="preserve"> </w:t>
            </w:r>
            <w:r w:rsidR="00491B01">
              <w:rPr>
                <w:sz w:val="20"/>
                <w:szCs w:val="20"/>
              </w:rPr>
              <w:t>Time and activity logs required to document time allocations</w:t>
            </w:r>
            <w:r w:rsidR="00731A74">
              <w:rPr>
                <w:sz w:val="20"/>
                <w:szCs w:val="20"/>
              </w:rPr>
              <w:t>.</w:t>
            </w:r>
          </w:p>
        </w:tc>
        <w:tc>
          <w:tcPr>
            <w:tcW w:w="3960" w:type="dxa"/>
          </w:tcPr>
          <w:p w14:paraId="04177E65" w14:textId="77777777" w:rsidR="008A468A" w:rsidRPr="009B412E" w:rsidRDefault="001F6CD2" w:rsidP="00F804A8">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Salaries for clerical/administrative support for time spent on duties unrelated to grant activities</w:t>
            </w:r>
          </w:p>
        </w:tc>
      </w:tr>
      <w:tr w:rsidR="008A468A" w:rsidRPr="008A468A" w14:paraId="4E829690" w14:textId="77777777" w:rsidTr="0BDC97BB">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998" w:type="dxa"/>
          </w:tcPr>
          <w:p w14:paraId="289C7613"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Stipends</w:t>
            </w:r>
          </w:p>
        </w:tc>
        <w:tc>
          <w:tcPr>
            <w:tcW w:w="4922" w:type="dxa"/>
          </w:tcPr>
          <w:p w14:paraId="156A9251" w14:textId="77777777" w:rsidR="003461A7" w:rsidRPr="009B412E" w:rsidRDefault="001F6CD2" w:rsidP="00F804A8">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Stipends for any staff employed by the recipient </w:t>
            </w:r>
            <w:r w:rsidR="00DE2B12">
              <w:rPr>
                <w:sz w:val="20"/>
                <w:szCs w:val="20"/>
              </w:rPr>
              <w:t>postsecondary education institution</w:t>
            </w:r>
            <w:r>
              <w:rPr>
                <w:sz w:val="20"/>
                <w:szCs w:val="20"/>
              </w:rPr>
              <w:t xml:space="preserve"> to perform tasks outside their work hours and normal duties that support a Perkins program</w:t>
            </w:r>
          </w:p>
        </w:tc>
        <w:tc>
          <w:tcPr>
            <w:tcW w:w="3960" w:type="dxa"/>
          </w:tcPr>
          <w:p w14:paraId="347BF7FB" w14:textId="77777777" w:rsidR="001F6CD2" w:rsidRDefault="001F6CD2" w:rsidP="00F804A8">
            <w:pPr>
              <w:pStyle w:val="ListParagraph"/>
              <w:numPr>
                <w:ilvl w:val="0"/>
                <w:numId w:val="16"/>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Stipends for work that is part of the individual’s normal </w:t>
            </w:r>
            <w:proofErr w:type="gramStart"/>
            <w:r>
              <w:rPr>
                <w:sz w:val="20"/>
                <w:szCs w:val="20"/>
              </w:rPr>
              <w:t>duties</w:t>
            </w:r>
            <w:proofErr w:type="gramEnd"/>
          </w:p>
          <w:p w14:paraId="12E527C3" w14:textId="77777777" w:rsidR="001F6CD2" w:rsidRDefault="001F6CD2" w:rsidP="00F804A8">
            <w:pPr>
              <w:pStyle w:val="ListParagraph"/>
              <w:numPr>
                <w:ilvl w:val="0"/>
                <w:numId w:val="16"/>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Stipends for work that is performed during the individual’s normal work </w:t>
            </w:r>
            <w:proofErr w:type="gramStart"/>
            <w:r>
              <w:rPr>
                <w:sz w:val="20"/>
                <w:szCs w:val="20"/>
              </w:rPr>
              <w:t>day</w:t>
            </w:r>
            <w:proofErr w:type="gramEnd"/>
          </w:p>
          <w:p w14:paraId="7C331391" w14:textId="77777777" w:rsidR="008A468A" w:rsidRPr="00666031" w:rsidRDefault="001F6CD2" w:rsidP="00F804A8">
            <w:pPr>
              <w:pStyle w:val="ListParagraph"/>
              <w:numPr>
                <w:ilvl w:val="0"/>
                <w:numId w:val="16"/>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Stipends for individuals who are not employed by the recipient </w:t>
            </w:r>
            <w:r w:rsidR="00DE2B12">
              <w:rPr>
                <w:sz w:val="20"/>
                <w:szCs w:val="20"/>
              </w:rPr>
              <w:t xml:space="preserve">postsecondary education institution </w:t>
            </w:r>
          </w:p>
        </w:tc>
      </w:tr>
      <w:tr w:rsidR="008A468A" w:rsidRPr="008A468A" w14:paraId="723BB3CA" w14:textId="77777777" w:rsidTr="0BDC9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2D6F9F1"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Fringe Benefits</w:t>
            </w:r>
          </w:p>
        </w:tc>
        <w:tc>
          <w:tcPr>
            <w:tcW w:w="4922" w:type="dxa"/>
          </w:tcPr>
          <w:p w14:paraId="73A1DE60" w14:textId="77777777" w:rsidR="008A468A" w:rsidRPr="009B412E" w:rsidRDefault="001F6CD2" w:rsidP="00F804A8">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Other fringe benefits (</w:t>
            </w:r>
            <w:r w:rsidRPr="00731A74">
              <w:rPr>
                <w:i/>
                <w:sz w:val="20"/>
                <w:szCs w:val="20"/>
              </w:rPr>
              <w:t>e.g.,</w:t>
            </w:r>
            <w:r>
              <w:rPr>
                <w:i/>
                <w:sz w:val="20"/>
                <w:szCs w:val="20"/>
              </w:rPr>
              <w:t xml:space="preserve"> </w:t>
            </w:r>
            <w:r w:rsidRPr="008A468A">
              <w:rPr>
                <w:sz w:val="20"/>
                <w:szCs w:val="20"/>
              </w:rPr>
              <w:t>health insurance</w:t>
            </w:r>
            <w:r>
              <w:rPr>
                <w:sz w:val="20"/>
                <w:szCs w:val="20"/>
              </w:rPr>
              <w:t>)</w:t>
            </w:r>
          </w:p>
        </w:tc>
        <w:tc>
          <w:tcPr>
            <w:tcW w:w="3960" w:type="dxa"/>
          </w:tcPr>
          <w:p w14:paraId="23DD0CAB" w14:textId="77777777" w:rsidR="008A468A" w:rsidRPr="007676A4" w:rsidRDefault="001F6CD2" w:rsidP="00F804A8">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7676A4">
              <w:rPr>
                <w:sz w:val="20"/>
                <w:szCs w:val="20"/>
              </w:rPr>
              <w:t>Costs that are not typically considered to be fringe benefits</w:t>
            </w:r>
          </w:p>
        </w:tc>
      </w:tr>
      <w:tr w:rsidR="008A468A" w:rsidRPr="008A468A" w14:paraId="75E885C6" w14:textId="77777777" w:rsidTr="0BDC97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76D4B02"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Contractual Services</w:t>
            </w:r>
          </w:p>
        </w:tc>
        <w:tc>
          <w:tcPr>
            <w:tcW w:w="4922" w:type="dxa"/>
          </w:tcPr>
          <w:p w14:paraId="02BC9F51" w14:textId="77777777" w:rsidR="00596C87" w:rsidRPr="001E2AEA" w:rsidRDefault="001F6CD2" w:rsidP="00F804A8">
            <w:pPr>
              <w:pStyle w:val="ListParagraph"/>
              <w:numPr>
                <w:ilvl w:val="0"/>
                <w:numId w:val="37"/>
              </w:numPr>
              <w:ind w:left="342"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7676A4">
              <w:rPr>
                <w:sz w:val="20"/>
                <w:szCs w:val="20"/>
              </w:rPr>
              <w:t xml:space="preserve">Any contracted arrangement with an entity outside the recipient </w:t>
            </w:r>
            <w:r w:rsidR="00801680">
              <w:rPr>
                <w:sz w:val="20"/>
                <w:szCs w:val="20"/>
              </w:rPr>
              <w:t>postsecondary education institution</w:t>
            </w:r>
            <w:r w:rsidRPr="007676A4">
              <w:rPr>
                <w:sz w:val="20"/>
                <w:szCs w:val="20"/>
              </w:rPr>
              <w:t xml:space="preserve"> for allowable activities, services and/or products for a Perkins program </w:t>
            </w:r>
          </w:p>
          <w:p w14:paraId="2C04BE21" w14:textId="77777777" w:rsidR="001E2AEA" w:rsidRPr="001E2AEA" w:rsidRDefault="001E2AEA" w:rsidP="001E2AEA">
            <w:pPr>
              <w:cnfStyle w:val="000000010000" w:firstRow="0" w:lastRow="0" w:firstColumn="0" w:lastColumn="0" w:oddVBand="0" w:evenVBand="0" w:oddHBand="0" w:evenHBand="1" w:firstRowFirstColumn="0" w:firstRowLastColumn="0" w:lastRowFirstColumn="0" w:lastRowLastColumn="0"/>
            </w:pPr>
          </w:p>
          <w:p w14:paraId="6243D78C" w14:textId="77777777" w:rsidR="001E2AEA" w:rsidRPr="001E2AEA" w:rsidRDefault="001E2AEA" w:rsidP="001E2AEA">
            <w:pPr>
              <w:cnfStyle w:val="000000010000" w:firstRow="0" w:lastRow="0" w:firstColumn="0" w:lastColumn="0" w:oddVBand="0" w:evenVBand="0" w:oddHBand="0" w:evenHBand="1" w:firstRowFirstColumn="0" w:firstRowLastColumn="0" w:lastRowFirstColumn="0" w:lastRowLastColumn="0"/>
            </w:pPr>
          </w:p>
          <w:p w14:paraId="2247536F" w14:textId="77777777" w:rsidR="001E2AEA" w:rsidRDefault="001E2AEA" w:rsidP="001E2AEA">
            <w:pPr>
              <w:cnfStyle w:val="000000010000" w:firstRow="0" w:lastRow="0" w:firstColumn="0" w:lastColumn="0" w:oddVBand="0" w:evenVBand="0" w:oddHBand="0" w:evenHBand="1" w:firstRowFirstColumn="0" w:firstRowLastColumn="0" w:lastRowFirstColumn="0" w:lastRowLastColumn="0"/>
              <w:rPr>
                <w:sz w:val="20"/>
                <w:szCs w:val="20"/>
              </w:rPr>
            </w:pPr>
          </w:p>
          <w:p w14:paraId="514518C9" w14:textId="77777777" w:rsidR="001E2AEA" w:rsidRDefault="001E2AEA" w:rsidP="001E2AEA">
            <w:pPr>
              <w:cnfStyle w:val="000000010000" w:firstRow="0" w:lastRow="0" w:firstColumn="0" w:lastColumn="0" w:oddVBand="0" w:evenVBand="0" w:oddHBand="0" w:evenHBand="1" w:firstRowFirstColumn="0" w:firstRowLastColumn="0" w:lastRowFirstColumn="0" w:lastRowLastColumn="0"/>
              <w:rPr>
                <w:sz w:val="20"/>
                <w:szCs w:val="20"/>
              </w:rPr>
            </w:pPr>
          </w:p>
          <w:p w14:paraId="36E38B08" w14:textId="25588DD0" w:rsidR="001E2AEA" w:rsidRPr="001E2AEA" w:rsidRDefault="001E2AEA" w:rsidP="001E2AEA">
            <w:pPr>
              <w:cnfStyle w:val="000000010000" w:firstRow="0" w:lastRow="0" w:firstColumn="0" w:lastColumn="0" w:oddVBand="0" w:evenVBand="0" w:oddHBand="0" w:evenHBand="1" w:firstRowFirstColumn="0" w:firstRowLastColumn="0" w:lastRowFirstColumn="0" w:lastRowLastColumn="0"/>
            </w:pPr>
          </w:p>
        </w:tc>
        <w:tc>
          <w:tcPr>
            <w:tcW w:w="3960" w:type="dxa"/>
          </w:tcPr>
          <w:p w14:paraId="52597CC2" w14:textId="77777777" w:rsidR="001F6CD2" w:rsidRDefault="001F6CD2" w:rsidP="00F804A8">
            <w:pPr>
              <w:pStyle w:val="ListParagraph"/>
              <w:numPr>
                <w:ilvl w:val="0"/>
                <w:numId w:val="18"/>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Funding for activities, services and/or products provided by the</w:t>
            </w:r>
            <w:r w:rsidR="00801680">
              <w:rPr>
                <w:sz w:val="20"/>
                <w:szCs w:val="20"/>
              </w:rPr>
              <w:t xml:space="preserve"> postsecondary education </w:t>
            </w:r>
            <w:proofErr w:type="gramStart"/>
            <w:r w:rsidR="00801680">
              <w:rPr>
                <w:sz w:val="20"/>
                <w:szCs w:val="20"/>
              </w:rPr>
              <w:t>institution</w:t>
            </w:r>
            <w:proofErr w:type="gramEnd"/>
          </w:p>
          <w:p w14:paraId="4E1409EC" w14:textId="77777777" w:rsidR="001F6CD2" w:rsidRDefault="001F6CD2" w:rsidP="00F804A8">
            <w:pPr>
              <w:pStyle w:val="ListParagraph"/>
              <w:numPr>
                <w:ilvl w:val="0"/>
                <w:numId w:val="18"/>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Funding for activities, services and/or produ</w:t>
            </w:r>
            <w:r w:rsidR="00054C3D">
              <w:rPr>
                <w:sz w:val="20"/>
                <w:szCs w:val="20"/>
              </w:rPr>
              <w:t xml:space="preserve">cts that have </w:t>
            </w:r>
            <w:r>
              <w:rPr>
                <w:sz w:val="20"/>
                <w:szCs w:val="20"/>
              </w:rPr>
              <w:t xml:space="preserve">been </w:t>
            </w:r>
            <w:r w:rsidR="00054C3D">
              <w:rPr>
                <w:sz w:val="20"/>
                <w:szCs w:val="20"/>
              </w:rPr>
              <w:t xml:space="preserve">previously </w:t>
            </w:r>
            <w:r>
              <w:rPr>
                <w:sz w:val="20"/>
                <w:szCs w:val="20"/>
              </w:rPr>
              <w:t xml:space="preserve">secured using local </w:t>
            </w:r>
            <w:proofErr w:type="gramStart"/>
            <w:r>
              <w:rPr>
                <w:sz w:val="20"/>
                <w:szCs w:val="20"/>
              </w:rPr>
              <w:t>funds</w:t>
            </w:r>
            <w:proofErr w:type="gramEnd"/>
          </w:p>
          <w:p w14:paraId="71CD8EB4" w14:textId="77777777" w:rsidR="008A468A" w:rsidRPr="001F6CD2" w:rsidRDefault="001F6CD2" w:rsidP="00F804A8">
            <w:pPr>
              <w:pStyle w:val="ListParagraph"/>
              <w:numPr>
                <w:ilvl w:val="0"/>
                <w:numId w:val="18"/>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w:t>
            </w:r>
            <w:r w:rsidRPr="001F6CD2">
              <w:rPr>
                <w:sz w:val="20"/>
                <w:szCs w:val="20"/>
              </w:rPr>
              <w:t>ny expenditure for entertainment or other non-instructional activities</w:t>
            </w:r>
          </w:p>
        </w:tc>
      </w:tr>
      <w:tr w:rsidR="008A468A" w:rsidRPr="008A468A" w14:paraId="7B6DCCE5" w14:textId="77777777" w:rsidTr="0BDC9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460FCD4" w14:textId="77777777" w:rsidR="001A5D09" w:rsidRDefault="008A468A" w:rsidP="009B412E">
            <w:pPr>
              <w:pStyle w:val="ListParagraph"/>
              <w:numPr>
                <w:ilvl w:val="0"/>
                <w:numId w:val="15"/>
              </w:numPr>
              <w:tabs>
                <w:tab w:val="left" w:pos="540"/>
                <w:tab w:val="left" w:pos="630"/>
              </w:tabs>
              <w:ind w:left="360"/>
              <w:rPr>
                <w:b w:val="0"/>
                <w:bCs w:val="0"/>
                <w:sz w:val="24"/>
                <w:szCs w:val="20"/>
              </w:rPr>
            </w:pPr>
            <w:r w:rsidRPr="00596C87">
              <w:rPr>
                <w:sz w:val="24"/>
                <w:szCs w:val="20"/>
              </w:rPr>
              <w:lastRenderedPageBreak/>
              <w:t>Supplies and Materials</w:t>
            </w:r>
          </w:p>
          <w:p w14:paraId="47D0539E" w14:textId="77777777" w:rsidR="001A5D09" w:rsidRDefault="001A5D09" w:rsidP="001A5D09">
            <w:pPr>
              <w:rPr>
                <w:b w:val="0"/>
                <w:bCs w:val="0"/>
              </w:rPr>
            </w:pPr>
          </w:p>
          <w:p w14:paraId="1E249EF4" w14:textId="77777777" w:rsidR="008A468A" w:rsidRPr="001A5D09" w:rsidRDefault="008A468A" w:rsidP="001A5D09">
            <w:pPr>
              <w:jc w:val="right"/>
            </w:pPr>
          </w:p>
        </w:tc>
        <w:tc>
          <w:tcPr>
            <w:tcW w:w="4922" w:type="dxa"/>
          </w:tcPr>
          <w:p w14:paraId="7DF2C636" w14:textId="77777777" w:rsidR="008A468A" w:rsidRPr="009B412E" w:rsidRDefault="001F6CD2" w:rsidP="00F804A8">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Items with a per unit cost of less than $5,000 that directly improve a Perkins program and benefit students in those programs</w:t>
            </w:r>
          </w:p>
        </w:tc>
        <w:tc>
          <w:tcPr>
            <w:tcW w:w="3960" w:type="dxa"/>
          </w:tcPr>
          <w:p w14:paraId="65AB0212" w14:textId="77777777" w:rsidR="001F6CD2" w:rsidRDefault="001F6CD2" w:rsidP="00F804A8">
            <w:pPr>
              <w:pStyle w:val="ListParagraph"/>
              <w:numPr>
                <w:ilvl w:val="0"/>
                <w:numId w:val="19"/>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Items with a per unit cost of $5,000 or more</w:t>
            </w:r>
          </w:p>
          <w:p w14:paraId="6C7B6180" w14:textId="77777777" w:rsidR="001F6CD2" w:rsidRDefault="001F6CD2" w:rsidP="00F804A8">
            <w:pPr>
              <w:pStyle w:val="ListParagraph"/>
              <w:numPr>
                <w:ilvl w:val="0"/>
                <w:numId w:val="19"/>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Consumable goods and supplies that are typically and reasonably provided by the recipient </w:t>
            </w:r>
            <w:r w:rsidR="00801680">
              <w:rPr>
                <w:sz w:val="20"/>
                <w:szCs w:val="20"/>
              </w:rPr>
              <w:t xml:space="preserve">postsecondary education institution </w:t>
            </w:r>
            <w:r>
              <w:rPr>
                <w:sz w:val="20"/>
                <w:szCs w:val="20"/>
              </w:rPr>
              <w:t>(</w:t>
            </w:r>
            <w:r>
              <w:rPr>
                <w:i/>
                <w:sz w:val="20"/>
                <w:szCs w:val="20"/>
              </w:rPr>
              <w:t xml:space="preserve">e.g., </w:t>
            </w:r>
            <w:r>
              <w:rPr>
                <w:sz w:val="20"/>
                <w:szCs w:val="20"/>
              </w:rPr>
              <w:t>pencils, paper, printer ink)</w:t>
            </w:r>
          </w:p>
          <w:p w14:paraId="54585A18" w14:textId="77777777" w:rsidR="00B71891" w:rsidRDefault="00B71891" w:rsidP="00F804A8">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Computers for administrators</w:t>
            </w:r>
          </w:p>
          <w:p w14:paraId="5C852874" w14:textId="77777777" w:rsidR="008A468A" w:rsidRPr="009B412E" w:rsidRDefault="001F6CD2" w:rsidP="00F804A8">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Promotional materials</w:t>
            </w:r>
          </w:p>
        </w:tc>
      </w:tr>
      <w:tr w:rsidR="008A468A" w:rsidRPr="008A468A" w14:paraId="6058C7BB" w14:textId="77777777" w:rsidTr="0BDC97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E5A5677"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Travel</w:t>
            </w:r>
            <w:r w:rsidR="00FA34A8" w:rsidRPr="00596C87">
              <w:rPr>
                <w:sz w:val="24"/>
                <w:szCs w:val="20"/>
              </w:rPr>
              <w:t xml:space="preserve"> (</w:t>
            </w:r>
            <w:r w:rsidR="00C91EAE" w:rsidRPr="00596C87">
              <w:rPr>
                <w:sz w:val="24"/>
                <w:szCs w:val="20"/>
              </w:rPr>
              <w:t xml:space="preserve">Conference &amp; Course </w:t>
            </w:r>
            <w:r w:rsidR="00596C87">
              <w:rPr>
                <w:sz w:val="24"/>
                <w:szCs w:val="20"/>
              </w:rPr>
              <w:t>Registration</w:t>
            </w:r>
            <w:r w:rsidR="00FA34A8" w:rsidRPr="00596C87">
              <w:rPr>
                <w:sz w:val="24"/>
                <w:szCs w:val="20"/>
              </w:rPr>
              <w:t>)</w:t>
            </w:r>
          </w:p>
        </w:tc>
        <w:tc>
          <w:tcPr>
            <w:tcW w:w="4922" w:type="dxa"/>
          </w:tcPr>
          <w:p w14:paraId="2AB3F503" w14:textId="77777777" w:rsidR="001F6CD2" w:rsidRPr="00FA34A8" w:rsidRDefault="001F6CD2" w:rsidP="00F804A8">
            <w:pPr>
              <w:pStyle w:val="ListParagraph"/>
              <w:numPr>
                <w:ilvl w:val="0"/>
                <w:numId w:val="20"/>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Conference registration for high-quality professional development (HQPD)</w:t>
            </w:r>
          </w:p>
          <w:p w14:paraId="54CB4F80" w14:textId="3F5ED8FE" w:rsidR="001F6CD2" w:rsidRPr="00FA34A8" w:rsidRDefault="00B71891" w:rsidP="00F804A8">
            <w:pPr>
              <w:pStyle w:val="ListParagraph"/>
              <w:numPr>
                <w:ilvl w:val="0"/>
                <w:numId w:val="20"/>
              </w:numPr>
              <w:spacing w:before="60" w:after="60"/>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BDC97BB">
              <w:rPr>
                <w:sz w:val="20"/>
                <w:szCs w:val="20"/>
              </w:rPr>
              <w:t>Non-credit c</w:t>
            </w:r>
            <w:r w:rsidR="001F6CD2" w:rsidRPr="0BDC97BB">
              <w:rPr>
                <w:sz w:val="20"/>
                <w:szCs w:val="20"/>
              </w:rPr>
              <w:t>ourse reimbursement for HQPD</w:t>
            </w:r>
            <w:r w:rsidRPr="0BDC97BB">
              <w:rPr>
                <w:sz w:val="20"/>
                <w:szCs w:val="20"/>
              </w:rPr>
              <w:t xml:space="preserve"> specific to career technical education</w:t>
            </w:r>
          </w:p>
          <w:p w14:paraId="16B5D26B" w14:textId="77777777" w:rsidR="00C91EAE" w:rsidRPr="009B412E" w:rsidRDefault="001F6CD2" w:rsidP="00F804A8">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FA34A8">
              <w:rPr>
                <w:sz w:val="20"/>
                <w:szCs w:val="20"/>
              </w:rPr>
              <w:t xml:space="preserve">Expenses for </w:t>
            </w:r>
            <w:r w:rsidR="002E11CC">
              <w:rPr>
                <w:sz w:val="20"/>
                <w:szCs w:val="20"/>
              </w:rPr>
              <w:t xml:space="preserve">in-state </w:t>
            </w:r>
            <w:r w:rsidRPr="00FA34A8">
              <w:rPr>
                <w:sz w:val="20"/>
                <w:szCs w:val="20"/>
              </w:rPr>
              <w:t>transportation, per diem, and lodging if the costs are reasonable and necessary</w:t>
            </w:r>
          </w:p>
        </w:tc>
        <w:tc>
          <w:tcPr>
            <w:tcW w:w="3960" w:type="dxa"/>
          </w:tcPr>
          <w:p w14:paraId="58562272" w14:textId="77777777" w:rsidR="001F6CD2" w:rsidRPr="008A468A" w:rsidRDefault="001F6CD2" w:rsidP="005019E3">
            <w:pPr>
              <w:pStyle w:val="ListParagraph"/>
              <w:numPr>
                <w:ilvl w:val="0"/>
                <w:numId w:val="20"/>
              </w:numPr>
              <w:spacing w:before="60"/>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8A468A">
              <w:rPr>
                <w:sz w:val="20"/>
                <w:szCs w:val="20"/>
              </w:rPr>
              <w:t xml:space="preserve">Meals unless included in registration fee for </w:t>
            </w:r>
            <w:proofErr w:type="gramStart"/>
            <w:r w:rsidRPr="008A468A">
              <w:rPr>
                <w:sz w:val="20"/>
                <w:szCs w:val="20"/>
              </w:rPr>
              <w:t>conference</w:t>
            </w:r>
            <w:proofErr w:type="gramEnd"/>
          </w:p>
          <w:p w14:paraId="7B744581" w14:textId="77777777" w:rsidR="001F6CD2" w:rsidRDefault="001F6CD2" w:rsidP="005019E3">
            <w:pPr>
              <w:pStyle w:val="ListParagraph"/>
              <w:numPr>
                <w:ilvl w:val="0"/>
                <w:numId w:val="20"/>
              </w:numPr>
              <w:spacing w:before="60"/>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8A468A">
              <w:rPr>
                <w:sz w:val="20"/>
                <w:szCs w:val="20"/>
              </w:rPr>
              <w:t xml:space="preserve">Meals for </w:t>
            </w:r>
            <w:r w:rsidR="00801680">
              <w:rPr>
                <w:sz w:val="20"/>
                <w:szCs w:val="20"/>
              </w:rPr>
              <w:t>college</w:t>
            </w:r>
            <w:r w:rsidRPr="008A468A">
              <w:rPr>
                <w:sz w:val="20"/>
                <w:szCs w:val="20"/>
              </w:rPr>
              <w:t xml:space="preserve"> </w:t>
            </w:r>
            <w:r w:rsidRPr="00FA34A8">
              <w:rPr>
                <w:sz w:val="20"/>
                <w:szCs w:val="20"/>
              </w:rPr>
              <w:t>HQPD</w:t>
            </w:r>
            <w:r w:rsidRPr="008A468A">
              <w:rPr>
                <w:sz w:val="20"/>
                <w:szCs w:val="20"/>
              </w:rPr>
              <w:t xml:space="preserve"> meetings</w:t>
            </w:r>
          </w:p>
          <w:p w14:paraId="369B5AC1" w14:textId="77777777" w:rsidR="001F6CD2" w:rsidRPr="003D0625" w:rsidRDefault="001F6CD2" w:rsidP="005019E3">
            <w:pPr>
              <w:pStyle w:val="Footer"/>
              <w:numPr>
                <w:ilvl w:val="0"/>
                <w:numId w:val="3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w:t>
            </w:r>
            <w:r w:rsidRPr="00CF1DF1">
              <w:rPr>
                <w:sz w:val="20"/>
                <w:szCs w:val="20"/>
              </w:rPr>
              <w:t>ny expenditure for entertainment</w:t>
            </w:r>
            <w:r w:rsidRPr="003D0625">
              <w:rPr>
                <w:sz w:val="20"/>
                <w:szCs w:val="20"/>
              </w:rPr>
              <w:t xml:space="preserve"> or non-instructional activities</w:t>
            </w:r>
          </w:p>
          <w:p w14:paraId="00F55F61" w14:textId="77777777" w:rsidR="008A468A" w:rsidRPr="009B412E" w:rsidRDefault="001F6CD2" w:rsidP="005019E3">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O</w:t>
            </w:r>
            <w:r w:rsidRPr="003D0625">
              <w:rPr>
                <w:sz w:val="20"/>
                <w:szCs w:val="20"/>
              </w:rPr>
              <w:t xml:space="preserve">ut-of-state travel (without </w:t>
            </w:r>
            <w:r w:rsidR="00666031">
              <w:rPr>
                <w:sz w:val="20"/>
                <w:szCs w:val="20"/>
              </w:rPr>
              <w:t xml:space="preserve">DESE </w:t>
            </w:r>
            <w:r w:rsidRPr="003D0625">
              <w:rPr>
                <w:sz w:val="20"/>
                <w:szCs w:val="20"/>
              </w:rPr>
              <w:t>approval)</w:t>
            </w:r>
          </w:p>
        </w:tc>
      </w:tr>
      <w:tr w:rsidR="008A468A" w:rsidRPr="008A468A" w14:paraId="5B0DE93F" w14:textId="77777777" w:rsidTr="0BDC9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8F33351"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Other Costs</w:t>
            </w:r>
          </w:p>
        </w:tc>
        <w:tc>
          <w:tcPr>
            <w:tcW w:w="4922" w:type="dxa"/>
          </w:tcPr>
          <w:p w14:paraId="190C0250" w14:textId="77777777" w:rsidR="003A2FAF" w:rsidRDefault="001F6CD2" w:rsidP="003A2FAF">
            <w:pPr>
              <w:pStyle w:val="ListParagraph"/>
              <w:numPr>
                <w:ilvl w:val="0"/>
                <w:numId w:val="21"/>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8A468A">
              <w:rPr>
                <w:sz w:val="20"/>
                <w:szCs w:val="20"/>
              </w:rPr>
              <w:t>M</w:t>
            </w:r>
            <w:r>
              <w:rPr>
                <w:sz w:val="20"/>
                <w:szCs w:val="20"/>
              </w:rPr>
              <w:t>emberships/</w:t>
            </w:r>
            <w:r w:rsidR="002E11CC">
              <w:rPr>
                <w:sz w:val="20"/>
                <w:szCs w:val="20"/>
              </w:rPr>
              <w:t>s</w:t>
            </w:r>
            <w:r>
              <w:rPr>
                <w:sz w:val="20"/>
                <w:szCs w:val="20"/>
              </w:rPr>
              <w:t xml:space="preserve">ubscriptions for </w:t>
            </w:r>
            <w:r w:rsidRPr="00FA34A8">
              <w:rPr>
                <w:sz w:val="20"/>
                <w:szCs w:val="20"/>
              </w:rPr>
              <w:t>HQPD</w:t>
            </w:r>
            <w:r w:rsidR="003A2FAF">
              <w:rPr>
                <w:sz w:val="20"/>
                <w:szCs w:val="20"/>
              </w:rPr>
              <w:t xml:space="preserve"> </w:t>
            </w:r>
          </w:p>
          <w:p w14:paraId="775EB64F" w14:textId="77777777" w:rsidR="002D3C40" w:rsidRPr="003A2FAF" w:rsidRDefault="002D3C40" w:rsidP="002D3C40">
            <w:pPr>
              <w:pStyle w:val="ListParagraph"/>
              <w:numPr>
                <w:ilvl w:val="0"/>
                <w:numId w:val="21"/>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Fees or dues for instructional CVTE Memberships</w:t>
            </w:r>
          </w:p>
          <w:p w14:paraId="08224416" w14:textId="77777777" w:rsidR="001F6CD2" w:rsidRPr="008A468A" w:rsidRDefault="002E11CC" w:rsidP="00F804A8">
            <w:pPr>
              <w:pStyle w:val="ListParagraph"/>
              <w:numPr>
                <w:ilvl w:val="0"/>
                <w:numId w:val="21"/>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Printing/c</w:t>
            </w:r>
            <w:r w:rsidR="001F6CD2" w:rsidRPr="008A468A">
              <w:rPr>
                <w:sz w:val="20"/>
                <w:szCs w:val="20"/>
              </w:rPr>
              <w:t xml:space="preserve">opying for </w:t>
            </w:r>
            <w:proofErr w:type="gramStart"/>
            <w:r w:rsidR="001F6CD2" w:rsidRPr="00FA34A8">
              <w:rPr>
                <w:sz w:val="20"/>
                <w:szCs w:val="20"/>
              </w:rPr>
              <w:t>HQPD</w:t>
            </w:r>
            <w:proofErr w:type="gramEnd"/>
          </w:p>
          <w:p w14:paraId="259AC1DB" w14:textId="77777777" w:rsidR="001F6CD2" w:rsidRDefault="001F6CD2" w:rsidP="00F804A8">
            <w:pPr>
              <w:pStyle w:val="ListParagraph"/>
              <w:numPr>
                <w:ilvl w:val="0"/>
                <w:numId w:val="21"/>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8A468A">
              <w:rPr>
                <w:sz w:val="20"/>
                <w:szCs w:val="20"/>
              </w:rPr>
              <w:t xml:space="preserve">Space rental for </w:t>
            </w:r>
            <w:r w:rsidRPr="00FA34A8">
              <w:rPr>
                <w:sz w:val="20"/>
                <w:szCs w:val="20"/>
              </w:rPr>
              <w:t>HQPD</w:t>
            </w:r>
          </w:p>
          <w:p w14:paraId="3D0BBB6F" w14:textId="77777777" w:rsidR="008A468A" w:rsidRPr="009B412E" w:rsidRDefault="001F6CD2" w:rsidP="00F804A8">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Food for a program-related activity when the </w:t>
            </w:r>
            <w:r w:rsidRPr="00A31D15">
              <w:rPr>
                <w:sz w:val="20"/>
                <w:szCs w:val="20"/>
              </w:rPr>
              <w:t>activity overlaps a mealtime, or for simple refreshment when it would be impractical or relatively inconvenient for the participants to purchase sustenance</w:t>
            </w:r>
          </w:p>
        </w:tc>
        <w:tc>
          <w:tcPr>
            <w:tcW w:w="3960" w:type="dxa"/>
          </w:tcPr>
          <w:p w14:paraId="0622791B" w14:textId="02DDE59E" w:rsidR="00B71891" w:rsidRDefault="00B71891" w:rsidP="00F804A8">
            <w:pPr>
              <w:pStyle w:val="ListParagraph"/>
              <w:numPr>
                <w:ilvl w:val="0"/>
                <w:numId w:val="21"/>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BDC97BB">
              <w:rPr>
                <w:sz w:val="20"/>
                <w:szCs w:val="20"/>
              </w:rPr>
              <w:t xml:space="preserve">Membership/subscriptions not related to career and technical </w:t>
            </w:r>
            <w:proofErr w:type="gramStart"/>
            <w:r w:rsidRPr="0BDC97BB">
              <w:rPr>
                <w:sz w:val="20"/>
                <w:szCs w:val="20"/>
              </w:rPr>
              <w:t>education</w:t>
            </w:r>
            <w:proofErr w:type="gramEnd"/>
          </w:p>
          <w:p w14:paraId="738CA3DF" w14:textId="77777777" w:rsidR="00787EE2" w:rsidRPr="00A31D15" w:rsidRDefault="00787EE2" w:rsidP="00F804A8">
            <w:pPr>
              <w:pStyle w:val="ListParagraph"/>
              <w:numPr>
                <w:ilvl w:val="0"/>
                <w:numId w:val="21"/>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075822">
              <w:rPr>
                <w:sz w:val="20"/>
                <w:szCs w:val="20"/>
              </w:rPr>
              <w:t xml:space="preserve">Fees </w:t>
            </w:r>
            <w:r>
              <w:rPr>
                <w:sz w:val="20"/>
                <w:szCs w:val="20"/>
              </w:rPr>
              <w:t xml:space="preserve">or dues </w:t>
            </w:r>
            <w:r w:rsidRPr="00075822">
              <w:rPr>
                <w:sz w:val="20"/>
                <w:szCs w:val="20"/>
              </w:rPr>
              <w:t xml:space="preserve">paid for an individual </w:t>
            </w:r>
            <w:proofErr w:type="gramStart"/>
            <w:r w:rsidRPr="00075822">
              <w:rPr>
                <w:sz w:val="20"/>
                <w:szCs w:val="20"/>
              </w:rPr>
              <w:t>student</w:t>
            </w:r>
            <w:proofErr w:type="gramEnd"/>
          </w:p>
          <w:p w14:paraId="7577A283" w14:textId="77777777" w:rsidR="00787EE2" w:rsidRDefault="00787EE2" w:rsidP="00F804A8">
            <w:pPr>
              <w:pStyle w:val="ListParagraph"/>
              <w:numPr>
                <w:ilvl w:val="0"/>
                <w:numId w:val="21"/>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w:t>
            </w:r>
            <w:r w:rsidRPr="00075822">
              <w:rPr>
                <w:sz w:val="20"/>
                <w:szCs w:val="20"/>
              </w:rPr>
              <w:t xml:space="preserve">ash, credit card, voucher </w:t>
            </w:r>
            <w:r w:rsidRPr="00B668A3">
              <w:rPr>
                <w:i/>
                <w:sz w:val="20"/>
                <w:szCs w:val="20"/>
              </w:rPr>
              <w:t>etc.</w:t>
            </w:r>
            <w:r w:rsidRPr="00075822">
              <w:rPr>
                <w:sz w:val="20"/>
                <w:szCs w:val="20"/>
              </w:rPr>
              <w:t xml:space="preserve"> provided to an individual student for </w:t>
            </w:r>
            <w:proofErr w:type="gramStart"/>
            <w:r w:rsidRPr="00075822">
              <w:rPr>
                <w:sz w:val="20"/>
                <w:szCs w:val="20"/>
              </w:rPr>
              <w:t>transportation</w:t>
            </w:r>
            <w:proofErr w:type="gramEnd"/>
          </w:p>
          <w:p w14:paraId="09A26937" w14:textId="77777777" w:rsidR="00801680" w:rsidRPr="000615BE" w:rsidRDefault="00801680" w:rsidP="00F804A8">
            <w:pPr>
              <w:pStyle w:val="ListParagraph"/>
              <w:numPr>
                <w:ilvl w:val="0"/>
                <w:numId w:val="33"/>
              </w:numPr>
              <w:ind w:left="342" w:hanging="270"/>
              <w:cnfStyle w:val="000000100000" w:firstRow="0" w:lastRow="0" w:firstColumn="0" w:lastColumn="0" w:oddVBand="0" w:evenVBand="0" w:oddHBand="1" w:evenHBand="0" w:firstRowFirstColumn="0" w:firstRowLastColumn="0" w:lastRowFirstColumn="0" w:lastRowLastColumn="0"/>
              <w:rPr>
                <w:sz w:val="20"/>
              </w:rPr>
            </w:pPr>
            <w:r w:rsidRPr="00075822">
              <w:rPr>
                <w:sz w:val="20"/>
                <w:szCs w:val="20"/>
              </w:rPr>
              <w:t>A course or PD training which outcomes only benefit</w:t>
            </w:r>
            <w:r>
              <w:rPr>
                <w:sz w:val="20"/>
                <w:szCs w:val="20"/>
              </w:rPr>
              <w:t xml:space="preserve">s </w:t>
            </w:r>
            <w:r w:rsidRPr="00075822">
              <w:rPr>
                <w:sz w:val="20"/>
                <w:szCs w:val="20"/>
              </w:rPr>
              <w:t xml:space="preserve">individual </w:t>
            </w:r>
            <w:r>
              <w:rPr>
                <w:sz w:val="20"/>
                <w:szCs w:val="20"/>
              </w:rPr>
              <w:t xml:space="preserve">instructors and not programs and </w:t>
            </w:r>
            <w:proofErr w:type="gramStart"/>
            <w:r>
              <w:rPr>
                <w:sz w:val="20"/>
                <w:szCs w:val="20"/>
              </w:rPr>
              <w:t>students</w:t>
            </w:r>
            <w:proofErr w:type="gramEnd"/>
          </w:p>
          <w:p w14:paraId="36AB0C91" w14:textId="77777777" w:rsidR="008A468A" w:rsidRPr="004312CF" w:rsidRDefault="00801680" w:rsidP="00F804A8">
            <w:pPr>
              <w:pStyle w:val="ListParagraph"/>
              <w:numPr>
                <w:ilvl w:val="0"/>
                <w:numId w:val="33"/>
              </w:numPr>
              <w:ind w:left="342" w:hanging="270"/>
              <w:cnfStyle w:val="000000100000" w:firstRow="0" w:lastRow="0" w:firstColumn="0" w:lastColumn="0" w:oddVBand="0" w:evenVBand="0" w:oddHBand="1" w:evenHBand="0" w:firstRowFirstColumn="0" w:firstRowLastColumn="0" w:lastRowFirstColumn="0" w:lastRowLastColumn="0"/>
              <w:rPr>
                <w:sz w:val="20"/>
              </w:rPr>
            </w:pPr>
            <w:r>
              <w:rPr>
                <w:sz w:val="20"/>
              </w:rPr>
              <w:t xml:space="preserve"> S</w:t>
            </w:r>
            <w:r w:rsidRPr="003D0625">
              <w:rPr>
                <w:sz w:val="20"/>
              </w:rPr>
              <w:t>chool construction</w:t>
            </w:r>
          </w:p>
        </w:tc>
      </w:tr>
      <w:tr w:rsidR="008A468A" w:rsidRPr="008A468A" w14:paraId="74DD3548" w14:textId="77777777" w:rsidTr="0BDC97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FB9F62B" w14:textId="77777777" w:rsidR="008A468A" w:rsidRPr="00596C87" w:rsidRDefault="00596C87" w:rsidP="009B412E">
            <w:pPr>
              <w:pStyle w:val="ListParagraph"/>
              <w:numPr>
                <w:ilvl w:val="0"/>
                <w:numId w:val="15"/>
              </w:numPr>
              <w:tabs>
                <w:tab w:val="left" w:pos="540"/>
                <w:tab w:val="left" w:pos="630"/>
              </w:tabs>
              <w:ind w:left="360"/>
              <w:rPr>
                <w:sz w:val="24"/>
                <w:szCs w:val="20"/>
              </w:rPr>
            </w:pPr>
            <w:r>
              <w:rPr>
                <w:sz w:val="24"/>
                <w:szCs w:val="20"/>
              </w:rPr>
              <w:t xml:space="preserve">Indirect </w:t>
            </w:r>
            <w:r w:rsidR="008A468A" w:rsidRPr="00596C87">
              <w:rPr>
                <w:sz w:val="24"/>
                <w:szCs w:val="20"/>
              </w:rPr>
              <w:t>Costs</w:t>
            </w:r>
          </w:p>
        </w:tc>
        <w:tc>
          <w:tcPr>
            <w:tcW w:w="4922" w:type="dxa"/>
          </w:tcPr>
          <w:p w14:paraId="5C25B91E" w14:textId="77777777" w:rsidR="008A468A" w:rsidRPr="009B412E" w:rsidRDefault="00000000" w:rsidP="00F804A8">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hyperlink r:id="rId15" w:history="1">
              <w:r w:rsidR="002E11CC">
                <w:rPr>
                  <w:rStyle w:val="Hyperlink"/>
                  <w:rFonts w:cstheme="minorBidi"/>
                  <w:sz w:val="20"/>
                  <w:szCs w:val="20"/>
                </w:rPr>
                <w:t>I</w:t>
              </w:r>
              <w:r w:rsidR="008A468A" w:rsidRPr="00787EE2">
                <w:rPr>
                  <w:rStyle w:val="Hyperlink"/>
                  <w:rFonts w:cstheme="minorBidi"/>
                  <w:sz w:val="20"/>
                  <w:szCs w:val="20"/>
                </w:rPr>
                <w:t>ndirect cost rates</w:t>
              </w:r>
            </w:hyperlink>
            <w:r w:rsidR="008A468A" w:rsidRPr="009B412E">
              <w:rPr>
                <w:sz w:val="20"/>
                <w:szCs w:val="20"/>
              </w:rPr>
              <w:t xml:space="preserve"> </w:t>
            </w:r>
          </w:p>
        </w:tc>
        <w:tc>
          <w:tcPr>
            <w:tcW w:w="3960" w:type="dxa"/>
          </w:tcPr>
          <w:p w14:paraId="2E3BAA83" w14:textId="77777777" w:rsidR="008A468A" w:rsidRDefault="00787EE2" w:rsidP="00F804A8">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8A468A">
              <w:rPr>
                <w:sz w:val="20"/>
                <w:szCs w:val="20"/>
              </w:rPr>
              <w:t>Indirect rate greater than the percentage a</w:t>
            </w:r>
            <w:r w:rsidRPr="004312CF">
              <w:rPr>
                <w:sz w:val="20"/>
                <w:szCs w:val="20"/>
              </w:rPr>
              <w:t xml:space="preserve">ssigned to </w:t>
            </w:r>
            <w:r w:rsidR="002E11CC">
              <w:rPr>
                <w:sz w:val="20"/>
                <w:szCs w:val="20"/>
              </w:rPr>
              <w:t xml:space="preserve">community </w:t>
            </w:r>
            <w:proofErr w:type="gramStart"/>
            <w:r w:rsidR="002E11CC">
              <w:rPr>
                <w:sz w:val="20"/>
                <w:szCs w:val="20"/>
              </w:rPr>
              <w:t>college</w:t>
            </w:r>
            <w:proofErr w:type="gramEnd"/>
          </w:p>
          <w:p w14:paraId="42092BAC" w14:textId="77777777" w:rsidR="00B71891" w:rsidRPr="004312CF" w:rsidRDefault="00860DF1" w:rsidP="00F804A8">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Administrator salaries and indirect costs combined cannot exceed 5% of grant</w:t>
            </w:r>
          </w:p>
        </w:tc>
      </w:tr>
      <w:tr w:rsidR="008A468A" w:rsidRPr="008A468A" w14:paraId="762412A7" w14:textId="77777777" w:rsidTr="0BDC9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551F627"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Equipment</w:t>
            </w:r>
          </w:p>
        </w:tc>
        <w:tc>
          <w:tcPr>
            <w:tcW w:w="4922" w:type="dxa"/>
          </w:tcPr>
          <w:p w14:paraId="145D1EB2" w14:textId="77777777" w:rsidR="008A468A" w:rsidRPr="00787EE2" w:rsidRDefault="00BD11C4" w:rsidP="00F804A8">
            <w:pPr>
              <w:pStyle w:val="ListParagraph"/>
              <w:numPr>
                <w:ilvl w:val="0"/>
                <w:numId w:val="34"/>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Equipment</w:t>
            </w:r>
            <w:r w:rsidR="00787EE2" w:rsidRPr="00787EE2">
              <w:rPr>
                <w:sz w:val="20"/>
                <w:szCs w:val="20"/>
              </w:rPr>
              <w:t xml:space="preserve"> with a </w:t>
            </w:r>
            <w:r w:rsidR="00E76259">
              <w:rPr>
                <w:sz w:val="20"/>
                <w:szCs w:val="20"/>
              </w:rPr>
              <w:t xml:space="preserve">per </w:t>
            </w:r>
            <w:r w:rsidR="00787EE2" w:rsidRPr="00787EE2">
              <w:rPr>
                <w:sz w:val="20"/>
                <w:szCs w:val="20"/>
              </w:rPr>
              <w:t>unit cost of $5,000 or more and a usable life of at least one year that directly improve</w:t>
            </w:r>
            <w:r w:rsidR="002E11CC">
              <w:rPr>
                <w:sz w:val="20"/>
                <w:szCs w:val="20"/>
              </w:rPr>
              <w:t>s</w:t>
            </w:r>
            <w:r w:rsidR="00787EE2" w:rsidRPr="00787EE2">
              <w:rPr>
                <w:sz w:val="20"/>
                <w:szCs w:val="20"/>
              </w:rPr>
              <w:t xml:space="preserve"> a Perkins program and benefit</w:t>
            </w:r>
            <w:r w:rsidR="002E11CC">
              <w:rPr>
                <w:sz w:val="20"/>
                <w:szCs w:val="20"/>
              </w:rPr>
              <w:t>s</w:t>
            </w:r>
            <w:r w:rsidR="00787EE2" w:rsidRPr="00787EE2">
              <w:rPr>
                <w:sz w:val="20"/>
                <w:szCs w:val="20"/>
              </w:rPr>
              <w:t xml:space="preserve"> students in those programs</w:t>
            </w:r>
            <w:r w:rsidR="002E11CC">
              <w:rPr>
                <w:sz w:val="20"/>
                <w:szCs w:val="20"/>
              </w:rPr>
              <w:t>. Must be itemized with a brief statement of the need for the item</w:t>
            </w:r>
            <w:r w:rsidR="005019E3">
              <w:rPr>
                <w:sz w:val="20"/>
                <w:szCs w:val="20"/>
              </w:rPr>
              <w:t>.</w:t>
            </w:r>
          </w:p>
          <w:p w14:paraId="536F550D" w14:textId="77777777" w:rsidR="00596C87" w:rsidRPr="009B412E" w:rsidRDefault="00596C87" w:rsidP="00F804A8">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c>
          <w:tcPr>
            <w:tcW w:w="3960" w:type="dxa"/>
          </w:tcPr>
          <w:p w14:paraId="40938362" w14:textId="4F0D69D5" w:rsidR="008A468A" w:rsidRPr="009B412E" w:rsidRDefault="00787EE2" w:rsidP="500AD04D">
            <w:pPr>
              <w:pStyle w:val="ListParagraph"/>
              <w:numPr>
                <w:ilvl w:val="0"/>
                <w:numId w:val="22"/>
              </w:numPr>
              <w:spacing w:before="60" w:after="60"/>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500AD04D">
              <w:rPr>
                <w:sz w:val="20"/>
                <w:szCs w:val="20"/>
              </w:rPr>
              <w:t>Equipment used by programs that do not meet the definition of a Perkins program or that are shared between Perkins and non-Perkins programs where Perkins programs do not have priority for the equipment’s use</w:t>
            </w:r>
          </w:p>
        </w:tc>
      </w:tr>
    </w:tbl>
    <w:p w14:paraId="169CC584" w14:textId="44377253" w:rsidR="001750EA" w:rsidRDefault="006D5DA1" w:rsidP="004530D9">
      <w:pPr>
        <w:rPr>
          <w:sz w:val="8"/>
          <w:szCs w:val="8"/>
        </w:rPr>
      </w:pPr>
      <w:r>
        <w:rPr>
          <w:noProof/>
          <w:sz w:val="36"/>
          <w:szCs w:val="36"/>
        </w:rPr>
        <mc:AlternateContent>
          <mc:Choice Requires="wps">
            <w:drawing>
              <wp:anchor distT="0" distB="0" distL="114300" distR="114300" simplePos="0" relativeHeight="251658242" behindDoc="0" locked="0" layoutInCell="1" allowOverlap="1" wp14:anchorId="239F7F2A" wp14:editId="32E49450">
                <wp:simplePos x="0" y="0"/>
                <wp:positionH relativeFrom="margin">
                  <wp:posOffset>3125684</wp:posOffset>
                </wp:positionH>
                <wp:positionV relativeFrom="paragraph">
                  <wp:posOffset>123075</wp:posOffset>
                </wp:positionV>
                <wp:extent cx="3791693" cy="1095754"/>
                <wp:effectExtent l="38100" t="38100" r="113665" b="123825"/>
                <wp:wrapNone/>
                <wp:docPr id="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693" cy="1095754"/>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4FE352C" w14:textId="77777777" w:rsidR="009E4C8F" w:rsidRPr="001E2AEA" w:rsidRDefault="009E4C8F" w:rsidP="00BD1A2F">
                            <w:pPr>
                              <w:spacing w:after="0"/>
                              <w:rPr>
                                <w:b/>
                                <w:color w:val="365F91" w:themeColor="accent1" w:themeShade="BF"/>
                                <w:szCs w:val="20"/>
                              </w:rPr>
                            </w:pPr>
                            <w:r w:rsidRPr="001E2AEA">
                              <w:rPr>
                                <w:b/>
                                <w:color w:val="365F91" w:themeColor="accent1" w:themeShade="BF"/>
                                <w:szCs w:val="20"/>
                              </w:rPr>
                              <w:t>Inter</w:t>
                            </w:r>
                            <w:r w:rsidR="003D7E7E" w:rsidRPr="001E2AEA">
                              <w:rPr>
                                <w:b/>
                                <w:color w:val="365F91" w:themeColor="accent1" w:themeShade="BF"/>
                                <w:szCs w:val="20"/>
                              </w:rPr>
                              <w:t>departmental</w:t>
                            </w:r>
                            <w:r w:rsidRPr="001E2AEA">
                              <w:rPr>
                                <w:b/>
                                <w:color w:val="365F91" w:themeColor="accent1" w:themeShade="BF"/>
                                <w:szCs w:val="20"/>
                              </w:rPr>
                              <w:t xml:space="preserve"> </w:t>
                            </w:r>
                            <w:r w:rsidR="00BD1A2F" w:rsidRPr="001E2AEA">
                              <w:rPr>
                                <w:b/>
                                <w:color w:val="365F91" w:themeColor="accent1" w:themeShade="BF"/>
                                <w:szCs w:val="20"/>
                              </w:rPr>
                              <w:t xml:space="preserve">Service </w:t>
                            </w:r>
                            <w:r w:rsidRPr="001E2AEA">
                              <w:rPr>
                                <w:b/>
                                <w:color w:val="365F91" w:themeColor="accent1" w:themeShade="BF"/>
                                <w:szCs w:val="20"/>
                              </w:rPr>
                              <w:t>Agreement</w:t>
                            </w:r>
                          </w:p>
                          <w:p w14:paraId="174AB8AC" w14:textId="5FCB8CBF" w:rsidR="009E4C8F" w:rsidRPr="006D5DA1" w:rsidRDefault="009E4C8F" w:rsidP="00836274">
                            <w:pPr>
                              <w:spacing w:after="0" w:line="240" w:lineRule="auto"/>
                              <w:rPr>
                                <w:color w:val="365F91" w:themeColor="accent1" w:themeShade="BF"/>
                                <w:sz w:val="18"/>
                                <w:szCs w:val="20"/>
                              </w:rPr>
                            </w:pPr>
                            <w:r w:rsidRPr="006D5DA1">
                              <w:rPr>
                                <w:sz w:val="18"/>
                                <w:szCs w:val="20"/>
                              </w:rPr>
                              <w:t xml:space="preserve">Community Colleges eligible to receive Perkins Postsecondary funds are required to take an additional step to obtain funds through the </w:t>
                            </w:r>
                            <w:r w:rsidR="008A6343" w:rsidRPr="006D5DA1">
                              <w:rPr>
                                <w:sz w:val="18"/>
                                <w:szCs w:val="20"/>
                              </w:rPr>
                              <w:t>Interdepartmental Service</w:t>
                            </w:r>
                            <w:r w:rsidRPr="006D5DA1">
                              <w:rPr>
                                <w:sz w:val="18"/>
                                <w:szCs w:val="20"/>
                              </w:rPr>
                              <w:t xml:space="preserve"> Agreement (ISA) process.  This process will add 4 to 6 weeks to the process timeline. Therefore, it is important to keep</w:t>
                            </w:r>
                            <w:r w:rsidR="00BD1A2F" w:rsidRPr="006D5DA1">
                              <w:rPr>
                                <w:sz w:val="18"/>
                                <w:szCs w:val="20"/>
                              </w:rPr>
                              <w:t xml:space="preserve"> this</w:t>
                            </w:r>
                            <w:r w:rsidRPr="006D5DA1">
                              <w:rPr>
                                <w:sz w:val="18"/>
                                <w:szCs w:val="20"/>
                              </w:rPr>
                              <w:t xml:space="preserve"> in mind, and submit your completed application in a timely fashion.</w:t>
                            </w:r>
                          </w:p>
                          <w:p w14:paraId="289B503D" w14:textId="77777777" w:rsidR="000C2E1B" w:rsidRPr="005019E3" w:rsidRDefault="000C2E1B" w:rsidP="005019E3">
                            <w:pPr>
                              <w:spacing w:after="0" w:line="240" w:lineRule="auto"/>
                              <w:rPr>
                                <w:color w:val="365F91" w:themeColor="accent1" w:themeShade="B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F7F2A" id="_x0000_t202" coordsize="21600,21600" o:spt="202" path="m,l,21600r21600,l21600,xe">
                <v:stroke joinstyle="miter"/>
                <v:path gradientshapeok="t" o:connecttype="rect"/>
              </v:shapetype>
              <v:shape id="Text Box 16" o:spid="_x0000_s1026" type="#_x0000_t202" alt="&quot;&quot;" style="position:absolute;margin-left:246.1pt;margin-top:9.7pt;width:298.55pt;height:86.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" strokecolor="#365f91 [2404]" strokeweight=".25pt">
                <v:shadow on="t" color="black" opacity="26214f" origin="-.5,-.5" offset=".74836mm,.74836mm"/>
                <v:textbox>
                  <w:txbxContent>
                    <w:p w14:paraId="34FE352C" w14:textId="77777777" w:rsidR="009E4C8F" w:rsidRPr="001E2AEA" w:rsidRDefault="009E4C8F" w:rsidP="00BD1A2F">
                      <w:pPr>
                        <w:spacing w:after="0"/>
                        <w:rPr>
                          <w:b/>
                          <w:color w:val="365F91" w:themeColor="accent1" w:themeShade="BF"/>
                          <w:szCs w:val="20"/>
                        </w:rPr>
                      </w:pPr>
                      <w:r w:rsidRPr="001E2AEA">
                        <w:rPr>
                          <w:b/>
                          <w:color w:val="365F91" w:themeColor="accent1" w:themeShade="BF"/>
                          <w:szCs w:val="20"/>
                        </w:rPr>
                        <w:t>Inter</w:t>
                      </w:r>
                      <w:r w:rsidR="003D7E7E" w:rsidRPr="001E2AEA">
                        <w:rPr>
                          <w:b/>
                          <w:color w:val="365F91" w:themeColor="accent1" w:themeShade="BF"/>
                          <w:szCs w:val="20"/>
                        </w:rPr>
                        <w:t>departmental</w:t>
                      </w:r>
                      <w:r w:rsidRPr="001E2AEA">
                        <w:rPr>
                          <w:b/>
                          <w:color w:val="365F91" w:themeColor="accent1" w:themeShade="BF"/>
                          <w:szCs w:val="20"/>
                        </w:rPr>
                        <w:t xml:space="preserve"> </w:t>
                      </w:r>
                      <w:r w:rsidR="00BD1A2F" w:rsidRPr="001E2AEA">
                        <w:rPr>
                          <w:b/>
                          <w:color w:val="365F91" w:themeColor="accent1" w:themeShade="BF"/>
                          <w:szCs w:val="20"/>
                        </w:rPr>
                        <w:t xml:space="preserve">Service </w:t>
                      </w:r>
                      <w:r w:rsidRPr="001E2AEA">
                        <w:rPr>
                          <w:b/>
                          <w:color w:val="365F91" w:themeColor="accent1" w:themeShade="BF"/>
                          <w:szCs w:val="20"/>
                        </w:rPr>
                        <w:t>Agreement</w:t>
                      </w:r>
                    </w:p>
                    <w:p w14:paraId="174AB8AC" w14:textId="5FCB8CBF" w:rsidR="009E4C8F" w:rsidRPr="006D5DA1" w:rsidRDefault="009E4C8F" w:rsidP="00836274">
                      <w:pPr>
                        <w:spacing w:after="0" w:line="240" w:lineRule="auto"/>
                        <w:rPr>
                          <w:color w:val="365F91" w:themeColor="accent1" w:themeShade="BF"/>
                          <w:sz w:val="18"/>
                          <w:szCs w:val="20"/>
                        </w:rPr>
                      </w:pPr>
                      <w:r w:rsidRPr="006D5DA1">
                        <w:rPr>
                          <w:sz w:val="18"/>
                          <w:szCs w:val="20"/>
                        </w:rPr>
                        <w:t xml:space="preserve">Community Colleges eligible to receive Perkins Postsecondary funds are required to take an additional step to obtain funds through the </w:t>
                      </w:r>
                      <w:r w:rsidR="008A6343" w:rsidRPr="006D5DA1">
                        <w:rPr>
                          <w:sz w:val="18"/>
                          <w:szCs w:val="20"/>
                        </w:rPr>
                        <w:t>Interdepartmental Service</w:t>
                      </w:r>
                      <w:r w:rsidRPr="006D5DA1">
                        <w:rPr>
                          <w:sz w:val="18"/>
                          <w:szCs w:val="20"/>
                        </w:rPr>
                        <w:t xml:space="preserve"> Agreement (ISA) process.  This process will add 4 to 6 weeks to the process timeline. Therefore, it is important to keep</w:t>
                      </w:r>
                      <w:r w:rsidR="00BD1A2F" w:rsidRPr="006D5DA1">
                        <w:rPr>
                          <w:sz w:val="18"/>
                          <w:szCs w:val="20"/>
                        </w:rPr>
                        <w:t xml:space="preserve"> this</w:t>
                      </w:r>
                      <w:r w:rsidRPr="006D5DA1">
                        <w:rPr>
                          <w:sz w:val="18"/>
                          <w:szCs w:val="20"/>
                        </w:rPr>
                        <w:t xml:space="preserve"> in mind, and submit your completed application in a timely fashion.</w:t>
                      </w:r>
                    </w:p>
                    <w:p w14:paraId="289B503D" w14:textId="77777777" w:rsidR="000C2E1B" w:rsidRPr="005019E3" w:rsidRDefault="000C2E1B" w:rsidP="005019E3">
                      <w:pPr>
                        <w:spacing w:after="0" w:line="240" w:lineRule="auto"/>
                        <w:rPr>
                          <w:color w:val="365F91" w:themeColor="accent1" w:themeShade="BF"/>
                          <w:sz w:val="20"/>
                        </w:rPr>
                      </w:pPr>
                    </w:p>
                  </w:txbxContent>
                </v:textbox>
                <w10:wrap anchorx="margin"/>
              </v:shape>
            </w:pict>
          </mc:Fallback>
        </mc:AlternateContent>
      </w:r>
      <w:r w:rsidR="0024197A">
        <w:rPr>
          <w:noProof/>
          <w:sz w:val="36"/>
          <w:szCs w:val="36"/>
        </w:rPr>
        <mc:AlternateContent>
          <mc:Choice Requires="wps">
            <w:drawing>
              <wp:anchor distT="0" distB="0" distL="114300" distR="114300" simplePos="0" relativeHeight="251658241" behindDoc="0" locked="0" layoutInCell="1" allowOverlap="1" wp14:anchorId="2D14679C" wp14:editId="2B1B092D">
                <wp:simplePos x="0" y="0"/>
                <wp:positionH relativeFrom="margin">
                  <wp:posOffset>2474</wp:posOffset>
                </wp:positionH>
                <wp:positionV relativeFrom="paragraph">
                  <wp:posOffset>99325</wp:posOffset>
                </wp:positionV>
                <wp:extent cx="3019425" cy="1119744"/>
                <wp:effectExtent l="38100" t="38100" r="123825" b="118745"/>
                <wp:wrapNone/>
                <wp:docPr id="2"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19744"/>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AE19A5D" w14:textId="77777777" w:rsidR="00DF4F96" w:rsidRPr="001E2AEA" w:rsidRDefault="000C2E1B" w:rsidP="00596C87">
                            <w:pPr>
                              <w:spacing w:after="0"/>
                              <w:rPr>
                                <w:b/>
                                <w:color w:val="1F497D" w:themeColor="text2"/>
                                <w:szCs w:val="24"/>
                              </w:rPr>
                            </w:pPr>
                            <w:r w:rsidRPr="001E2AEA">
                              <w:rPr>
                                <w:b/>
                                <w:color w:val="1F497D" w:themeColor="text2"/>
                                <w:szCs w:val="24"/>
                              </w:rPr>
                              <w:t xml:space="preserve">Supplement not </w:t>
                            </w:r>
                            <w:r w:rsidRPr="001E2AEA">
                              <w:rPr>
                                <w:b/>
                                <w:color w:val="1F497D" w:themeColor="text2"/>
                                <w:szCs w:val="24"/>
                              </w:rPr>
                              <w:t>Supplant</w:t>
                            </w:r>
                          </w:p>
                          <w:p w14:paraId="1BEBCD29" w14:textId="77777777" w:rsidR="00BD1A2F" w:rsidRPr="0024197A" w:rsidRDefault="00BD1A2F" w:rsidP="00BD1A2F">
                            <w:pPr>
                              <w:spacing w:line="240" w:lineRule="auto"/>
                              <w:rPr>
                                <w:sz w:val="18"/>
                                <w:szCs w:val="20"/>
                              </w:rPr>
                            </w:pPr>
                            <w:r w:rsidRPr="0024197A">
                              <w:rPr>
                                <w:sz w:val="18"/>
                                <w:szCs w:val="20"/>
                              </w:rPr>
                              <w:t>Funds made available under Perkins V should supplement and not supplant local/state funds. Perkins V funds are to be used to improve career and technical education programs. The expectation is that local/state funds would provide for the infrastructure, staff, supplies/materials, staff travel, equipment, etc.</w:t>
                            </w:r>
                          </w:p>
                          <w:p w14:paraId="402A5C89" w14:textId="77777777" w:rsidR="004727F3" w:rsidRPr="00BD1A2F" w:rsidRDefault="004727F3" w:rsidP="00BD1A2F">
                            <w:pPr>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679C" id="_x0000_s1027" type="#_x0000_t202" alt="&quot;&quot;" style="position:absolute;margin-left:.2pt;margin-top:7.8pt;width:237.75pt;height:88.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" strokecolor="#365f91 [2404]" strokeweight=".25pt">
                <v:shadow on="t" color="black" opacity="26214f" origin="-.5,-.5" offset=".74836mm,.74836mm"/>
                <v:textbox>
                  <w:txbxContent>
                    <w:p w14:paraId="5AE19A5D" w14:textId="77777777" w:rsidR="00DF4F96" w:rsidRPr="001E2AEA" w:rsidRDefault="000C2E1B" w:rsidP="00596C87">
                      <w:pPr>
                        <w:spacing w:after="0"/>
                        <w:rPr>
                          <w:b/>
                          <w:color w:val="1F497D" w:themeColor="text2"/>
                          <w:szCs w:val="24"/>
                        </w:rPr>
                      </w:pPr>
                      <w:r w:rsidRPr="001E2AEA">
                        <w:rPr>
                          <w:b/>
                          <w:color w:val="1F497D" w:themeColor="text2"/>
                          <w:szCs w:val="24"/>
                        </w:rPr>
                        <w:t xml:space="preserve">Supplement not </w:t>
                      </w:r>
                      <w:proofErr w:type="gramStart"/>
                      <w:r w:rsidRPr="001E2AEA">
                        <w:rPr>
                          <w:b/>
                          <w:color w:val="1F497D" w:themeColor="text2"/>
                          <w:szCs w:val="24"/>
                        </w:rPr>
                        <w:t>Supplant</w:t>
                      </w:r>
                      <w:proofErr w:type="gramEnd"/>
                    </w:p>
                    <w:p w14:paraId="1BEBCD29" w14:textId="77777777" w:rsidR="00BD1A2F" w:rsidRPr="0024197A" w:rsidRDefault="00BD1A2F" w:rsidP="00BD1A2F">
                      <w:pPr>
                        <w:spacing w:line="240" w:lineRule="auto"/>
                        <w:rPr>
                          <w:sz w:val="18"/>
                          <w:szCs w:val="20"/>
                        </w:rPr>
                      </w:pPr>
                      <w:r w:rsidRPr="0024197A">
                        <w:rPr>
                          <w:sz w:val="18"/>
                          <w:szCs w:val="20"/>
                        </w:rPr>
                        <w:t>Funds made available under Perkins V should supplement and not supplant local/state funds. Perkins V funds are to be used to improve career and technical education programs. The expectation is that local/state funds would provide for the infrastructure, staff, supplies/materials, staff travel, equipment, etc.</w:t>
                      </w:r>
                    </w:p>
                    <w:p w14:paraId="402A5C89" w14:textId="77777777" w:rsidR="004727F3" w:rsidRPr="00BD1A2F" w:rsidRDefault="004727F3" w:rsidP="00BD1A2F">
                      <w:pPr>
                        <w:spacing w:line="240" w:lineRule="auto"/>
                        <w:rPr>
                          <w:sz w:val="20"/>
                        </w:rPr>
                      </w:pPr>
                    </w:p>
                  </w:txbxContent>
                </v:textbox>
                <w10:wrap anchorx="margin"/>
              </v:shape>
            </w:pict>
          </mc:Fallback>
        </mc:AlternateContent>
      </w:r>
    </w:p>
    <w:p w14:paraId="6AD856DD" w14:textId="047233A6" w:rsidR="00294BC2" w:rsidRDefault="00294BC2" w:rsidP="004530D9">
      <w:pPr>
        <w:rPr>
          <w:sz w:val="8"/>
          <w:szCs w:val="8"/>
        </w:rPr>
      </w:pPr>
    </w:p>
    <w:p w14:paraId="0889403E" w14:textId="617E6971" w:rsidR="008A468A" w:rsidRDefault="008A468A" w:rsidP="000D4A11">
      <w:pPr>
        <w:spacing w:after="0" w:line="240" w:lineRule="auto"/>
        <w:rPr>
          <w:sz w:val="8"/>
          <w:szCs w:val="8"/>
        </w:rPr>
      </w:pPr>
    </w:p>
    <w:p w14:paraId="04C85959" w14:textId="1FB22DC0" w:rsidR="00CF5E4A" w:rsidRPr="00CF5E4A" w:rsidRDefault="00CF5E4A" w:rsidP="00CF5E4A">
      <w:pPr>
        <w:rPr>
          <w:sz w:val="8"/>
          <w:szCs w:val="8"/>
        </w:rPr>
      </w:pPr>
    </w:p>
    <w:p w14:paraId="64500D7B" w14:textId="5E8EA27F" w:rsidR="00CF5E4A" w:rsidRPr="00CF5E4A" w:rsidRDefault="00CF5E4A" w:rsidP="00CF5E4A">
      <w:pPr>
        <w:rPr>
          <w:sz w:val="8"/>
          <w:szCs w:val="8"/>
        </w:rPr>
      </w:pPr>
    </w:p>
    <w:p w14:paraId="2ACF15C6" w14:textId="43539A46" w:rsidR="00CF5E4A" w:rsidRPr="00CF5E4A" w:rsidRDefault="00CF5E4A" w:rsidP="00CF5E4A">
      <w:pPr>
        <w:rPr>
          <w:sz w:val="8"/>
          <w:szCs w:val="8"/>
        </w:rPr>
      </w:pPr>
    </w:p>
    <w:p w14:paraId="10478784" w14:textId="67C9E465" w:rsidR="00CF5E4A" w:rsidRPr="00CF5E4A" w:rsidRDefault="00CF5E4A" w:rsidP="177987A1">
      <w:pPr>
        <w:rPr>
          <w:sz w:val="8"/>
          <w:szCs w:val="8"/>
        </w:rPr>
      </w:pPr>
    </w:p>
    <w:p w14:paraId="1A4D4120" w14:textId="21C27F9C" w:rsidR="00CF5E4A" w:rsidRPr="00CF5E4A" w:rsidRDefault="006D5DA1" w:rsidP="00CF5E4A">
      <w:pPr>
        <w:rPr>
          <w:sz w:val="8"/>
          <w:szCs w:val="8"/>
        </w:rPr>
      </w:pPr>
      <w:r w:rsidRPr="005019E3">
        <w:rPr>
          <w:noProof/>
          <w:sz w:val="24"/>
          <w:szCs w:val="24"/>
        </w:rPr>
        <mc:AlternateContent>
          <mc:Choice Requires="wps">
            <w:drawing>
              <wp:anchor distT="0" distB="0" distL="114300" distR="114300" simplePos="0" relativeHeight="251658243" behindDoc="0" locked="0" layoutInCell="1" allowOverlap="1" wp14:anchorId="694F6961" wp14:editId="1CA9B696">
                <wp:simplePos x="0" y="0"/>
                <wp:positionH relativeFrom="margin">
                  <wp:posOffset>47625</wp:posOffset>
                </wp:positionH>
                <wp:positionV relativeFrom="paragraph">
                  <wp:posOffset>143510</wp:posOffset>
                </wp:positionV>
                <wp:extent cx="6830695" cy="885825"/>
                <wp:effectExtent l="38100" t="38100" r="122555" b="123825"/>
                <wp:wrapNone/>
                <wp:docPr id="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8858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4DBA08A8" w14:textId="0EFBDA65" w:rsidR="00DF4F96" w:rsidRPr="001E2AEA" w:rsidRDefault="008A6343" w:rsidP="00596C87">
                            <w:pPr>
                              <w:spacing w:after="0"/>
                              <w:rPr>
                                <w:b/>
                                <w:color w:val="1F497D" w:themeColor="text2"/>
                                <w:szCs w:val="24"/>
                              </w:rPr>
                            </w:pPr>
                            <w:r>
                              <w:rPr>
                                <w:b/>
                                <w:color w:val="1F497D" w:themeColor="text2"/>
                                <w:szCs w:val="24"/>
                              </w:rPr>
                              <w:t>Revisions</w:t>
                            </w:r>
                          </w:p>
                          <w:p w14:paraId="0BB3E0F6" w14:textId="77777777" w:rsidR="0024197A" w:rsidRPr="0024197A" w:rsidRDefault="0024197A" w:rsidP="0024197A">
                            <w:pPr>
                              <w:pStyle w:val="ListParagraph"/>
                              <w:numPr>
                                <w:ilvl w:val="0"/>
                                <w:numId w:val="42"/>
                              </w:numPr>
                              <w:spacing w:after="0" w:line="240" w:lineRule="auto"/>
                              <w:ind w:left="270" w:right="35" w:hanging="270"/>
                              <w:rPr>
                                <w:rFonts w:cstheme="minorHAnsi"/>
                                <w:b/>
                                <w:bCs/>
                                <w:sz w:val="18"/>
                                <w:szCs w:val="18"/>
                              </w:rPr>
                            </w:pPr>
                            <w:r w:rsidRPr="0024197A">
                              <w:rPr>
                                <w:rFonts w:cstheme="minorHAnsi"/>
                                <w:sz w:val="18"/>
                                <w:szCs w:val="18"/>
                              </w:rPr>
                              <w:t>Required when there is any significant change in program objectives; any increase or decrease in the total amount of the grant; an increase in a line of the budget that exceeds $100 or 10% of the line (whichever is greater</w:t>
                            </w:r>
                            <w:r w:rsidRPr="0024197A">
                              <w:rPr>
                                <w:rFonts w:cstheme="minorHAnsi"/>
                                <w:sz w:val="18"/>
                                <w:szCs w:val="18"/>
                              </w:rPr>
                              <w:t>), or exceeds $10,000.</w:t>
                            </w:r>
                          </w:p>
                          <w:p w14:paraId="72C7D00B" w14:textId="6F194CDE" w:rsidR="0024197A" w:rsidRPr="0024197A" w:rsidRDefault="008A6343" w:rsidP="0024197A">
                            <w:pPr>
                              <w:pStyle w:val="ListParagraph"/>
                              <w:numPr>
                                <w:ilvl w:val="0"/>
                                <w:numId w:val="42"/>
                              </w:numPr>
                              <w:spacing w:after="0" w:line="240" w:lineRule="auto"/>
                              <w:ind w:left="270" w:right="35" w:hanging="270"/>
                              <w:rPr>
                                <w:rFonts w:cstheme="minorHAnsi"/>
                                <w:b/>
                                <w:bCs/>
                                <w:sz w:val="18"/>
                                <w:szCs w:val="18"/>
                              </w:rPr>
                            </w:pPr>
                            <w:r>
                              <w:rPr>
                                <w:rFonts w:cstheme="minorHAnsi"/>
                                <w:b/>
                                <w:bCs/>
                                <w:sz w:val="18"/>
                                <w:szCs w:val="18"/>
                              </w:rPr>
                              <w:t>Revisions</w:t>
                            </w:r>
                            <w:r w:rsidR="0024197A" w:rsidRPr="0024197A">
                              <w:rPr>
                                <w:rFonts w:cstheme="minorHAnsi"/>
                                <w:b/>
                                <w:bCs/>
                                <w:sz w:val="18"/>
                                <w:szCs w:val="18"/>
                              </w:rPr>
                              <w:t xml:space="preserve"> for grants administered through the new Grants for Education Management System (GEM$)</w:t>
                            </w:r>
                            <w:r w:rsidR="0024197A" w:rsidRPr="0024197A">
                              <w:rPr>
                                <w:rFonts w:cstheme="minorHAnsi"/>
                                <w:sz w:val="18"/>
                                <w:szCs w:val="18"/>
                              </w:rPr>
                              <w:t>,</w:t>
                            </w:r>
                            <w:r w:rsidR="0024197A" w:rsidRPr="0024197A">
                              <w:rPr>
                                <w:rFonts w:cstheme="minorHAnsi"/>
                                <w:b/>
                                <w:bCs/>
                                <w:sz w:val="18"/>
                                <w:szCs w:val="18"/>
                              </w:rPr>
                              <w:t xml:space="preserve"> </w:t>
                            </w:r>
                            <w:r w:rsidR="0024197A" w:rsidRPr="0024197A">
                              <w:rPr>
                                <w:rFonts w:cstheme="minorHAnsi"/>
                                <w:sz w:val="18"/>
                                <w:szCs w:val="18"/>
                              </w:rPr>
                              <w:t>i.e., FY2</w:t>
                            </w:r>
                            <w:r>
                              <w:rPr>
                                <w:rFonts w:cstheme="minorHAnsi"/>
                                <w:sz w:val="18"/>
                                <w:szCs w:val="18"/>
                              </w:rPr>
                              <w:t>4</w:t>
                            </w:r>
                            <w:r w:rsidR="0024197A" w:rsidRPr="0024197A">
                              <w:rPr>
                                <w:rFonts w:cstheme="minorHAnsi"/>
                                <w:sz w:val="18"/>
                                <w:szCs w:val="18"/>
                              </w:rPr>
                              <w:t xml:space="preserve"> FC </w:t>
                            </w:r>
                            <w:r>
                              <w:rPr>
                                <w:rFonts w:cstheme="minorHAnsi"/>
                                <w:sz w:val="18"/>
                                <w:szCs w:val="18"/>
                              </w:rPr>
                              <w:t>0</w:t>
                            </w:r>
                            <w:r w:rsidR="006D5DA1">
                              <w:rPr>
                                <w:rFonts w:cstheme="minorHAnsi"/>
                                <w:sz w:val="18"/>
                                <w:szCs w:val="18"/>
                              </w:rPr>
                              <w:t>401</w:t>
                            </w:r>
                            <w:r w:rsidR="0024197A" w:rsidRPr="0024197A">
                              <w:rPr>
                                <w:rFonts w:cstheme="minorHAnsi"/>
                                <w:sz w:val="18"/>
                                <w:szCs w:val="18"/>
                              </w:rPr>
                              <w:t xml:space="preserve">, </w:t>
                            </w:r>
                            <w:r w:rsidR="006D5DA1">
                              <w:rPr>
                                <w:rFonts w:cstheme="minorHAnsi"/>
                                <w:sz w:val="18"/>
                                <w:szCs w:val="18"/>
                              </w:rPr>
                              <w:t>will</w:t>
                            </w:r>
                            <w:r w:rsidR="0024197A" w:rsidRPr="0024197A">
                              <w:rPr>
                                <w:rFonts w:cstheme="minorHAnsi"/>
                                <w:sz w:val="18"/>
                                <w:szCs w:val="18"/>
                              </w:rPr>
                              <w:t xml:space="preserve"> be processed in GEM$.</w:t>
                            </w:r>
                          </w:p>
                          <w:p w14:paraId="049290C0" w14:textId="2F5658D4" w:rsidR="00DF4F96" w:rsidRPr="00596C87" w:rsidRDefault="00DF4F96" w:rsidP="0085137F">
                            <w:pPr>
                              <w:pStyle w:val="ListParagraph"/>
                              <w:spacing w:after="0" w:line="240" w:lineRule="auto"/>
                              <w:ind w:left="27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6961" id="Text Box 17" o:spid="_x0000_s1028" type="#_x0000_t202" alt="&quot;&quot;" style="position:absolute;margin-left:3.75pt;margin-top:11.3pt;width:537.85pt;height:69.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" strokecolor="#365f91 [2404]" strokeweight=".25pt">
                <v:shadow on="t" color="black" opacity="26214f" origin="-.5,-.5" offset=".74836mm,.74836mm"/>
                <v:textbox>
                  <w:txbxContent>
                    <w:p w14:paraId="4DBA08A8" w14:textId="0EFBDA65" w:rsidR="00DF4F96" w:rsidRPr="001E2AEA" w:rsidRDefault="008A6343" w:rsidP="00596C87">
                      <w:pPr>
                        <w:spacing w:after="0"/>
                        <w:rPr>
                          <w:b/>
                          <w:color w:val="1F497D" w:themeColor="text2"/>
                          <w:szCs w:val="24"/>
                        </w:rPr>
                      </w:pPr>
                      <w:r>
                        <w:rPr>
                          <w:b/>
                          <w:color w:val="1F497D" w:themeColor="text2"/>
                          <w:szCs w:val="24"/>
                        </w:rPr>
                        <w:t>Revisions</w:t>
                      </w:r>
                    </w:p>
                    <w:p w14:paraId="0BB3E0F6" w14:textId="77777777" w:rsidR="0024197A" w:rsidRPr="0024197A" w:rsidRDefault="0024197A" w:rsidP="0024197A">
                      <w:pPr>
                        <w:pStyle w:val="ListParagraph"/>
                        <w:numPr>
                          <w:ilvl w:val="0"/>
                          <w:numId w:val="42"/>
                        </w:numPr>
                        <w:spacing w:after="0" w:line="240" w:lineRule="auto"/>
                        <w:ind w:left="270" w:right="35" w:hanging="270"/>
                        <w:rPr>
                          <w:rFonts w:cstheme="minorHAnsi"/>
                          <w:b/>
                          <w:bCs/>
                          <w:sz w:val="18"/>
                          <w:szCs w:val="18"/>
                        </w:rPr>
                      </w:pPr>
                      <w:r w:rsidRPr="0024197A">
                        <w:rPr>
                          <w:rFonts w:cstheme="minorHAnsi"/>
                          <w:sz w:val="18"/>
                          <w:szCs w:val="18"/>
                        </w:rPr>
                        <w:t>Required when there is any significant change in program objectives; any increase or decrease in the total amount of the grant; an increase in a line of the budget that exceeds $100 or 10% of the line (whichever is greater</w:t>
                      </w:r>
                      <w:proofErr w:type="gramStart"/>
                      <w:r w:rsidRPr="0024197A">
                        <w:rPr>
                          <w:rFonts w:cstheme="minorHAnsi"/>
                          <w:sz w:val="18"/>
                          <w:szCs w:val="18"/>
                        </w:rPr>
                        <w:t>), or</w:t>
                      </w:r>
                      <w:proofErr w:type="gramEnd"/>
                      <w:r w:rsidRPr="0024197A">
                        <w:rPr>
                          <w:rFonts w:cstheme="minorHAnsi"/>
                          <w:sz w:val="18"/>
                          <w:szCs w:val="18"/>
                        </w:rPr>
                        <w:t xml:space="preserve"> exceeds $10,000.</w:t>
                      </w:r>
                    </w:p>
                    <w:p w14:paraId="72C7D00B" w14:textId="6F194CDE" w:rsidR="0024197A" w:rsidRPr="0024197A" w:rsidRDefault="008A6343" w:rsidP="0024197A">
                      <w:pPr>
                        <w:pStyle w:val="ListParagraph"/>
                        <w:numPr>
                          <w:ilvl w:val="0"/>
                          <w:numId w:val="42"/>
                        </w:numPr>
                        <w:spacing w:after="0" w:line="240" w:lineRule="auto"/>
                        <w:ind w:left="270" w:right="35" w:hanging="270"/>
                        <w:rPr>
                          <w:rFonts w:cstheme="minorHAnsi"/>
                          <w:b/>
                          <w:bCs/>
                          <w:sz w:val="18"/>
                          <w:szCs w:val="18"/>
                        </w:rPr>
                      </w:pPr>
                      <w:r>
                        <w:rPr>
                          <w:rFonts w:cstheme="minorHAnsi"/>
                          <w:b/>
                          <w:bCs/>
                          <w:sz w:val="18"/>
                          <w:szCs w:val="18"/>
                        </w:rPr>
                        <w:t>Revisions</w:t>
                      </w:r>
                      <w:r w:rsidR="0024197A" w:rsidRPr="0024197A">
                        <w:rPr>
                          <w:rFonts w:cstheme="minorHAnsi"/>
                          <w:b/>
                          <w:bCs/>
                          <w:sz w:val="18"/>
                          <w:szCs w:val="18"/>
                        </w:rPr>
                        <w:t xml:space="preserve"> for grants administered through the new Grants for Education Management System (GEM$)</w:t>
                      </w:r>
                      <w:r w:rsidR="0024197A" w:rsidRPr="0024197A">
                        <w:rPr>
                          <w:rFonts w:cstheme="minorHAnsi"/>
                          <w:sz w:val="18"/>
                          <w:szCs w:val="18"/>
                        </w:rPr>
                        <w:t>,</w:t>
                      </w:r>
                      <w:r w:rsidR="0024197A" w:rsidRPr="0024197A">
                        <w:rPr>
                          <w:rFonts w:cstheme="minorHAnsi"/>
                          <w:b/>
                          <w:bCs/>
                          <w:sz w:val="18"/>
                          <w:szCs w:val="18"/>
                        </w:rPr>
                        <w:t xml:space="preserve"> </w:t>
                      </w:r>
                      <w:r w:rsidR="0024197A" w:rsidRPr="0024197A">
                        <w:rPr>
                          <w:rFonts w:cstheme="minorHAnsi"/>
                          <w:sz w:val="18"/>
                          <w:szCs w:val="18"/>
                        </w:rPr>
                        <w:t>i.e., FY2</w:t>
                      </w:r>
                      <w:r>
                        <w:rPr>
                          <w:rFonts w:cstheme="minorHAnsi"/>
                          <w:sz w:val="18"/>
                          <w:szCs w:val="18"/>
                        </w:rPr>
                        <w:t>4</w:t>
                      </w:r>
                      <w:r w:rsidR="0024197A" w:rsidRPr="0024197A">
                        <w:rPr>
                          <w:rFonts w:cstheme="minorHAnsi"/>
                          <w:sz w:val="18"/>
                          <w:szCs w:val="18"/>
                        </w:rPr>
                        <w:t xml:space="preserve"> FC </w:t>
                      </w:r>
                      <w:r>
                        <w:rPr>
                          <w:rFonts w:cstheme="minorHAnsi"/>
                          <w:sz w:val="18"/>
                          <w:szCs w:val="18"/>
                        </w:rPr>
                        <w:t>0</w:t>
                      </w:r>
                      <w:r w:rsidR="006D5DA1">
                        <w:rPr>
                          <w:rFonts w:cstheme="minorHAnsi"/>
                          <w:sz w:val="18"/>
                          <w:szCs w:val="18"/>
                        </w:rPr>
                        <w:t>401</w:t>
                      </w:r>
                      <w:r w:rsidR="0024197A" w:rsidRPr="0024197A">
                        <w:rPr>
                          <w:rFonts w:cstheme="minorHAnsi"/>
                          <w:sz w:val="18"/>
                          <w:szCs w:val="18"/>
                        </w:rPr>
                        <w:t xml:space="preserve">, </w:t>
                      </w:r>
                      <w:r w:rsidR="006D5DA1">
                        <w:rPr>
                          <w:rFonts w:cstheme="minorHAnsi"/>
                          <w:sz w:val="18"/>
                          <w:szCs w:val="18"/>
                        </w:rPr>
                        <w:t>will</w:t>
                      </w:r>
                      <w:r w:rsidR="0024197A" w:rsidRPr="0024197A">
                        <w:rPr>
                          <w:rFonts w:cstheme="minorHAnsi"/>
                          <w:sz w:val="18"/>
                          <w:szCs w:val="18"/>
                        </w:rPr>
                        <w:t xml:space="preserve"> be processed in GEM$.</w:t>
                      </w:r>
                    </w:p>
                    <w:p w14:paraId="049290C0" w14:textId="2F5658D4" w:rsidR="00DF4F96" w:rsidRPr="00596C87" w:rsidRDefault="00DF4F96" w:rsidP="0085137F">
                      <w:pPr>
                        <w:pStyle w:val="ListParagraph"/>
                        <w:spacing w:after="0" w:line="240" w:lineRule="auto"/>
                        <w:ind w:left="270"/>
                        <w:rPr>
                          <w:sz w:val="20"/>
                        </w:rPr>
                      </w:pPr>
                    </w:p>
                  </w:txbxContent>
                </v:textbox>
                <w10:wrap anchorx="margin"/>
              </v:shape>
            </w:pict>
          </mc:Fallback>
        </mc:AlternateContent>
      </w:r>
    </w:p>
    <w:p w14:paraId="37BA0551" w14:textId="47D6394C" w:rsidR="00CF5E4A" w:rsidRPr="00CF5E4A" w:rsidRDefault="00CF5E4A" w:rsidP="00CF5E4A">
      <w:pPr>
        <w:rPr>
          <w:sz w:val="8"/>
          <w:szCs w:val="8"/>
        </w:rPr>
      </w:pPr>
    </w:p>
    <w:p w14:paraId="7966C4A8" w14:textId="543C20C8" w:rsidR="00CF5E4A" w:rsidRPr="00CF5E4A" w:rsidRDefault="00CF5E4A" w:rsidP="00CF5E4A">
      <w:pPr>
        <w:rPr>
          <w:sz w:val="8"/>
          <w:szCs w:val="8"/>
        </w:rPr>
      </w:pPr>
    </w:p>
    <w:p w14:paraId="29365475" w14:textId="5352A615" w:rsidR="00CF5E4A" w:rsidRPr="00CF5E4A" w:rsidRDefault="00CF5E4A" w:rsidP="00CF5E4A">
      <w:pPr>
        <w:tabs>
          <w:tab w:val="left" w:pos="4350"/>
        </w:tabs>
        <w:rPr>
          <w:sz w:val="8"/>
          <w:szCs w:val="8"/>
        </w:rPr>
      </w:pPr>
    </w:p>
    <w:sectPr w:rsidR="00CF5E4A" w:rsidRPr="00CF5E4A" w:rsidSect="006E277C">
      <w:headerReference w:type="default" r:id="rId16"/>
      <w:footerReference w:type="default" r:id="rId17"/>
      <w:footerReference w:type="first" r:id="rId18"/>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245C4" w14:textId="77777777" w:rsidR="002B7B32" w:rsidRDefault="002B7B32" w:rsidP="002123C2">
      <w:pPr>
        <w:spacing w:after="0" w:line="240" w:lineRule="auto"/>
      </w:pPr>
      <w:r>
        <w:separator/>
      </w:r>
    </w:p>
  </w:endnote>
  <w:endnote w:type="continuationSeparator" w:id="0">
    <w:p w14:paraId="745E0CFE" w14:textId="77777777" w:rsidR="002B7B32" w:rsidRDefault="002B7B32" w:rsidP="002123C2">
      <w:pPr>
        <w:spacing w:after="0" w:line="240" w:lineRule="auto"/>
      </w:pPr>
      <w:r>
        <w:continuationSeparator/>
      </w:r>
    </w:p>
  </w:endnote>
  <w:endnote w:type="continuationNotice" w:id="1">
    <w:p w14:paraId="4EA5F9C3" w14:textId="77777777" w:rsidR="002B7B32" w:rsidRDefault="002B7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634E" w14:textId="1FDDA759" w:rsidR="00DF4F96" w:rsidRDefault="0040634D" w:rsidP="0040634D">
    <w:pPr>
      <w:tabs>
        <w:tab w:val="left" w:pos="4260"/>
      </w:tabs>
      <w:spacing w:before="60" w:after="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4499" w14:textId="0EC0A0F5" w:rsidR="001E2AEA" w:rsidRDefault="001E2AEA" w:rsidP="001E2AEA">
    <w:pPr>
      <w:pStyle w:val="Footer"/>
      <w:rPr>
        <w:sz w:val="20"/>
        <w:szCs w:val="20"/>
      </w:rPr>
    </w:pPr>
    <w:r w:rsidRPr="00A02804">
      <w:rPr>
        <w:sz w:val="20"/>
        <w:szCs w:val="20"/>
      </w:rPr>
      <w:t>Updat</w:t>
    </w:r>
    <w:r>
      <w:rPr>
        <w:sz w:val="20"/>
        <w:szCs w:val="20"/>
      </w:rPr>
      <w:t xml:space="preserve">ed </w:t>
    </w:r>
    <w:r w:rsidR="008A6343">
      <w:rPr>
        <w:sz w:val="20"/>
        <w:szCs w:val="20"/>
      </w:rPr>
      <w:t>April 2024</w:t>
    </w:r>
  </w:p>
  <w:p w14:paraId="6AF258E0" w14:textId="77777777" w:rsidR="001E2AEA" w:rsidRPr="001E2AEA" w:rsidRDefault="001E2AEA" w:rsidP="001E2AEA">
    <w:pPr>
      <w:pStyle w:val="Footer"/>
      <w:rPr>
        <w:sz w:val="18"/>
        <w:szCs w:val="18"/>
      </w:rPr>
    </w:pPr>
    <w:r w:rsidRPr="001E2AEA">
      <w:rPr>
        <w:rFonts w:cstheme="minorHAnsi"/>
        <w:i/>
        <w:iCs/>
        <w:sz w:val="16"/>
        <w:szCs w:val="16"/>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30A35D12" w14:textId="77777777" w:rsidR="001E2AEA" w:rsidRDefault="001E2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4691" w14:textId="77777777" w:rsidR="002B7B32" w:rsidRDefault="002B7B32" w:rsidP="002123C2">
      <w:pPr>
        <w:spacing w:after="0" w:line="240" w:lineRule="auto"/>
      </w:pPr>
      <w:r>
        <w:separator/>
      </w:r>
    </w:p>
  </w:footnote>
  <w:footnote w:type="continuationSeparator" w:id="0">
    <w:p w14:paraId="62EB00A1" w14:textId="77777777" w:rsidR="002B7B32" w:rsidRDefault="002B7B32" w:rsidP="002123C2">
      <w:pPr>
        <w:spacing w:after="0" w:line="240" w:lineRule="auto"/>
      </w:pPr>
      <w:r>
        <w:continuationSeparator/>
      </w:r>
    </w:p>
  </w:footnote>
  <w:footnote w:type="continuationNotice" w:id="1">
    <w:p w14:paraId="2049619E" w14:textId="77777777" w:rsidR="002B7B32" w:rsidRDefault="002B7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1A80"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A41B2"/>
    <w:multiLevelType w:val="hybridMultilevel"/>
    <w:tmpl w:val="0D8CF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005AF"/>
    <w:multiLevelType w:val="hybridMultilevel"/>
    <w:tmpl w:val="7474F726"/>
    <w:lvl w:ilvl="0" w:tplc="F0A47526">
      <w:start w:val="1"/>
      <w:numFmt w:val="bullet"/>
      <w:lvlText w:val=""/>
      <w:lvlJc w:val="left"/>
      <w:pPr>
        <w:ind w:left="360" w:hanging="360"/>
      </w:pPr>
      <w:rPr>
        <w:rFonts w:ascii="Symbol" w:hAnsi="Symbol" w:hint="default"/>
      </w:rPr>
    </w:lvl>
    <w:lvl w:ilvl="1" w:tplc="93A00C00">
      <w:start w:val="1"/>
      <w:numFmt w:val="bullet"/>
      <w:lvlText w:val="o"/>
      <w:lvlJc w:val="left"/>
      <w:pPr>
        <w:ind w:left="1080" w:hanging="360"/>
      </w:pPr>
      <w:rPr>
        <w:rFonts w:ascii="Courier New" w:hAnsi="Courier New" w:hint="default"/>
      </w:rPr>
    </w:lvl>
    <w:lvl w:ilvl="2" w:tplc="A4C82B84">
      <w:start w:val="1"/>
      <w:numFmt w:val="bullet"/>
      <w:lvlText w:val=""/>
      <w:lvlJc w:val="left"/>
      <w:pPr>
        <w:ind w:left="1800" w:hanging="360"/>
      </w:pPr>
      <w:rPr>
        <w:rFonts w:ascii="Wingdings" w:hAnsi="Wingdings" w:hint="default"/>
      </w:rPr>
    </w:lvl>
    <w:lvl w:ilvl="3" w:tplc="F5623D5C">
      <w:start w:val="1"/>
      <w:numFmt w:val="bullet"/>
      <w:lvlText w:val=""/>
      <w:lvlJc w:val="left"/>
      <w:pPr>
        <w:ind w:left="2520" w:hanging="360"/>
      </w:pPr>
      <w:rPr>
        <w:rFonts w:ascii="Symbol" w:hAnsi="Symbol" w:hint="default"/>
      </w:rPr>
    </w:lvl>
    <w:lvl w:ilvl="4" w:tplc="79DEC962">
      <w:start w:val="1"/>
      <w:numFmt w:val="bullet"/>
      <w:lvlText w:val="o"/>
      <w:lvlJc w:val="left"/>
      <w:pPr>
        <w:ind w:left="3240" w:hanging="360"/>
      </w:pPr>
      <w:rPr>
        <w:rFonts w:ascii="Courier New" w:hAnsi="Courier New" w:hint="default"/>
      </w:rPr>
    </w:lvl>
    <w:lvl w:ilvl="5" w:tplc="6052BF9A">
      <w:start w:val="1"/>
      <w:numFmt w:val="bullet"/>
      <w:lvlText w:val=""/>
      <w:lvlJc w:val="left"/>
      <w:pPr>
        <w:ind w:left="3960" w:hanging="360"/>
      </w:pPr>
      <w:rPr>
        <w:rFonts w:ascii="Wingdings" w:hAnsi="Wingdings" w:hint="default"/>
      </w:rPr>
    </w:lvl>
    <w:lvl w:ilvl="6" w:tplc="14A2E676">
      <w:start w:val="1"/>
      <w:numFmt w:val="bullet"/>
      <w:lvlText w:val=""/>
      <w:lvlJc w:val="left"/>
      <w:pPr>
        <w:ind w:left="4680" w:hanging="360"/>
      </w:pPr>
      <w:rPr>
        <w:rFonts w:ascii="Symbol" w:hAnsi="Symbol" w:hint="default"/>
      </w:rPr>
    </w:lvl>
    <w:lvl w:ilvl="7" w:tplc="D67A88D0">
      <w:start w:val="1"/>
      <w:numFmt w:val="bullet"/>
      <w:lvlText w:val="o"/>
      <w:lvlJc w:val="left"/>
      <w:pPr>
        <w:ind w:left="5400" w:hanging="360"/>
      </w:pPr>
      <w:rPr>
        <w:rFonts w:ascii="Courier New" w:hAnsi="Courier New" w:hint="default"/>
      </w:rPr>
    </w:lvl>
    <w:lvl w:ilvl="8" w:tplc="214CC578">
      <w:start w:val="1"/>
      <w:numFmt w:val="bullet"/>
      <w:lvlText w:val=""/>
      <w:lvlJc w:val="left"/>
      <w:pPr>
        <w:ind w:left="6120" w:hanging="360"/>
      </w:pPr>
      <w:rPr>
        <w:rFonts w:ascii="Wingdings" w:hAnsi="Wingdings" w:hint="default"/>
      </w:rPr>
    </w:lvl>
  </w:abstractNum>
  <w:abstractNum w:abstractNumId="9"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A0940"/>
    <w:multiLevelType w:val="hybridMultilevel"/>
    <w:tmpl w:val="4B8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94DB9"/>
    <w:multiLevelType w:val="hybridMultilevel"/>
    <w:tmpl w:val="A760A26C"/>
    <w:lvl w:ilvl="0" w:tplc="04090001">
      <w:start w:val="1"/>
      <w:numFmt w:val="bullet"/>
      <w:lvlText w:val=""/>
      <w:lvlJc w:val="left"/>
      <w:pPr>
        <w:ind w:left="720" w:hanging="360"/>
      </w:pPr>
      <w:rPr>
        <w:rFonts w:ascii="Symbol" w:hAnsi="Symbol" w:hint="default"/>
      </w:rPr>
    </w:lvl>
    <w:lvl w:ilvl="1" w:tplc="B5FE54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E5735"/>
    <w:multiLevelType w:val="hybridMultilevel"/>
    <w:tmpl w:val="40D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7229A0"/>
    <w:multiLevelType w:val="hybridMultilevel"/>
    <w:tmpl w:val="1034D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417D3"/>
    <w:multiLevelType w:val="hybridMultilevel"/>
    <w:tmpl w:val="7D52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2118C"/>
    <w:multiLevelType w:val="hybridMultilevel"/>
    <w:tmpl w:val="AA3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B42296"/>
    <w:multiLevelType w:val="hybridMultilevel"/>
    <w:tmpl w:val="325EB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882BA6"/>
    <w:multiLevelType w:val="hybridMultilevel"/>
    <w:tmpl w:val="748C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919D6"/>
    <w:multiLevelType w:val="hybridMultilevel"/>
    <w:tmpl w:val="D366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14874"/>
    <w:multiLevelType w:val="hybridMultilevel"/>
    <w:tmpl w:val="06CE4A3C"/>
    <w:lvl w:ilvl="0" w:tplc="48C874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706158">
    <w:abstractNumId w:val="25"/>
  </w:num>
  <w:num w:numId="2" w16cid:durableId="2017491024">
    <w:abstractNumId w:val="10"/>
  </w:num>
  <w:num w:numId="3" w16cid:durableId="1924487459">
    <w:abstractNumId w:val="9"/>
  </w:num>
  <w:num w:numId="4" w16cid:durableId="1296176894">
    <w:abstractNumId w:val="24"/>
  </w:num>
  <w:num w:numId="5" w16cid:durableId="618220294">
    <w:abstractNumId w:val="12"/>
  </w:num>
  <w:num w:numId="6" w16cid:durableId="338046594">
    <w:abstractNumId w:val="19"/>
  </w:num>
  <w:num w:numId="7" w16cid:durableId="605161140">
    <w:abstractNumId w:val="21"/>
  </w:num>
  <w:num w:numId="8" w16cid:durableId="168839089">
    <w:abstractNumId w:val="20"/>
  </w:num>
  <w:num w:numId="9" w16cid:durableId="558127034">
    <w:abstractNumId w:val="11"/>
  </w:num>
  <w:num w:numId="10" w16cid:durableId="1111627679">
    <w:abstractNumId w:val="26"/>
  </w:num>
  <w:num w:numId="11" w16cid:durableId="367336717">
    <w:abstractNumId w:val="27"/>
  </w:num>
  <w:num w:numId="12" w16cid:durableId="1015809589">
    <w:abstractNumId w:val="35"/>
  </w:num>
  <w:num w:numId="13" w16cid:durableId="1656645597">
    <w:abstractNumId w:val="2"/>
  </w:num>
  <w:num w:numId="14" w16cid:durableId="1597597552">
    <w:abstractNumId w:val="6"/>
  </w:num>
  <w:num w:numId="15" w16cid:durableId="1102191882">
    <w:abstractNumId w:val="40"/>
  </w:num>
  <w:num w:numId="16" w16cid:durableId="2133622152">
    <w:abstractNumId w:val="37"/>
  </w:num>
  <w:num w:numId="17" w16cid:durableId="227496466">
    <w:abstractNumId w:val="13"/>
  </w:num>
  <w:num w:numId="18" w16cid:durableId="256714737">
    <w:abstractNumId w:val="34"/>
  </w:num>
  <w:num w:numId="19" w16cid:durableId="1109197554">
    <w:abstractNumId w:val="22"/>
  </w:num>
  <w:num w:numId="20" w16cid:durableId="1044865135">
    <w:abstractNumId w:val="17"/>
  </w:num>
  <w:num w:numId="21" w16cid:durableId="1918976311">
    <w:abstractNumId w:val="1"/>
  </w:num>
  <w:num w:numId="22" w16cid:durableId="445543210">
    <w:abstractNumId w:val="32"/>
  </w:num>
  <w:num w:numId="23" w16cid:durableId="1472209054">
    <w:abstractNumId w:val="38"/>
  </w:num>
  <w:num w:numId="24" w16cid:durableId="1383553301">
    <w:abstractNumId w:val="16"/>
  </w:num>
  <w:num w:numId="25" w16cid:durableId="633602620">
    <w:abstractNumId w:val="4"/>
  </w:num>
  <w:num w:numId="26" w16cid:durableId="94600817">
    <w:abstractNumId w:val="29"/>
  </w:num>
  <w:num w:numId="27" w16cid:durableId="448084522">
    <w:abstractNumId w:val="0"/>
  </w:num>
  <w:num w:numId="28" w16cid:durableId="986251746">
    <w:abstractNumId w:val="3"/>
  </w:num>
  <w:num w:numId="29" w16cid:durableId="1793355871">
    <w:abstractNumId w:val="14"/>
  </w:num>
  <w:num w:numId="30" w16cid:durableId="2128229412">
    <w:abstractNumId w:val="5"/>
  </w:num>
  <w:num w:numId="31" w16cid:durableId="1067651805">
    <w:abstractNumId w:val="23"/>
  </w:num>
  <w:num w:numId="32" w16cid:durableId="1597178754">
    <w:abstractNumId w:val="31"/>
  </w:num>
  <w:num w:numId="33" w16cid:durableId="251202839">
    <w:abstractNumId w:val="15"/>
  </w:num>
  <w:num w:numId="34" w16cid:durableId="2053000640">
    <w:abstractNumId w:val="36"/>
  </w:num>
  <w:num w:numId="35" w16cid:durableId="1737975066">
    <w:abstractNumId w:val="18"/>
  </w:num>
  <w:num w:numId="36" w16cid:durableId="1746344408">
    <w:abstractNumId w:val="28"/>
  </w:num>
  <w:num w:numId="37" w16cid:durableId="1492477887">
    <w:abstractNumId w:val="30"/>
  </w:num>
  <w:num w:numId="38" w16cid:durableId="1904944607">
    <w:abstractNumId w:val="33"/>
  </w:num>
  <w:num w:numId="39" w16cid:durableId="355158783">
    <w:abstractNumId w:val="39"/>
  </w:num>
  <w:num w:numId="40" w16cid:durableId="706368537">
    <w:abstractNumId w:val="7"/>
  </w:num>
  <w:num w:numId="41" w16cid:durableId="221412181">
    <w:abstractNumId w:val="8"/>
  </w:num>
  <w:num w:numId="42" w16cid:durableId="1232429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25F3"/>
    <w:rsid w:val="0002190C"/>
    <w:rsid w:val="00032390"/>
    <w:rsid w:val="00043D42"/>
    <w:rsid w:val="00044154"/>
    <w:rsid w:val="0004546F"/>
    <w:rsid w:val="00052455"/>
    <w:rsid w:val="00054C3D"/>
    <w:rsid w:val="00056E07"/>
    <w:rsid w:val="00056FFB"/>
    <w:rsid w:val="0007070A"/>
    <w:rsid w:val="00073356"/>
    <w:rsid w:val="00076146"/>
    <w:rsid w:val="0007624F"/>
    <w:rsid w:val="0007729A"/>
    <w:rsid w:val="000808F3"/>
    <w:rsid w:val="0008207E"/>
    <w:rsid w:val="00084041"/>
    <w:rsid w:val="00086F4E"/>
    <w:rsid w:val="0009055F"/>
    <w:rsid w:val="00096C36"/>
    <w:rsid w:val="000A1148"/>
    <w:rsid w:val="000A59BE"/>
    <w:rsid w:val="000A5D6C"/>
    <w:rsid w:val="000A6682"/>
    <w:rsid w:val="000A6A4C"/>
    <w:rsid w:val="000A74D7"/>
    <w:rsid w:val="000C2E1B"/>
    <w:rsid w:val="000D13F0"/>
    <w:rsid w:val="000D1DAA"/>
    <w:rsid w:val="000D3FCB"/>
    <w:rsid w:val="000D4A11"/>
    <w:rsid w:val="000D4A78"/>
    <w:rsid w:val="000F210C"/>
    <w:rsid w:val="000F6D88"/>
    <w:rsid w:val="00103171"/>
    <w:rsid w:val="00111FAA"/>
    <w:rsid w:val="0012247C"/>
    <w:rsid w:val="001257AF"/>
    <w:rsid w:val="001424A9"/>
    <w:rsid w:val="00142DB2"/>
    <w:rsid w:val="00144928"/>
    <w:rsid w:val="001513A6"/>
    <w:rsid w:val="001564EB"/>
    <w:rsid w:val="001574D3"/>
    <w:rsid w:val="001603B5"/>
    <w:rsid w:val="00161728"/>
    <w:rsid w:val="00162813"/>
    <w:rsid w:val="00166240"/>
    <w:rsid w:val="00174313"/>
    <w:rsid w:val="00174E70"/>
    <w:rsid w:val="001750EA"/>
    <w:rsid w:val="00175467"/>
    <w:rsid w:val="0017769A"/>
    <w:rsid w:val="00180AA0"/>
    <w:rsid w:val="00181BD6"/>
    <w:rsid w:val="001860A8"/>
    <w:rsid w:val="00186E2D"/>
    <w:rsid w:val="001A2855"/>
    <w:rsid w:val="001A5C00"/>
    <w:rsid w:val="001A5D09"/>
    <w:rsid w:val="001B111D"/>
    <w:rsid w:val="001B55D7"/>
    <w:rsid w:val="001C1094"/>
    <w:rsid w:val="001C5770"/>
    <w:rsid w:val="001E2AEA"/>
    <w:rsid w:val="001E3706"/>
    <w:rsid w:val="001E3D99"/>
    <w:rsid w:val="001E4A3B"/>
    <w:rsid w:val="001E639B"/>
    <w:rsid w:val="001E7E32"/>
    <w:rsid w:val="001F0C9A"/>
    <w:rsid w:val="001F3EC7"/>
    <w:rsid w:val="001F6CD2"/>
    <w:rsid w:val="00200FAC"/>
    <w:rsid w:val="0020151F"/>
    <w:rsid w:val="00202B15"/>
    <w:rsid w:val="00205019"/>
    <w:rsid w:val="0020643D"/>
    <w:rsid w:val="002123C2"/>
    <w:rsid w:val="002251D1"/>
    <w:rsid w:val="002259FC"/>
    <w:rsid w:val="00231D56"/>
    <w:rsid w:val="00231DDF"/>
    <w:rsid w:val="0024197A"/>
    <w:rsid w:val="002433E6"/>
    <w:rsid w:val="0024610A"/>
    <w:rsid w:val="00247627"/>
    <w:rsid w:val="002636CA"/>
    <w:rsid w:val="00267B36"/>
    <w:rsid w:val="00270A58"/>
    <w:rsid w:val="00271597"/>
    <w:rsid w:val="00273CAD"/>
    <w:rsid w:val="0028324E"/>
    <w:rsid w:val="00294558"/>
    <w:rsid w:val="00294BC2"/>
    <w:rsid w:val="00297D3B"/>
    <w:rsid w:val="002A0ACD"/>
    <w:rsid w:val="002A0D06"/>
    <w:rsid w:val="002B7B32"/>
    <w:rsid w:val="002C03DD"/>
    <w:rsid w:val="002C6066"/>
    <w:rsid w:val="002D39D2"/>
    <w:rsid w:val="002D3A79"/>
    <w:rsid w:val="002D3C40"/>
    <w:rsid w:val="002E041D"/>
    <w:rsid w:val="002E075C"/>
    <w:rsid w:val="002E11CC"/>
    <w:rsid w:val="002E6BD1"/>
    <w:rsid w:val="002E6CE8"/>
    <w:rsid w:val="002F2AC5"/>
    <w:rsid w:val="00301353"/>
    <w:rsid w:val="00303678"/>
    <w:rsid w:val="00304970"/>
    <w:rsid w:val="003049E7"/>
    <w:rsid w:val="003102F2"/>
    <w:rsid w:val="003135AE"/>
    <w:rsid w:val="003178E1"/>
    <w:rsid w:val="003250D3"/>
    <w:rsid w:val="00327D1C"/>
    <w:rsid w:val="0033200D"/>
    <w:rsid w:val="00333555"/>
    <w:rsid w:val="0034241C"/>
    <w:rsid w:val="00342FD0"/>
    <w:rsid w:val="003461A7"/>
    <w:rsid w:val="003511BC"/>
    <w:rsid w:val="00356B3D"/>
    <w:rsid w:val="0036578E"/>
    <w:rsid w:val="00365C2F"/>
    <w:rsid w:val="003660A3"/>
    <w:rsid w:val="00373898"/>
    <w:rsid w:val="00382625"/>
    <w:rsid w:val="00397260"/>
    <w:rsid w:val="00397946"/>
    <w:rsid w:val="003A2FAF"/>
    <w:rsid w:val="003A4FB0"/>
    <w:rsid w:val="003A6BCA"/>
    <w:rsid w:val="003A7938"/>
    <w:rsid w:val="003B2F2B"/>
    <w:rsid w:val="003B6176"/>
    <w:rsid w:val="003C3BEA"/>
    <w:rsid w:val="003D31F2"/>
    <w:rsid w:val="003D7E7E"/>
    <w:rsid w:val="003E6DB7"/>
    <w:rsid w:val="003F5B64"/>
    <w:rsid w:val="003F66FA"/>
    <w:rsid w:val="004019BB"/>
    <w:rsid w:val="0040634D"/>
    <w:rsid w:val="004075DC"/>
    <w:rsid w:val="00407BE0"/>
    <w:rsid w:val="0041057F"/>
    <w:rsid w:val="00411DA1"/>
    <w:rsid w:val="0042016C"/>
    <w:rsid w:val="0042470F"/>
    <w:rsid w:val="0042798F"/>
    <w:rsid w:val="004305CE"/>
    <w:rsid w:val="004312CF"/>
    <w:rsid w:val="0043728A"/>
    <w:rsid w:val="00451061"/>
    <w:rsid w:val="004530D9"/>
    <w:rsid w:val="00453C71"/>
    <w:rsid w:val="00454167"/>
    <w:rsid w:val="004662EA"/>
    <w:rsid w:val="004727F3"/>
    <w:rsid w:val="00477D32"/>
    <w:rsid w:val="00482610"/>
    <w:rsid w:val="00485676"/>
    <w:rsid w:val="00491B01"/>
    <w:rsid w:val="00494828"/>
    <w:rsid w:val="00495029"/>
    <w:rsid w:val="004A2B62"/>
    <w:rsid w:val="004A3319"/>
    <w:rsid w:val="004A4AB3"/>
    <w:rsid w:val="004B6498"/>
    <w:rsid w:val="004C6514"/>
    <w:rsid w:val="004C7ED5"/>
    <w:rsid w:val="004D1423"/>
    <w:rsid w:val="004D2DE5"/>
    <w:rsid w:val="004E0E81"/>
    <w:rsid w:val="004E1065"/>
    <w:rsid w:val="004F29A0"/>
    <w:rsid w:val="005019E3"/>
    <w:rsid w:val="00510D00"/>
    <w:rsid w:val="005206E9"/>
    <w:rsid w:val="00522F8C"/>
    <w:rsid w:val="00532791"/>
    <w:rsid w:val="00533551"/>
    <w:rsid w:val="00544235"/>
    <w:rsid w:val="00545BCF"/>
    <w:rsid w:val="00546B72"/>
    <w:rsid w:val="00547FDF"/>
    <w:rsid w:val="00551669"/>
    <w:rsid w:val="00553323"/>
    <w:rsid w:val="00555745"/>
    <w:rsid w:val="00564973"/>
    <w:rsid w:val="00570588"/>
    <w:rsid w:val="00577430"/>
    <w:rsid w:val="005857BC"/>
    <w:rsid w:val="005863A1"/>
    <w:rsid w:val="00592B55"/>
    <w:rsid w:val="00596C87"/>
    <w:rsid w:val="005C23CD"/>
    <w:rsid w:val="005C6C1D"/>
    <w:rsid w:val="005C7CC9"/>
    <w:rsid w:val="005C7D9C"/>
    <w:rsid w:val="005D29B4"/>
    <w:rsid w:val="005D31FE"/>
    <w:rsid w:val="00601532"/>
    <w:rsid w:val="00621434"/>
    <w:rsid w:val="00622F64"/>
    <w:rsid w:val="00623E03"/>
    <w:rsid w:val="00624057"/>
    <w:rsid w:val="00631AA7"/>
    <w:rsid w:val="0063603F"/>
    <w:rsid w:val="00643D1F"/>
    <w:rsid w:val="00666031"/>
    <w:rsid w:val="006819E3"/>
    <w:rsid w:val="0068601C"/>
    <w:rsid w:val="006A67EF"/>
    <w:rsid w:val="006B6D02"/>
    <w:rsid w:val="006C09C0"/>
    <w:rsid w:val="006D5DA1"/>
    <w:rsid w:val="006E13B5"/>
    <w:rsid w:val="006E277C"/>
    <w:rsid w:val="006E781A"/>
    <w:rsid w:val="006F2BB5"/>
    <w:rsid w:val="007025F1"/>
    <w:rsid w:val="00704FE4"/>
    <w:rsid w:val="007131B9"/>
    <w:rsid w:val="007303A2"/>
    <w:rsid w:val="00731A74"/>
    <w:rsid w:val="00733320"/>
    <w:rsid w:val="007338F6"/>
    <w:rsid w:val="00735A72"/>
    <w:rsid w:val="00743F65"/>
    <w:rsid w:val="00744CE8"/>
    <w:rsid w:val="007470EB"/>
    <w:rsid w:val="00747AF9"/>
    <w:rsid w:val="007575AB"/>
    <w:rsid w:val="0076431E"/>
    <w:rsid w:val="0076693A"/>
    <w:rsid w:val="007676A4"/>
    <w:rsid w:val="00774943"/>
    <w:rsid w:val="00774EB2"/>
    <w:rsid w:val="00783E7A"/>
    <w:rsid w:val="00784595"/>
    <w:rsid w:val="00787EE2"/>
    <w:rsid w:val="007944D2"/>
    <w:rsid w:val="00797A9A"/>
    <w:rsid w:val="007B2E02"/>
    <w:rsid w:val="007B352E"/>
    <w:rsid w:val="007B48A1"/>
    <w:rsid w:val="007C559C"/>
    <w:rsid w:val="007D4C3A"/>
    <w:rsid w:val="007E1AC6"/>
    <w:rsid w:val="007E638A"/>
    <w:rsid w:val="00801680"/>
    <w:rsid w:val="00806391"/>
    <w:rsid w:val="00811F57"/>
    <w:rsid w:val="008135CE"/>
    <w:rsid w:val="008250B6"/>
    <w:rsid w:val="0083258B"/>
    <w:rsid w:val="00833F0F"/>
    <w:rsid w:val="00836274"/>
    <w:rsid w:val="0084306A"/>
    <w:rsid w:val="00844745"/>
    <w:rsid w:val="00845120"/>
    <w:rsid w:val="0085137F"/>
    <w:rsid w:val="008530BF"/>
    <w:rsid w:val="00853B86"/>
    <w:rsid w:val="00860DF1"/>
    <w:rsid w:val="00870464"/>
    <w:rsid w:val="00871263"/>
    <w:rsid w:val="00873D07"/>
    <w:rsid w:val="0087528C"/>
    <w:rsid w:val="008A197C"/>
    <w:rsid w:val="008A316B"/>
    <w:rsid w:val="008A468A"/>
    <w:rsid w:val="008A4FB9"/>
    <w:rsid w:val="008A6343"/>
    <w:rsid w:val="008B0E17"/>
    <w:rsid w:val="008C0CF9"/>
    <w:rsid w:val="008D1003"/>
    <w:rsid w:val="008D5EF6"/>
    <w:rsid w:val="008D6D24"/>
    <w:rsid w:val="008D7359"/>
    <w:rsid w:val="008E0075"/>
    <w:rsid w:val="00900869"/>
    <w:rsid w:val="00903340"/>
    <w:rsid w:val="00907F9D"/>
    <w:rsid w:val="00910ACA"/>
    <w:rsid w:val="0092051A"/>
    <w:rsid w:val="00926A88"/>
    <w:rsid w:val="0093452A"/>
    <w:rsid w:val="009363EF"/>
    <w:rsid w:val="00936CE2"/>
    <w:rsid w:val="00940535"/>
    <w:rsid w:val="009421C4"/>
    <w:rsid w:val="00947562"/>
    <w:rsid w:val="00965002"/>
    <w:rsid w:val="00966D4C"/>
    <w:rsid w:val="00971A94"/>
    <w:rsid w:val="00972D90"/>
    <w:rsid w:val="0097445C"/>
    <w:rsid w:val="0099059B"/>
    <w:rsid w:val="0099300D"/>
    <w:rsid w:val="00994049"/>
    <w:rsid w:val="0099504F"/>
    <w:rsid w:val="00996EE9"/>
    <w:rsid w:val="009A0CB7"/>
    <w:rsid w:val="009B412E"/>
    <w:rsid w:val="009B741F"/>
    <w:rsid w:val="009D072A"/>
    <w:rsid w:val="009D2D48"/>
    <w:rsid w:val="009D5F80"/>
    <w:rsid w:val="009D7A8A"/>
    <w:rsid w:val="009E493C"/>
    <w:rsid w:val="009E4C8F"/>
    <w:rsid w:val="009F29B9"/>
    <w:rsid w:val="009F4B90"/>
    <w:rsid w:val="009F512A"/>
    <w:rsid w:val="00A02804"/>
    <w:rsid w:val="00A16A10"/>
    <w:rsid w:val="00A17144"/>
    <w:rsid w:val="00A225A7"/>
    <w:rsid w:val="00A2639A"/>
    <w:rsid w:val="00A26FCC"/>
    <w:rsid w:val="00A30D9E"/>
    <w:rsid w:val="00A362B4"/>
    <w:rsid w:val="00A366EB"/>
    <w:rsid w:val="00A36CB8"/>
    <w:rsid w:val="00A4263C"/>
    <w:rsid w:val="00A44FFF"/>
    <w:rsid w:val="00A50D93"/>
    <w:rsid w:val="00A51EDC"/>
    <w:rsid w:val="00A56AFB"/>
    <w:rsid w:val="00A64E07"/>
    <w:rsid w:val="00A759BC"/>
    <w:rsid w:val="00A90A20"/>
    <w:rsid w:val="00A94E43"/>
    <w:rsid w:val="00AB05E3"/>
    <w:rsid w:val="00AB1465"/>
    <w:rsid w:val="00AC17AA"/>
    <w:rsid w:val="00AD1C20"/>
    <w:rsid w:val="00AD5EB7"/>
    <w:rsid w:val="00AF11A7"/>
    <w:rsid w:val="00AF2677"/>
    <w:rsid w:val="00AF429B"/>
    <w:rsid w:val="00B00277"/>
    <w:rsid w:val="00B12A87"/>
    <w:rsid w:val="00B13EB9"/>
    <w:rsid w:val="00B16149"/>
    <w:rsid w:val="00B21926"/>
    <w:rsid w:val="00B230DE"/>
    <w:rsid w:val="00B34B51"/>
    <w:rsid w:val="00B40191"/>
    <w:rsid w:val="00B4519C"/>
    <w:rsid w:val="00B5042F"/>
    <w:rsid w:val="00B5196C"/>
    <w:rsid w:val="00B554F9"/>
    <w:rsid w:val="00B570C5"/>
    <w:rsid w:val="00B71891"/>
    <w:rsid w:val="00B73CEB"/>
    <w:rsid w:val="00B7702D"/>
    <w:rsid w:val="00B77C97"/>
    <w:rsid w:val="00B96B60"/>
    <w:rsid w:val="00BA5EA3"/>
    <w:rsid w:val="00BB2195"/>
    <w:rsid w:val="00BB21A0"/>
    <w:rsid w:val="00BC54D4"/>
    <w:rsid w:val="00BC58CE"/>
    <w:rsid w:val="00BD0357"/>
    <w:rsid w:val="00BD0978"/>
    <w:rsid w:val="00BD11C4"/>
    <w:rsid w:val="00BD1A2F"/>
    <w:rsid w:val="00BD6FD3"/>
    <w:rsid w:val="00BE26C7"/>
    <w:rsid w:val="00BF07D2"/>
    <w:rsid w:val="00BF2AFB"/>
    <w:rsid w:val="00BF4166"/>
    <w:rsid w:val="00C004F4"/>
    <w:rsid w:val="00C02FD1"/>
    <w:rsid w:val="00C11075"/>
    <w:rsid w:val="00C117FB"/>
    <w:rsid w:val="00C2154C"/>
    <w:rsid w:val="00C26AE4"/>
    <w:rsid w:val="00C31011"/>
    <w:rsid w:val="00C364F2"/>
    <w:rsid w:val="00C56E6F"/>
    <w:rsid w:val="00C64A67"/>
    <w:rsid w:val="00C672AE"/>
    <w:rsid w:val="00C80D4D"/>
    <w:rsid w:val="00C80EFD"/>
    <w:rsid w:val="00C83AE6"/>
    <w:rsid w:val="00C85DEB"/>
    <w:rsid w:val="00C91EAE"/>
    <w:rsid w:val="00C944A9"/>
    <w:rsid w:val="00C94931"/>
    <w:rsid w:val="00CA1899"/>
    <w:rsid w:val="00CA3513"/>
    <w:rsid w:val="00CA4D14"/>
    <w:rsid w:val="00CB2B87"/>
    <w:rsid w:val="00CB77C5"/>
    <w:rsid w:val="00CC71BF"/>
    <w:rsid w:val="00CD049D"/>
    <w:rsid w:val="00CD216B"/>
    <w:rsid w:val="00CE405C"/>
    <w:rsid w:val="00CE6144"/>
    <w:rsid w:val="00CF48CE"/>
    <w:rsid w:val="00CF4C60"/>
    <w:rsid w:val="00CF5678"/>
    <w:rsid w:val="00CF5E4A"/>
    <w:rsid w:val="00D0630D"/>
    <w:rsid w:val="00D130A8"/>
    <w:rsid w:val="00D20433"/>
    <w:rsid w:val="00D22302"/>
    <w:rsid w:val="00D279FB"/>
    <w:rsid w:val="00D30875"/>
    <w:rsid w:val="00D44A9D"/>
    <w:rsid w:val="00D462B0"/>
    <w:rsid w:val="00D54287"/>
    <w:rsid w:val="00D659A6"/>
    <w:rsid w:val="00D73ADB"/>
    <w:rsid w:val="00D81055"/>
    <w:rsid w:val="00D86719"/>
    <w:rsid w:val="00D905A0"/>
    <w:rsid w:val="00DA4E55"/>
    <w:rsid w:val="00DA670D"/>
    <w:rsid w:val="00DB4504"/>
    <w:rsid w:val="00DB4B83"/>
    <w:rsid w:val="00DB72D3"/>
    <w:rsid w:val="00DC63F5"/>
    <w:rsid w:val="00DC63FB"/>
    <w:rsid w:val="00DD1CB5"/>
    <w:rsid w:val="00DD5E81"/>
    <w:rsid w:val="00DD7467"/>
    <w:rsid w:val="00DE2279"/>
    <w:rsid w:val="00DE2B12"/>
    <w:rsid w:val="00DE35E2"/>
    <w:rsid w:val="00DF4F96"/>
    <w:rsid w:val="00DF551B"/>
    <w:rsid w:val="00E02476"/>
    <w:rsid w:val="00E10E3C"/>
    <w:rsid w:val="00E250E1"/>
    <w:rsid w:val="00E26698"/>
    <w:rsid w:val="00E35D8B"/>
    <w:rsid w:val="00E4096A"/>
    <w:rsid w:val="00E47503"/>
    <w:rsid w:val="00E656C3"/>
    <w:rsid w:val="00E6581A"/>
    <w:rsid w:val="00E703ED"/>
    <w:rsid w:val="00E70C1D"/>
    <w:rsid w:val="00E7306A"/>
    <w:rsid w:val="00E76259"/>
    <w:rsid w:val="00E768BF"/>
    <w:rsid w:val="00E92DA3"/>
    <w:rsid w:val="00EB3A99"/>
    <w:rsid w:val="00EC25E8"/>
    <w:rsid w:val="00EC2EAA"/>
    <w:rsid w:val="00EC342F"/>
    <w:rsid w:val="00EC7716"/>
    <w:rsid w:val="00EC7F66"/>
    <w:rsid w:val="00ED00FB"/>
    <w:rsid w:val="00ED57EC"/>
    <w:rsid w:val="00EE3C17"/>
    <w:rsid w:val="00EF11BB"/>
    <w:rsid w:val="00EF550F"/>
    <w:rsid w:val="00EF56DE"/>
    <w:rsid w:val="00EF5AA2"/>
    <w:rsid w:val="00F02FD1"/>
    <w:rsid w:val="00F04ACF"/>
    <w:rsid w:val="00F05108"/>
    <w:rsid w:val="00F114D6"/>
    <w:rsid w:val="00F1496E"/>
    <w:rsid w:val="00F16206"/>
    <w:rsid w:val="00F1693C"/>
    <w:rsid w:val="00F2601C"/>
    <w:rsid w:val="00F2754F"/>
    <w:rsid w:val="00F31FB8"/>
    <w:rsid w:val="00F416E7"/>
    <w:rsid w:val="00F44F01"/>
    <w:rsid w:val="00F53E9D"/>
    <w:rsid w:val="00F71E79"/>
    <w:rsid w:val="00F7421B"/>
    <w:rsid w:val="00F77BC0"/>
    <w:rsid w:val="00F804A8"/>
    <w:rsid w:val="00F82D1B"/>
    <w:rsid w:val="00F83C79"/>
    <w:rsid w:val="00F91A82"/>
    <w:rsid w:val="00F95AB8"/>
    <w:rsid w:val="00FA2E43"/>
    <w:rsid w:val="00FA34A8"/>
    <w:rsid w:val="00FB0670"/>
    <w:rsid w:val="00FB0D62"/>
    <w:rsid w:val="00FD2069"/>
    <w:rsid w:val="00FD7E8C"/>
    <w:rsid w:val="00FE7B57"/>
    <w:rsid w:val="00FF7AF9"/>
    <w:rsid w:val="0BDC97BB"/>
    <w:rsid w:val="177987A1"/>
    <w:rsid w:val="18070D11"/>
    <w:rsid w:val="30E3713D"/>
    <w:rsid w:val="34E92F64"/>
    <w:rsid w:val="3E2448CB"/>
    <w:rsid w:val="48091507"/>
    <w:rsid w:val="4A9856E1"/>
    <w:rsid w:val="4BD3616C"/>
    <w:rsid w:val="4D572E2F"/>
    <w:rsid w:val="500AD04D"/>
    <w:rsid w:val="53622DAE"/>
    <w:rsid w:val="57DE22BC"/>
    <w:rsid w:val="5F1998C7"/>
    <w:rsid w:val="678953DF"/>
    <w:rsid w:val="6BB58AB9"/>
    <w:rsid w:val="6EBC23FE"/>
    <w:rsid w:val="6FDC6FC0"/>
    <w:rsid w:val="777F0063"/>
    <w:rsid w:val="782F50D1"/>
    <w:rsid w:val="7D4798EC"/>
    <w:rsid w:val="7F173D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D91E"/>
  <w15:docId w15:val="{DA6C88B1-5863-455C-8CE1-05C9A752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E9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4341">
      <w:bodyDiv w:val="1"/>
      <w:marLeft w:val="0"/>
      <w:marRight w:val="0"/>
      <w:marTop w:val="0"/>
      <w:marBottom w:val="0"/>
      <w:divBdr>
        <w:top w:val="none" w:sz="0" w:space="0" w:color="auto"/>
        <w:left w:val="none" w:sz="0" w:space="0" w:color="auto"/>
        <w:bottom w:val="none" w:sz="0" w:space="0" w:color="auto"/>
        <w:right w:val="none" w:sz="0" w:space="0" w:color="auto"/>
      </w:divBdr>
    </w:div>
    <w:div w:id="268201249">
      <w:bodyDiv w:val="1"/>
      <w:marLeft w:val="0"/>
      <w:marRight w:val="0"/>
      <w:marTop w:val="0"/>
      <w:marBottom w:val="0"/>
      <w:divBdr>
        <w:top w:val="none" w:sz="0" w:space="0" w:color="auto"/>
        <w:left w:val="none" w:sz="0" w:space="0" w:color="auto"/>
        <w:bottom w:val="none" w:sz="0" w:space="0" w:color="auto"/>
        <w:right w:val="none" w:sz="0" w:space="0" w:color="auto"/>
      </w:divBdr>
    </w:div>
    <w:div w:id="505826068">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69110682">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ederalgrants/perkins/required-use-of-funds.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essential.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cte/cvte/perkins-v/sec-ps-linkages-faq.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DESE-231-61847</_dlc_DocId>
    <_dlc_DocIdUrl xmlns="733efe1c-5bbe-4968-87dc-d400e65c879f">
      <Url>https://sharepoint.doemass.org/ese/webteam/cps/_layouts/DocIdRedir.aspx?ID=DESE-231-61847</Url>
      <Description>DESE-231-61847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2.xml><?xml version="1.0" encoding="utf-8"?>
<ds:datastoreItem xmlns:ds="http://schemas.openxmlformats.org/officeDocument/2006/customXml" ds:itemID="{4D0EC92A-EF2D-4978-A5D8-0D859B0F7FE2}">
  <ds:schemaRefs>
    <ds:schemaRef ds:uri="http://schemas.openxmlformats.org/officeDocument/2006/bibliography"/>
  </ds:schemaRefs>
</ds:datastoreItem>
</file>

<file path=customXml/itemProps3.xml><?xml version="1.0" encoding="utf-8"?>
<ds:datastoreItem xmlns:ds="http://schemas.openxmlformats.org/officeDocument/2006/customXml" ds:itemID="{AE9D3A1B-3073-4F4C-BA0C-C7D41AD1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Quick Reference Guide Perkins Post Secondary</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Perkins Post Secondary</dc:title>
  <dc:subject/>
  <dc:creator>DESE</dc:creator>
  <cp:keywords/>
  <cp:lastModifiedBy>Zou, Dong (EOE)</cp:lastModifiedBy>
  <cp:revision>5</cp:revision>
  <cp:lastPrinted>2019-06-11T21:46:00Z</cp:lastPrinted>
  <dcterms:created xsi:type="dcterms:W3CDTF">2024-04-23T17:51:00Z</dcterms:created>
  <dcterms:modified xsi:type="dcterms:W3CDTF">2024-05-10T19:43:00Z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