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87396" w14:textId="3A0D31FC" w:rsidR="00C304D8" w:rsidRPr="00C304D8" w:rsidRDefault="00FC6BE4" w:rsidP="00830066">
      <w:pPr>
        <w:spacing w:after="0" w:line="240" w:lineRule="auto"/>
        <w:rPr>
          <w:b/>
          <w:color w:val="1F497D" w:themeColor="text2"/>
          <w:sz w:val="32"/>
          <w:szCs w:val="32"/>
        </w:rPr>
      </w:pPr>
      <w:r>
        <w:rPr>
          <w:noProof/>
        </w:rPr>
        <w:drawing>
          <wp:anchor distT="0" distB="0" distL="114300" distR="114300" simplePos="0" relativeHeight="251668480" behindDoc="0" locked="0" layoutInCell="1" allowOverlap="1" wp14:anchorId="30D5F465" wp14:editId="6D17D91B">
            <wp:simplePos x="0" y="0"/>
            <wp:positionH relativeFrom="margin">
              <wp:posOffset>5219700</wp:posOffset>
            </wp:positionH>
            <wp:positionV relativeFrom="paragraph">
              <wp:posOffset>-140970</wp:posOffset>
            </wp:positionV>
            <wp:extent cx="1537970" cy="918210"/>
            <wp:effectExtent l="0" t="0" r="508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797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D90" w:rsidRPr="00C304D8">
        <w:rPr>
          <w:b/>
          <w:color w:val="1F497D" w:themeColor="text2"/>
          <w:sz w:val="32"/>
          <w:szCs w:val="32"/>
        </w:rPr>
        <w:t>T</w:t>
      </w:r>
      <w:r w:rsidR="0047230E">
        <w:rPr>
          <w:b/>
          <w:color w:val="1F497D" w:themeColor="text2"/>
          <w:sz w:val="32"/>
          <w:szCs w:val="32"/>
        </w:rPr>
        <w:t>itle I</w:t>
      </w:r>
      <w:r w:rsidR="00441FF5">
        <w:rPr>
          <w:b/>
          <w:color w:val="1F497D" w:themeColor="text2"/>
          <w:sz w:val="32"/>
          <w:szCs w:val="32"/>
        </w:rPr>
        <w:t xml:space="preserve">, Part </w:t>
      </w:r>
      <w:r w:rsidR="00972D90" w:rsidRPr="00C304D8">
        <w:rPr>
          <w:b/>
          <w:color w:val="1F497D" w:themeColor="text2"/>
          <w:sz w:val="32"/>
          <w:szCs w:val="32"/>
        </w:rPr>
        <w:t>A</w:t>
      </w:r>
      <w:r w:rsidR="00C304D8">
        <w:rPr>
          <w:b/>
          <w:color w:val="1F497D" w:themeColor="text2"/>
          <w:sz w:val="32"/>
          <w:szCs w:val="32"/>
        </w:rPr>
        <w:t>:</w:t>
      </w:r>
      <w:r w:rsidR="00972D90" w:rsidRPr="00C304D8">
        <w:rPr>
          <w:b/>
          <w:color w:val="1F497D" w:themeColor="text2"/>
          <w:sz w:val="32"/>
          <w:szCs w:val="32"/>
        </w:rPr>
        <w:t xml:space="preserve"> Quick Reference Guide </w:t>
      </w:r>
      <w:r w:rsidR="00A92D46">
        <w:rPr>
          <w:b/>
          <w:color w:val="1F497D" w:themeColor="text2"/>
          <w:sz w:val="32"/>
          <w:szCs w:val="32"/>
        </w:rPr>
        <w:t>– Fund Code 305</w:t>
      </w:r>
      <w:r w:rsidR="005711F6">
        <w:rPr>
          <w:b/>
          <w:color w:val="1F497D" w:themeColor="text2"/>
          <w:sz w:val="32"/>
          <w:szCs w:val="32"/>
        </w:rPr>
        <w:tab/>
      </w:r>
    </w:p>
    <w:p w14:paraId="07373F3A" w14:textId="10F1B4F6" w:rsidR="00C304D8" w:rsidRDefault="00C304D8" w:rsidP="00830066">
      <w:pPr>
        <w:spacing w:after="0" w:line="240" w:lineRule="auto"/>
        <w:rPr>
          <w:b/>
          <w:color w:val="E36C0A" w:themeColor="accent6" w:themeShade="BF"/>
          <w:sz w:val="28"/>
          <w:szCs w:val="32"/>
        </w:rPr>
      </w:pPr>
      <w:r w:rsidRPr="00C304D8">
        <w:rPr>
          <w:b/>
          <w:color w:val="E36C0A" w:themeColor="accent6" w:themeShade="BF"/>
          <w:sz w:val="28"/>
          <w:szCs w:val="32"/>
        </w:rPr>
        <w:t>Improving Basic Programs Operated by Local School Districts</w:t>
      </w:r>
    </w:p>
    <w:p w14:paraId="6D813F9A" w14:textId="0ABEA3CA" w:rsidR="00C304D8" w:rsidRPr="00FC6BE4" w:rsidRDefault="00C304D8" w:rsidP="00C304D8">
      <w:pPr>
        <w:spacing w:after="0" w:line="240" w:lineRule="auto"/>
        <w:rPr>
          <w:b/>
          <w:color w:val="E36C0A" w:themeColor="accent6" w:themeShade="BF"/>
          <w:sz w:val="16"/>
          <w:szCs w:val="18"/>
        </w:rPr>
      </w:pPr>
    </w:p>
    <w:p w14:paraId="1271E53E" w14:textId="17508F5B" w:rsidR="00C304D8" w:rsidRDefault="00C304D8" w:rsidP="00C304D8">
      <w:pPr>
        <w:spacing w:after="0" w:line="240" w:lineRule="auto"/>
        <w:rPr>
          <w:b/>
          <w:color w:val="E36C0A" w:themeColor="accent6" w:themeShade="BF"/>
          <w:sz w:val="28"/>
          <w:szCs w:val="32"/>
        </w:rPr>
      </w:pPr>
      <w:r w:rsidRPr="009B412E">
        <w:rPr>
          <w:b/>
          <w:color w:val="1F497D" w:themeColor="text2"/>
          <w:sz w:val="24"/>
          <w:szCs w:val="20"/>
        </w:rPr>
        <w:t xml:space="preserve">Priorities of Title </w:t>
      </w:r>
      <w:r w:rsidR="00D21B0D">
        <w:rPr>
          <w:b/>
          <w:color w:val="1F497D" w:themeColor="text2"/>
          <w:sz w:val="24"/>
          <w:szCs w:val="20"/>
        </w:rPr>
        <w:t>I</w:t>
      </w:r>
      <w:r w:rsidRPr="009B412E">
        <w:rPr>
          <w:b/>
          <w:color w:val="1F497D" w:themeColor="text2"/>
          <w:sz w:val="24"/>
          <w:szCs w:val="20"/>
        </w:rPr>
        <w:t>:</w:t>
      </w:r>
    </w:p>
    <w:p w14:paraId="36743D63" w14:textId="19B919B7" w:rsidR="00C304D8" w:rsidRPr="00C304D8" w:rsidRDefault="00C304D8" w:rsidP="00D21B0D">
      <w:pPr>
        <w:numPr>
          <w:ilvl w:val="0"/>
          <w:numId w:val="30"/>
        </w:numPr>
        <w:spacing w:after="0" w:line="240" w:lineRule="auto"/>
        <w:rPr>
          <w:sz w:val="20"/>
        </w:rPr>
      </w:pPr>
      <w:r w:rsidRPr="00C304D8">
        <w:rPr>
          <w:sz w:val="20"/>
        </w:rPr>
        <w:t xml:space="preserve">Strengthen the core program in schools and provide academic and/or </w:t>
      </w:r>
      <w:proofErr w:type="gramStart"/>
      <w:r w:rsidR="00554BAB">
        <w:rPr>
          <w:sz w:val="20"/>
        </w:rPr>
        <w:t>academically-related</w:t>
      </w:r>
      <w:proofErr w:type="gramEnd"/>
      <w:r w:rsidR="00554BAB">
        <w:rPr>
          <w:sz w:val="20"/>
        </w:rPr>
        <w:t xml:space="preserve"> </w:t>
      </w:r>
      <w:r w:rsidRPr="00C304D8">
        <w:rPr>
          <w:sz w:val="20"/>
        </w:rPr>
        <w:t>support services to low-achieving students at the preschool, elementary, middle, and high school levels;</w:t>
      </w:r>
    </w:p>
    <w:p w14:paraId="2463CBD8" w14:textId="77777777" w:rsidR="00C304D8" w:rsidRPr="00C304D8" w:rsidRDefault="00C304D8" w:rsidP="00D21B0D">
      <w:pPr>
        <w:numPr>
          <w:ilvl w:val="0"/>
          <w:numId w:val="30"/>
        </w:numPr>
        <w:spacing w:before="100" w:beforeAutospacing="1" w:after="100" w:afterAutospacing="1" w:line="240" w:lineRule="auto"/>
        <w:rPr>
          <w:sz w:val="20"/>
        </w:rPr>
      </w:pPr>
      <w:r w:rsidRPr="00C304D8">
        <w:rPr>
          <w:sz w:val="20"/>
        </w:rPr>
        <w:t xml:space="preserve">Provide evidence-based programs that enable participating students to achieve the learning standards of the state curriculum </w:t>
      </w:r>
      <w:proofErr w:type="gramStart"/>
      <w:r w:rsidRPr="00C304D8">
        <w:rPr>
          <w:sz w:val="20"/>
        </w:rPr>
        <w:t>frameworks;</w:t>
      </w:r>
      <w:proofErr w:type="gramEnd"/>
    </w:p>
    <w:p w14:paraId="238FDEE2" w14:textId="77777777" w:rsidR="00C304D8" w:rsidRPr="00C304D8" w:rsidRDefault="00C304D8" w:rsidP="00D21B0D">
      <w:pPr>
        <w:numPr>
          <w:ilvl w:val="0"/>
          <w:numId w:val="30"/>
        </w:numPr>
        <w:spacing w:before="100" w:beforeAutospacing="1" w:after="100" w:afterAutospacing="1" w:line="240" w:lineRule="auto"/>
        <w:rPr>
          <w:sz w:val="20"/>
        </w:rPr>
      </w:pPr>
      <w:r w:rsidRPr="00C304D8">
        <w:rPr>
          <w:sz w:val="20"/>
        </w:rPr>
        <w:t>Elevate the quality of instruction by providing eligible staff with substantial opportunities for professional development; and</w:t>
      </w:r>
    </w:p>
    <w:p w14:paraId="61664D88" w14:textId="113FCB29" w:rsidR="00C304D8" w:rsidRDefault="00C304D8" w:rsidP="00D21B0D">
      <w:pPr>
        <w:numPr>
          <w:ilvl w:val="0"/>
          <w:numId w:val="30"/>
        </w:numPr>
        <w:spacing w:before="100" w:beforeAutospacing="1" w:after="100" w:afterAutospacing="1" w:line="240" w:lineRule="auto"/>
        <w:rPr>
          <w:sz w:val="20"/>
        </w:rPr>
      </w:pPr>
      <w:r w:rsidRPr="00C304D8">
        <w:rPr>
          <w:sz w:val="20"/>
        </w:rPr>
        <w:t>Involve parents/guardians of participating public and private school children as active partners in their children's education at school through open, meaningful communication, training, and, as appropriate, inclusion in decision-making processes.</w:t>
      </w:r>
    </w:p>
    <w:p w14:paraId="5761A741" w14:textId="6873764B" w:rsidR="00E42D5B" w:rsidRPr="00C304D8" w:rsidRDefault="00E42D5B" w:rsidP="00FC6BE4">
      <w:pPr>
        <w:numPr>
          <w:ilvl w:val="0"/>
          <w:numId w:val="30"/>
        </w:numPr>
        <w:spacing w:before="100" w:beforeAutospacing="1" w:after="0" w:line="240" w:lineRule="auto"/>
        <w:rPr>
          <w:sz w:val="20"/>
        </w:rPr>
      </w:pPr>
      <w:r>
        <w:rPr>
          <w:sz w:val="20"/>
        </w:rPr>
        <w:t xml:space="preserve">Support key district and school improvement initiatives </w:t>
      </w:r>
      <w:r w:rsidRPr="00C94BDC">
        <w:rPr>
          <w:b/>
          <w:bCs/>
          <w:sz w:val="20"/>
        </w:rPr>
        <w:t>in coordination with</w:t>
      </w:r>
      <w:r>
        <w:rPr>
          <w:sz w:val="20"/>
        </w:rPr>
        <w:t xml:space="preserve"> other federal grant funds and state and local resources so initiatives and their impact </w:t>
      </w:r>
      <w:r w:rsidRPr="00C94BDC">
        <w:rPr>
          <w:b/>
          <w:bCs/>
          <w:sz w:val="20"/>
        </w:rPr>
        <w:t>are sustained</w:t>
      </w:r>
      <w:r>
        <w:rPr>
          <w:sz w:val="20"/>
        </w:rPr>
        <w:t xml:space="preserve"> beyond the life of individual </w:t>
      </w:r>
      <w:r w:rsidR="00AE57C8">
        <w:rPr>
          <w:sz w:val="20"/>
        </w:rPr>
        <w:t>sources of funding</w:t>
      </w:r>
      <w:r>
        <w:rPr>
          <w:sz w:val="20"/>
        </w:rPr>
        <w:t>.</w:t>
      </w:r>
    </w:p>
    <w:p w14:paraId="2CB9348C" w14:textId="31635851" w:rsidR="00C304D8" w:rsidRPr="00043EC4" w:rsidRDefault="00043EC4" w:rsidP="00FC6BE4">
      <w:pPr>
        <w:keepNext/>
        <w:spacing w:before="120" w:after="0"/>
        <w:rPr>
          <w:rStyle w:val="Hyperlink"/>
          <w:rFonts w:cstheme="minorBidi"/>
          <w:b/>
          <w:sz w:val="24"/>
          <w:szCs w:val="24"/>
        </w:rPr>
      </w:pPr>
      <w:r>
        <w:rPr>
          <w:b/>
          <w:sz w:val="24"/>
          <w:szCs w:val="24"/>
        </w:rPr>
        <w:fldChar w:fldCharType="begin"/>
      </w:r>
      <w:r>
        <w:rPr>
          <w:b/>
          <w:sz w:val="24"/>
          <w:szCs w:val="24"/>
        </w:rPr>
        <w:instrText xml:space="preserve"> HYPERLINK "http://www.doe.mass.edu/federalgrants/titlei-a/guidance/" </w:instrText>
      </w:r>
      <w:r>
        <w:rPr>
          <w:b/>
          <w:sz w:val="24"/>
          <w:szCs w:val="24"/>
        </w:rPr>
        <w:fldChar w:fldCharType="separate"/>
      </w:r>
      <w:r w:rsidR="00C304D8" w:rsidRPr="00043EC4">
        <w:rPr>
          <w:rStyle w:val="Hyperlink"/>
          <w:rFonts w:cstheme="minorBidi"/>
          <w:b/>
          <w:sz w:val="24"/>
          <w:szCs w:val="24"/>
        </w:rPr>
        <w:t>Types of Title I Programs:</w:t>
      </w:r>
    </w:p>
    <w:p w14:paraId="5821A60A" w14:textId="25AB5490" w:rsidR="00C304D8" w:rsidRPr="00794E04" w:rsidRDefault="00043EC4" w:rsidP="00D21B0D">
      <w:pPr>
        <w:spacing w:after="120" w:line="240" w:lineRule="auto"/>
        <w:rPr>
          <w:rFonts w:ascii="Calibri" w:eastAsia="Times New Roman" w:hAnsi="Calibri" w:cs="Times New Roman"/>
          <w:bCs/>
          <w:sz w:val="20"/>
          <w:szCs w:val="20"/>
        </w:rPr>
      </w:pPr>
      <w:r>
        <w:rPr>
          <w:b/>
          <w:sz w:val="24"/>
          <w:szCs w:val="24"/>
        </w:rPr>
        <w:fldChar w:fldCharType="end"/>
      </w:r>
      <w:r w:rsidR="00C304D8" w:rsidRPr="00794E04">
        <w:rPr>
          <w:b/>
          <w:color w:val="1F497D" w:themeColor="text2"/>
          <w:sz w:val="20"/>
          <w:szCs w:val="20"/>
        </w:rPr>
        <w:t>Title I Targeted Assistance Program</w:t>
      </w:r>
      <w:r w:rsidR="00A25C25" w:rsidRPr="00794E04">
        <w:rPr>
          <w:b/>
          <w:color w:val="1F497D" w:themeColor="text2"/>
          <w:sz w:val="20"/>
          <w:szCs w:val="20"/>
        </w:rPr>
        <w:t xml:space="preserve"> (TA)</w:t>
      </w:r>
      <w:r w:rsidR="00C304D8" w:rsidRPr="00794E04">
        <w:rPr>
          <w:b/>
          <w:color w:val="1F497D" w:themeColor="text2"/>
          <w:sz w:val="20"/>
          <w:szCs w:val="20"/>
        </w:rPr>
        <w:t xml:space="preserve"> </w:t>
      </w:r>
      <w:r w:rsidR="00A25C25" w:rsidRPr="00794E04">
        <w:rPr>
          <w:sz w:val="20"/>
          <w:szCs w:val="20"/>
        </w:rPr>
        <w:t>–</w:t>
      </w:r>
      <w:r w:rsidR="00C304D8" w:rsidRPr="00794E04">
        <w:rPr>
          <w:rFonts w:ascii="Calibri" w:eastAsia="Times New Roman" w:hAnsi="Calibri" w:cs="Times New Roman"/>
          <w:b/>
          <w:bCs/>
          <w:sz w:val="20"/>
          <w:szCs w:val="20"/>
        </w:rPr>
        <w:t xml:space="preserve"> </w:t>
      </w:r>
      <w:r w:rsidR="00A25C25" w:rsidRPr="00794E04">
        <w:rPr>
          <w:sz w:val="20"/>
          <w:szCs w:val="20"/>
        </w:rPr>
        <w:t>Funds may</w:t>
      </w:r>
      <w:r w:rsidR="00C304D8" w:rsidRPr="00794E04">
        <w:rPr>
          <w:sz w:val="20"/>
          <w:szCs w:val="20"/>
        </w:rPr>
        <w:t xml:space="preserve"> </w:t>
      </w:r>
      <w:r w:rsidR="00D21B0D" w:rsidRPr="00794E04">
        <w:rPr>
          <w:sz w:val="20"/>
          <w:szCs w:val="20"/>
        </w:rPr>
        <w:t xml:space="preserve">be </w:t>
      </w:r>
      <w:r w:rsidR="00A25C25" w:rsidRPr="00794E04">
        <w:rPr>
          <w:sz w:val="20"/>
          <w:szCs w:val="20"/>
        </w:rPr>
        <w:t xml:space="preserve">spent on allowable Title I activities for participating, targeted Title I students, their </w:t>
      </w:r>
      <w:r w:rsidR="006C259C" w:rsidRPr="00794E04">
        <w:rPr>
          <w:sz w:val="20"/>
          <w:szCs w:val="20"/>
        </w:rPr>
        <w:t>teachers,</w:t>
      </w:r>
      <w:r w:rsidR="00A25C25" w:rsidRPr="00794E04">
        <w:rPr>
          <w:sz w:val="20"/>
          <w:szCs w:val="20"/>
        </w:rPr>
        <w:t xml:space="preserve"> and families only</w:t>
      </w:r>
      <w:r w:rsidR="00A92D46" w:rsidRPr="00794E04">
        <w:rPr>
          <w:sz w:val="20"/>
          <w:szCs w:val="20"/>
        </w:rPr>
        <w:t xml:space="preserve"> in targeted assistance schools</w:t>
      </w:r>
      <w:r w:rsidR="00A25C25" w:rsidRPr="00794E04">
        <w:rPr>
          <w:sz w:val="20"/>
          <w:szCs w:val="20"/>
        </w:rPr>
        <w:t>.</w:t>
      </w:r>
      <w:r w:rsidR="00C304D8" w:rsidRPr="00794E04">
        <w:rPr>
          <w:sz w:val="20"/>
          <w:szCs w:val="20"/>
        </w:rPr>
        <w:t xml:space="preserve">  </w:t>
      </w:r>
    </w:p>
    <w:p w14:paraId="1DEBBCE7" w14:textId="4A400020" w:rsidR="00C70FA3" w:rsidRPr="00794E04" w:rsidRDefault="00C304D8" w:rsidP="00D21B0D">
      <w:pPr>
        <w:spacing w:after="0" w:line="240" w:lineRule="auto"/>
        <w:rPr>
          <w:sz w:val="20"/>
          <w:szCs w:val="20"/>
        </w:rPr>
      </w:pPr>
      <w:r w:rsidRPr="00794E04">
        <w:rPr>
          <w:b/>
          <w:color w:val="1F497D" w:themeColor="text2"/>
          <w:sz w:val="20"/>
          <w:szCs w:val="20"/>
        </w:rPr>
        <w:t xml:space="preserve">Title I Schoolwide Program </w:t>
      </w:r>
      <w:r w:rsidR="00A25C25" w:rsidRPr="00794E04">
        <w:rPr>
          <w:b/>
          <w:color w:val="1F497D" w:themeColor="text2"/>
          <w:sz w:val="20"/>
          <w:szCs w:val="20"/>
        </w:rPr>
        <w:t>(SW)</w:t>
      </w:r>
      <w:r w:rsidR="00A25C25" w:rsidRPr="00794E04">
        <w:rPr>
          <w:b/>
          <w:sz w:val="20"/>
          <w:szCs w:val="20"/>
        </w:rPr>
        <w:t xml:space="preserve"> </w:t>
      </w:r>
      <w:r w:rsidR="00441FF5" w:rsidRPr="00794E04">
        <w:rPr>
          <w:sz w:val="20"/>
          <w:szCs w:val="20"/>
        </w:rPr>
        <w:t>–</w:t>
      </w:r>
      <w:r w:rsidRPr="00794E04">
        <w:rPr>
          <w:rFonts w:ascii="Calibri" w:eastAsia="Times New Roman" w:hAnsi="Calibri" w:cs="Times New Roman"/>
          <w:bCs/>
          <w:sz w:val="20"/>
          <w:szCs w:val="20"/>
        </w:rPr>
        <w:t xml:space="preserve"> </w:t>
      </w:r>
      <w:r w:rsidR="00A25C25" w:rsidRPr="00794E04">
        <w:rPr>
          <w:sz w:val="20"/>
          <w:szCs w:val="20"/>
        </w:rPr>
        <w:t>Funds may be spent on allowable Title I activities for any students, teachers, and families of students enrolled in the school.</w:t>
      </w:r>
    </w:p>
    <w:p w14:paraId="77BAB9A3" w14:textId="77777777" w:rsidR="00B90E45" w:rsidRPr="00FC6BE4" w:rsidRDefault="00B90E45" w:rsidP="009D7A8A">
      <w:pPr>
        <w:spacing w:after="0" w:line="240" w:lineRule="auto"/>
        <w:rPr>
          <w:sz w:val="4"/>
          <w:szCs w:val="4"/>
        </w:rPr>
      </w:pPr>
    </w:p>
    <w:tbl>
      <w:tblPr>
        <w:tblStyle w:val="MediumShading1-Accent1"/>
        <w:tblW w:w="11016" w:type="dxa"/>
        <w:tblLook w:val="04A0" w:firstRow="1" w:lastRow="0" w:firstColumn="1" w:lastColumn="0" w:noHBand="0" w:noVBand="1"/>
        <w:tblCaption w:val="Table of Allowable and Nonallowable costs"/>
      </w:tblPr>
      <w:tblGrid>
        <w:gridCol w:w="1998"/>
        <w:gridCol w:w="360"/>
        <w:gridCol w:w="4986"/>
        <w:gridCol w:w="360"/>
        <w:gridCol w:w="3312"/>
      </w:tblGrid>
      <w:tr w:rsidR="00B90E45" w14:paraId="7D460527" w14:textId="77777777" w:rsidTr="00C806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8" w:type="dxa"/>
            <w:gridSpan w:val="2"/>
            <w:shd w:val="clear" w:color="auto" w:fill="1F497D" w:themeFill="text2"/>
          </w:tcPr>
          <w:p w14:paraId="5170AC9B" w14:textId="34A4C201" w:rsidR="0038649E" w:rsidRPr="00814F18" w:rsidRDefault="0038649E" w:rsidP="0038649E">
            <w:pPr>
              <w:jc w:val="center"/>
              <w:rPr>
                <w:rFonts w:ascii="Calibri" w:eastAsia="Times New Roman" w:hAnsi="Calibri" w:cs="Times New Roman"/>
                <w:b w:val="0"/>
                <w:sz w:val="24"/>
                <w:szCs w:val="20"/>
              </w:rPr>
            </w:pPr>
            <w:r>
              <w:rPr>
                <w:rFonts w:ascii="Calibri" w:eastAsia="Times New Roman" w:hAnsi="Calibri" w:cs="Times New Roman"/>
                <w:bCs w:val="0"/>
                <w:sz w:val="24"/>
                <w:szCs w:val="20"/>
              </w:rPr>
              <w:t>Categories</w:t>
            </w:r>
          </w:p>
        </w:tc>
        <w:tc>
          <w:tcPr>
            <w:tcW w:w="5346" w:type="dxa"/>
            <w:gridSpan w:val="2"/>
            <w:shd w:val="clear" w:color="auto" w:fill="1F497D" w:themeFill="text2"/>
          </w:tcPr>
          <w:p w14:paraId="6A9AA307" w14:textId="77777777" w:rsidR="00B90E45" w:rsidRPr="00B90E45" w:rsidRDefault="00554BAB" w:rsidP="00B90E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sz w:val="24"/>
                <w:szCs w:val="20"/>
              </w:rPr>
            </w:pPr>
            <w:r>
              <w:rPr>
                <w:rFonts w:ascii="Calibri" w:eastAsia="Times New Roman" w:hAnsi="Calibri" w:cs="Times New Roman"/>
                <w:bCs w:val="0"/>
                <w:sz w:val="24"/>
                <w:szCs w:val="20"/>
              </w:rPr>
              <w:t>Allowable Costs</w:t>
            </w:r>
            <w:r w:rsidR="00B90E45" w:rsidRPr="00B90E45">
              <w:rPr>
                <w:rFonts w:ascii="Calibri" w:eastAsia="Times New Roman" w:hAnsi="Calibri" w:cs="Times New Roman"/>
                <w:bCs w:val="0"/>
                <w:sz w:val="24"/>
                <w:szCs w:val="20"/>
              </w:rPr>
              <w:t>*</w:t>
            </w:r>
          </w:p>
        </w:tc>
        <w:tc>
          <w:tcPr>
            <w:tcW w:w="3312" w:type="dxa"/>
            <w:shd w:val="clear" w:color="auto" w:fill="1F497D" w:themeFill="text2"/>
          </w:tcPr>
          <w:p w14:paraId="496D32E3" w14:textId="77777777" w:rsidR="00B90E45" w:rsidRPr="00B90E45" w:rsidRDefault="00554BAB" w:rsidP="00B90E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sz w:val="24"/>
                <w:szCs w:val="20"/>
              </w:rPr>
            </w:pPr>
            <w:r>
              <w:rPr>
                <w:rFonts w:ascii="Calibri" w:eastAsia="Times New Roman" w:hAnsi="Calibri" w:cs="Times New Roman"/>
                <w:bCs w:val="0"/>
                <w:sz w:val="24"/>
                <w:szCs w:val="20"/>
              </w:rPr>
              <w:t>Unallowable Costs</w:t>
            </w:r>
          </w:p>
        </w:tc>
      </w:tr>
      <w:tr w:rsidR="00B90E45" w14:paraId="5AFA0F94" w14:textId="77777777" w:rsidTr="00FE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240AF72" w14:textId="77777777" w:rsidR="00B90E45" w:rsidRPr="00C304D8" w:rsidRDefault="00B90E45" w:rsidP="00B90E45">
            <w:pPr>
              <w:pStyle w:val="ListParagraph"/>
              <w:numPr>
                <w:ilvl w:val="0"/>
                <w:numId w:val="15"/>
              </w:numPr>
              <w:tabs>
                <w:tab w:val="left" w:pos="540"/>
                <w:tab w:val="left" w:pos="630"/>
              </w:tabs>
              <w:ind w:left="360"/>
              <w:rPr>
                <w:sz w:val="24"/>
                <w:szCs w:val="24"/>
              </w:rPr>
            </w:pPr>
            <w:r w:rsidRPr="00C304D8">
              <w:rPr>
                <w:sz w:val="24"/>
                <w:szCs w:val="24"/>
              </w:rPr>
              <w:t>Administrator Salaries</w:t>
            </w:r>
          </w:p>
        </w:tc>
        <w:tc>
          <w:tcPr>
            <w:tcW w:w="5346" w:type="dxa"/>
            <w:gridSpan w:val="2"/>
          </w:tcPr>
          <w:p w14:paraId="069748B6" w14:textId="77777777" w:rsidR="00B90E45" w:rsidRPr="00C304D8" w:rsidRDefault="00B90E45" w:rsidP="00B90E45">
            <w:pPr>
              <w:pStyle w:val="ListParagraph"/>
              <w:numPr>
                <w:ilvl w:val="0"/>
                <w:numId w:val="16"/>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Prog</w:t>
            </w:r>
            <w:r w:rsidR="003F2ED6">
              <w:rPr>
                <w:sz w:val="20"/>
                <w:szCs w:val="20"/>
              </w:rPr>
              <w:t>ram Administrator/Grant Manager</w:t>
            </w:r>
            <w:r w:rsidR="00B40647">
              <w:rPr>
                <w:sz w:val="20"/>
                <w:szCs w:val="20"/>
              </w:rPr>
              <w:t>/Professional Development Coordinator</w:t>
            </w:r>
            <w:r w:rsidRPr="00C304D8">
              <w:rPr>
                <w:sz w:val="20"/>
                <w:szCs w:val="20"/>
              </w:rPr>
              <w:t xml:space="preserve"> – only t</w:t>
            </w:r>
            <w:r w:rsidR="00504AE3">
              <w:rPr>
                <w:sz w:val="20"/>
                <w:szCs w:val="20"/>
              </w:rPr>
              <w:t xml:space="preserve">he portion of the salary dedicated to </w:t>
            </w:r>
            <w:r w:rsidRPr="00C304D8">
              <w:rPr>
                <w:sz w:val="20"/>
                <w:szCs w:val="20"/>
              </w:rPr>
              <w:t>Title I, Part A</w:t>
            </w:r>
            <w:r w:rsidR="00504AE3">
              <w:rPr>
                <w:sz w:val="20"/>
                <w:szCs w:val="20"/>
              </w:rPr>
              <w:t xml:space="preserve"> support</w:t>
            </w:r>
          </w:p>
          <w:p w14:paraId="74CD2C9B" w14:textId="77777777" w:rsidR="00B90E45" w:rsidRPr="00C304D8" w:rsidRDefault="00B90E45" w:rsidP="00B90E45">
            <w:pPr>
              <w:pStyle w:val="ListParagraph"/>
              <w:numPr>
                <w:ilvl w:val="0"/>
                <w:numId w:val="16"/>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McKinney-Vento Homeless Liaison</w:t>
            </w:r>
          </w:p>
        </w:tc>
        <w:tc>
          <w:tcPr>
            <w:tcW w:w="3672" w:type="dxa"/>
            <w:gridSpan w:val="2"/>
          </w:tcPr>
          <w:p w14:paraId="44746415" w14:textId="77777777" w:rsidR="00B90E45" w:rsidRDefault="00B90E45" w:rsidP="00441FF5">
            <w:pPr>
              <w:pStyle w:val="ListParagraph"/>
              <w:numPr>
                <w:ilvl w:val="0"/>
                <w:numId w:val="16"/>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 xml:space="preserve">Entire salary unless the manager’s entire responsibility is Title I, Part A </w:t>
            </w:r>
          </w:p>
          <w:p w14:paraId="7E3539DF" w14:textId="0B20A895" w:rsidR="001C5E67" w:rsidRPr="00C304D8" w:rsidRDefault="00F0141D" w:rsidP="00F0141D">
            <w:pPr>
              <w:pStyle w:val="ListParagraph"/>
              <w:numPr>
                <w:ilvl w:val="0"/>
                <w:numId w:val="16"/>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b/>
                <w:i/>
                <w:sz w:val="18"/>
                <w:szCs w:val="24"/>
              </w:rPr>
              <w:t>A</w:t>
            </w:r>
            <w:r w:rsidR="00396483">
              <w:rPr>
                <w:b/>
                <w:i/>
                <w:sz w:val="18"/>
                <w:szCs w:val="24"/>
              </w:rPr>
              <w:t xml:space="preserve">dministration costs </w:t>
            </w:r>
            <w:r>
              <w:rPr>
                <w:b/>
                <w:i/>
                <w:sz w:val="18"/>
                <w:szCs w:val="24"/>
              </w:rPr>
              <w:t xml:space="preserve">should </w:t>
            </w:r>
            <w:r w:rsidR="00396483">
              <w:rPr>
                <w:b/>
                <w:i/>
                <w:sz w:val="18"/>
                <w:szCs w:val="24"/>
              </w:rPr>
              <w:t xml:space="preserve">not </w:t>
            </w:r>
            <w:r w:rsidR="00396483" w:rsidRPr="008F70B9">
              <w:rPr>
                <w:b/>
                <w:i/>
                <w:sz w:val="18"/>
                <w:szCs w:val="24"/>
              </w:rPr>
              <w:t>exceed 10% of allocation without approved justification</w:t>
            </w:r>
            <w:r>
              <w:rPr>
                <w:b/>
                <w:i/>
                <w:sz w:val="18"/>
                <w:szCs w:val="24"/>
              </w:rPr>
              <w:t>.</w:t>
            </w:r>
          </w:p>
        </w:tc>
      </w:tr>
      <w:tr w:rsidR="00B90E45" w14:paraId="67BF4BC9" w14:textId="77777777" w:rsidTr="00FE1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6348C70" w14:textId="77777777" w:rsidR="00B90E45" w:rsidRPr="00C304D8" w:rsidRDefault="00B90E45" w:rsidP="00B90E45">
            <w:pPr>
              <w:pStyle w:val="ListParagraph"/>
              <w:numPr>
                <w:ilvl w:val="0"/>
                <w:numId w:val="15"/>
              </w:numPr>
              <w:tabs>
                <w:tab w:val="left" w:pos="540"/>
                <w:tab w:val="left" w:pos="630"/>
              </w:tabs>
              <w:ind w:left="360"/>
              <w:rPr>
                <w:sz w:val="24"/>
                <w:szCs w:val="24"/>
              </w:rPr>
            </w:pPr>
            <w:r w:rsidRPr="00C304D8">
              <w:rPr>
                <w:sz w:val="24"/>
                <w:szCs w:val="24"/>
              </w:rPr>
              <w:t>Instructional/</w:t>
            </w:r>
            <w:r w:rsidRPr="00C304D8">
              <w:rPr>
                <w:sz w:val="24"/>
                <w:szCs w:val="24"/>
              </w:rPr>
              <w:br/>
              <w:t>Professional Staff</w:t>
            </w:r>
          </w:p>
        </w:tc>
        <w:tc>
          <w:tcPr>
            <w:tcW w:w="5346" w:type="dxa"/>
            <w:gridSpan w:val="2"/>
          </w:tcPr>
          <w:p w14:paraId="68FC7F33" w14:textId="77777777" w:rsidR="00B90E45" w:rsidRPr="00C304D8" w:rsidRDefault="00B90E45" w:rsidP="00B90E45">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 xml:space="preserve">Title I Teacher salaries </w:t>
            </w:r>
          </w:p>
          <w:p w14:paraId="39A8B18D" w14:textId="77777777" w:rsidR="00B90E45" w:rsidRPr="00C304D8" w:rsidRDefault="00B90E45" w:rsidP="00B90E45">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Academic/Instructional coaches</w:t>
            </w:r>
          </w:p>
          <w:p w14:paraId="17B048E4" w14:textId="77777777" w:rsidR="00B90E45" w:rsidRPr="00C304D8" w:rsidRDefault="00A92D46" w:rsidP="00B90E45">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Counselors/b</w:t>
            </w:r>
            <w:r w:rsidR="00B90E45" w:rsidRPr="00C304D8">
              <w:rPr>
                <w:sz w:val="20"/>
                <w:szCs w:val="20"/>
              </w:rPr>
              <w:t>ehavior support positions</w:t>
            </w:r>
          </w:p>
          <w:p w14:paraId="60E8FE0F" w14:textId="77777777" w:rsidR="00B90E45" w:rsidRPr="00C304D8" w:rsidRDefault="00B90E45" w:rsidP="00B90E45">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Family and Community Engagement Coordinator</w:t>
            </w:r>
          </w:p>
          <w:p w14:paraId="65677E3B" w14:textId="77777777" w:rsidR="00B90E45" w:rsidRPr="00C304D8" w:rsidRDefault="00B90E45" w:rsidP="00B90E45">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Differential and incentive pay for educators in high-need academic subject areas and specialty areas</w:t>
            </w:r>
          </w:p>
        </w:tc>
        <w:tc>
          <w:tcPr>
            <w:tcW w:w="3672" w:type="dxa"/>
            <w:gridSpan w:val="2"/>
          </w:tcPr>
          <w:p w14:paraId="4E629624" w14:textId="77777777" w:rsidR="00B90E45" w:rsidRPr="00C304D8" w:rsidRDefault="00B90E45" w:rsidP="00441FF5">
            <w:pPr>
              <w:pStyle w:val="ListParagraph"/>
              <w:numPr>
                <w:ilvl w:val="0"/>
                <w:numId w:val="17"/>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Entire salary unless the individual’s entire responsibility is Title I, Part A</w:t>
            </w:r>
          </w:p>
          <w:p w14:paraId="3726D4D2" w14:textId="77777777" w:rsidR="00B90E45" w:rsidRPr="00C304D8" w:rsidRDefault="00B90E45" w:rsidP="00441FF5">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Time and work in non-Title I schools or with non-Title I students</w:t>
            </w:r>
          </w:p>
        </w:tc>
      </w:tr>
      <w:tr w:rsidR="00B90E45" w14:paraId="09B43229" w14:textId="77777777" w:rsidTr="00FE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0CB5382" w14:textId="77777777" w:rsidR="00B90E45" w:rsidRPr="00C304D8" w:rsidRDefault="00B90E45" w:rsidP="00B90E45">
            <w:pPr>
              <w:pStyle w:val="ListParagraph"/>
              <w:numPr>
                <w:ilvl w:val="0"/>
                <w:numId w:val="15"/>
              </w:numPr>
              <w:tabs>
                <w:tab w:val="left" w:pos="540"/>
                <w:tab w:val="left" w:pos="630"/>
              </w:tabs>
              <w:ind w:left="360"/>
              <w:rPr>
                <w:sz w:val="24"/>
                <w:szCs w:val="24"/>
              </w:rPr>
            </w:pPr>
            <w:r w:rsidRPr="00C304D8">
              <w:rPr>
                <w:sz w:val="24"/>
                <w:szCs w:val="24"/>
              </w:rPr>
              <w:t>Support Staff Salaries</w:t>
            </w:r>
          </w:p>
        </w:tc>
        <w:tc>
          <w:tcPr>
            <w:tcW w:w="5346" w:type="dxa"/>
            <w:gridSpan w:val="2"/>
          </w:tcPr>
          <w:p w14:paraId="034F74E0" w14:textId="77777777" w:rsidR="00B90E45" w:rsidRPr="00C304D8" w:rsidRDefault="00B90E45" w:rsidP="00B90E45">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Title I instructional paraprofessionals</w:t>
            </w:r>
          </w:p>
          <w:p w14:paraId="1A437644" w14:textId="77777777" w:rsidR="00B90E45" w:rsidRPr="00C304D8" w:rsidRDefault="00B90E45" w:rsidP="00B90E45">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Family and Community Engagement Liaisons</w:t>
            </w:r>
          </w:p>
          <w:p w14:paraId="291CCDB9" w14:textId="5552ADC7" w:rsidR="00B90E45" w:rsidRPr="00C304D8" w:rsidRDefault="00B90E45" w:rsidP="00B90E45">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Bookkeeper fo</w:t>
            </w:r>
            <w:r w:rsidR="00504AE3">
              <w:rPr>
                <w:sz w:val="20"/>
                <w:szCs w:val="20"/>
              </w:rPr>
              <w:t xml:space="preserve">r Title I, Part A grant work – </w:t>
            </w:r>
            <w:r w:rsidR="00504AE3" w:rsidRPr="00C304D8">
              <w:rPr>
                <w:sz w:val="20"/>
                <w:szCs w:val="20"/>
              </w:rPr>
              <w:t>only</w:t>
            </w:r>
            <w:r w:rsidR="008B4DEC">
              <w:rPr>
                <w:sz w:val="20"/>
                <w:szCs w:val="20"/>
              </w:rPr>
              <w:t xml:space="preserve"> the</w:t>
            </w:r>
            <w:r w:rsidR="00504AE3">
              <w:rPr>
                <w:sz w:val="20"/>
                <w:szCs w:val="20"/>
              </w:rPr>
              <w:t xml:space="preserve"> portion of salary dedicated to </w:t>
            </w:r>
            <w:r w:rsidR="00504AE3" w:rsidRPr="00C304D8">
              <w:rPr>
                <w:sz w:val="20"/>
                <w:szCs w:val="20"/>
              </w:rPr>
              <w:t>Title I, Part A</w:t>
            </w:r>
            <w:r w:rsidR="00504AE3">
              <w:rPr>
                <w:sz w:val="20"/>
                <w:szCs w:val="20"/>
              </w:rPr>
              <w:t xml:space="preserve"> support</w:t>
            </w:r>
          </w:p>
        </w:tc>
        <w:tc>
          <w:tcPr>
            <w:tcW w:w="3672" w:type="dxa"/>
            <w:gridSpan w:val="2"/>
          </w:tcPr>
          <w:p w14:paraId="510CF378" w14:textId="77777777" w:rsidR="00B90E45" w:rsidRPr="00C304D8" w:rsidRDefault="00B90E45" w:rsidP="00441FF5">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Entire salary unless the individual’s entire responsibility is Title I, Part A</w:t>
            </w:r>
          </w:p>
          <w:p w14:paraId="78E52472" w14:textId="77777777" w:rsidR="00B90E45" w:rsidRPr="00C304D8" w:rsidRDefault="00B90E45" w:rsidP="00441FF5">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Time and work in non-Title I schools or with non-Title I students</w:t>
            </w:r>
          </w:p>
        </w:tc>
      </w:tr>
      <w:tr w:rsidR="00B90E45" w14:paraId="49D242AB" w14:textId="77777777" w:rsidTr="00FE1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0F51566" w14:textId="77777777" w:rsidR="00B90E45" w:rsidRPr="00C304D8" w:rsidRDefault="00B90E45" w:rsidP="00B90E45">
            <w:pPr>
              <w:pStyle w:val="ListParagraph"/>
              <w:numPr>
                <w:ilvl w:val="0"/>
                <w:numId w:val="15"/>
              </w:numPr>
              <w:tabs>
                <w:tab w:val="left" w:pos="540"/>
                <w:tab w:val="left" w:pos="630"/>
              </w:tabs>
              <w:ind w:left="360"/>
              <w:rPr>
                <w:sz w:val="24"/>
                <w:szCs w:val="24"/>
              </w:rPr>
            </w:pPr>
            <w:r w:rsidRPr="00C304D8">
              <w:rPr>
                <w:sz w:val="24"/>
                <w:szCs w:val="24"/>
              </w:rPr>
              <w:t>Stipends</w:t>
            </w:r>
          </w:p>
        </w:tc>
        <w:tc>
          <w:tcPr>
            <w:tcW w:w="5346" w:type="dxa"/>
            <w:gridSpan w:val="2"/>
          </w:tcPr>
          <w:p w14:paraId="3542E756" w14:textId="77777777" w:rsidR="00B90E45" w:rsidRPr="00C304D8" w:rsidRDefault="00B90E45" w:rsidP="00B90E45">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Title I, Part A program administration</w:t>
            </w:r>
          </w:p>
          <w:p w14:paraId="62B19CB1" w14:textId="77777777" w:rsidR="00B90E45" w:rsidRPr="00C304D8" w:rsidRDefault="00B90E45" w:rsidP="00B90E45">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Extended day/week/year instruction</w:t>
            </w:r>
          </w:p>
          <w:p w14:paraId="52D512F5" w14:textId="77777777" w:rsidR="00B90E45" w:rsidRPr="00C304D8" w:rsidRDefault="00B90E45" w:rsidP="00B90E45">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Professional development</w:t>
            </w:r>
          </w:p>
          <w:p w14:paraId="534526FB" w14:textId="77777777" w:rsidR="00B90E45" w:rsidRPr="00C304D8" w:rsidRDefault="00B90E45" w:rsidP="00B90E45">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Data analysis and improvement planning activities</w:t>
            </w:r>
          </w:p>
          <w:p w14:paraId="1EF54D31" w14:textId="77777777" w:rsidR="00B90E45" w:rsidRPr="00C304D8" w:rsidRDefault="00B90E45" w:rsidP="00A92D46">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 xml:space="preserve">Parent and </w:t>
            </w:r>
            <w:r w:rsidR="00A92D46">
              <w:rPr>
                <w:sz w:val="20"/>
                <w:szCs w:val="20"/>
              </w:rPr>
              <w:t>community engagement a</w:t>
            </w:r>
            <w:r w:rsidRPr="00C304D8">
              <w:rPr>
                <w:sz w:val="20"/>
                <w:szCs w:val="20"/>
              </w:rPr>
              <w:t>ctivities and their costs (including janitorial services)</w:t>
            </w:r>
          </w:p>
        </w:tc>
        <w:tc>
          <w:tcPr>
            <w:tcW w:w="3672" w:type="dxa"/>
            <w:gridSpan w:val="2"/>
          </w:tcPr>
          <w:p w14:paraId="439F1AC1" w14:textId="77777777" w:rsidR="00B90E45" w:rsidRPr="00C304D8" w:rsidRDefault="00B90E45" w:rsidP="00441FF5">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Stipends for time and/or activities that are already compensated as part of regular contractual duties</w:t>
            </w:r>
          </w:p>
        </w:tc>
      </w:tr>
      <w:tr w:rsidR="00B90E45" w14:paraId="712C1529" w14:textId="77777777" w:rsidTr="00FE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2546AD2" w14:textId="77777777" w:rsidR="00B90E45" w:rsidRPr="00C304D8" w:rsidRDefault="00B90E45" w:rsidP="00B90E45">
            <w:pPr>
              <w:pStyle w:val="ListParagraph"/>
              <w:numPr>
                <w:ilvl w:val="0"/>
                <w:numId w:val="15"/>
              </w:numPr>
              <w:tabs>
                <w:tab w:val="left" w:pos="540"/>
                <w:tab w:val="left" w:pos="630"/>
              </w:tabs>
              <w:ind w:left="360"/>
              <w:rPr>
                <w:sz w:val="24"/>
                <w:szCs w:val="24"/>
              </w:rPr>
            </w:pPr>
            <w:r w:rsidRPr="00C304D8">
              <w:rPr>
                <w:sz w:val="24"/>
                <w:szCs w:val="24"/>
              </w:rPr>
              <w:t>Fringe Benefits</w:t>
            </w:r>
          </w:p>
        </w:tc>
        <w:tc>
          <w:tcPr>
            <w:tcW w:w="5346" w:type="dxa"/>
            <w:gridSpan w:val="2"/>
          </w:tcPr>
          <w:p w14:paraId="1B92C5D2" w14:textId="77777777" w:rsidR="00B90E45" w:rsidRPr="008C5978" w:rsidRDefault="00B90E45" w:rsidP="00B90E45">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MTRS</w:t>
            </w:r>
            <w:r w:rsidR="008C5978">
              <w:rPr>
                <w:sz w:val="20"/>
                <w:szCs w:val="20"/>
              </w:rPr>
              <w:t xml:space="preserve"> </w:t>
            </w:r>
            <w:r w:rsidR="008C5978" w:rsidRPr="008C5978">
              <w:rPr>
                <w:rFonts w:cstheme="minorHAnsi"/>
                <w:sz w:val="20"/>
                <w:szCs w:val="20"/>
              </w:rPr>
              <w:t>(9% of salaries budgeted for staff who pay into MTRS)</w:t>
            </w:r>
          </w:p>
          <w:p w14:paraId="68BBC05C" w14:textId="77777777" w:rsidR="00B90E45" w:rsidRPr="00C304D8" w:rsidRDefault="00B90E45" w:rsidP="00B90E45">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Local retirement systems</w:t>
            </w:r>
          </w:p>
          <w:p w14:paraId="05CF76AC" w14:textId="77777777" w:rsidR="00B90E45" w:rsidRPr="00C304D8" w:rsidRDefault="00A92D46" w:rsidP="00B90E45">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Other f</w:t>
            </w:r>
            <w:r w:rsidR="00B90E45" w:rsidRPr="00C304D8">
              <w:rPr>
                <w:sz w:val="20"/>
                <w:szCs w:val="20"/>
              </w:rPr>
              <w:t>ringe benefits such as health insurance</w:t>
            </w:r>
          </w:p>
        </w:tc>
        <w:tc>
          <w:tcPr>
            <w:tcW w:w="3672" w:type="dxa"/>
            <w:gridSpan w:val="2"/>
          </w:tcPr>
          <w:p w14:paraId="03085185" w14:textId="77777777" w:rsidR="00B90E45" w:rsidRPr="00FE0AE5" w:rsidRDefault="00FE0AE5" w:rsidP="00441FF5">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Volunteer contribution accounts such as 401k and 403b</w:t>
            </w:r>
          </w:p>
        </w:tc>
      </w:tr>
      <w:tr w:rsidR="00B90E45" w14:paraId="711F537F" w14:textId="77777777" w:rsidTr="00FE1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334A86D" w14:textId="77777777" w:rsidR="00B90E45" w:rsidRPr="00C304D8" w:rsidRDefault="00B90E45" w:rsidP="00B90E45">
            <w:pPr>
              <w:pStyle w:val="ListParagraph"/>
              <w:numPr>
                <w:ilvl w:val="0"/>
                <w:numId w:val="15"/>
              </w:numPr>
              <w:tabs>
                <w:tab w:val="left" w:pos="540"/>
                <w:tab w:val="left" w:pos="630"/>
              </w:tabs>
              <w:ind w:left="360"/>
              <w:rPr>
                <w:sz w:val="24"/>
                <w:szCs w:val="24"/>
              </w:rPr>
            </w:pPr>
            <w:r w:rsidRPr="00C304D8">
              <w:rPr>
                <w:sz w:val="24"/>
                <w:szCs w:val="24"/>
              </w:rPr>
              <w:t>Contractual Services</w:t>
            </w:r>
          </w:p>
        </w:tc>
        <w:tc>
          <w:tcPr>
            <w:tcW w:w="5346" w:type="dxa"/>
            <w:gridSpan w:val="2"/>
          </w:tcPr>
          <w:p w14:paraId="562E48F8" w14:textId="77777777" w:rsidR="00B90E45" w:rsidRPr="00C304D8" w:rsidRDefault="00B90E45" w:rsidP="00441FF5">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Contracted instructors that meet state certification requirements (including for equitable services in participating private schools)</w:t>
            </w:r>
          </w:p>
          <w:p w14:paraId="48B23719" w14:textId="77777777" w:rsidR="00B90E45" w:rsidRPr="00C304D8" w:rsidRDefault="00B90E45" w:rsidP="00441FF5">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Professional development providers</w:t>
            </w:r>
          </w:p>
          <w:p w14:paraId="77F88E39" w14:textId="77777777" w:rsidR="00B90E45" w:rsidRPr="00C304D8" w:rsidRDefault="00B90E45" w:rsidP="00441FF5">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Consultants to upgrade curriculum, instruction, and student supports (instructional and behavioral)</w:t>
            </w:r>
          </w:p>
          <w:p w14:paraId="1575203D" w14:textId="77777777" w:rsidR="00B90E45" w:rsidRPr="00C304D8" w:rsidRDefault="00B90E45" w:rsidP="00441FF5">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Third-party providers of Title I supports and initiatives (including software licenses)</w:t>
            </w:r>
          </w:p>
          <w:p w14:paraId="49627DA1" w14:textId="77777777" w:rsidR="00B90E45" w:rsidRPr="00C304D8" w:rsidRDefault="00B90E45" w:rsidP="00441FF5">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Dual or concurrent enrollment programs</w:t>
            </w:r>
          </w:p>
          <w:p w14:paraId="627A6F8A" w14:textId="77777777" w:rsidR="00B90E45" w:rsidRPr="00C304D8" w:rsidRDefault="00B90E45" w:rsidP="00441FF5">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Substitutes for teachers attending Title I, Part A funded professional development opportunities</w:t>
            </w:r>
          </w:p>
          <w:p w14:paraId="0E15EA1C" w14:textId="77777777" w:rsidR="00B90E45" w:rsidRPr="00C304D8" w:rsidRDefault="00B90E45" w:rsidP="00441FF5">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sidRPr="00C304D8" w:rsidDel="00DF4F96">
              <w:rPr>
                <w:sz w:val="20"/>
                <w:szCs w:val="20"/>
              </w:rPr>
              <w:t xml:space="preserve"> </w:t>
            </w:r>
            <w:r w:rsidR="00A92D46">
              <w:rPr>
                <w:sz w:val="20"/>
                <w:szCs w:val="20"/>
              </w:rPr>
              <w:t>Presenters for family e</w:t>
            </w:r>
            <w:r w:rsidRPr="00C304D8">
              <w:rPr>
                <w:sz w:val="20"/>
                <w:szCs w:val="20"/>
              </w:rPr>
              <w:t>ngagement offerings</w:t>
            </w:r>
          </w:p>
          <w:p w14:paraId="79C2FA00" w14:textId="77777777" w:rsidR="00B90E45" w:rsidRPr="00C304D8" w:rsidRDefault="00B90E45" w:rsidP="00441FF5">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sidRPr="00C304D8">
              <w:rPr>
                <w:sz w:val="20"/>
                <w:szCs w:val="20"/>
              </w:rPr>
              <w:t>Grant administration activities</w:t>
            </w:r>
            <w:r w:rsidR="00A25C25">
              <w:rPr>
                <w:sz w:val="20"/>
                <w:szCs w:val="20"/>
              </w:rPr>
              <w:t xml:space="preserve"> (including translation</w:t>
            </w:r>
            <w:r w:rsidRPr="00C304D8">
              <w:rPr>
                <w:sz w:val="20"/>
                <w:szCs w:val="20"/>
              </w:rPr>
              <w:t>)</w:t>
            </w:r>
          </w:p>
        </w:tc>
        <w:tc>
          <w:tcPr>
            <w:tcW w:w="3672" w:type="dxa"/>
            <w:gridSpan w:val="2"/>
          </w:tcPr>
          <w:p w14:paraId="5101D362" w14:textId="77777777" w:rsidR="00B90E45" w:rsidRDefault="00B90E45" w:rsidP="00441FF5">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C304D8">
              <w:rPr>
                <w:sz w:val="20"/>
                <w:szCs w:val="20"/>
              </w:rPr>
              <w:t>Substitutes for teachers not attending Title I, Part A funded PD</w:t>
            </w:r>
          </w:p>
          <w:p w14:paraId="47FDDD4B" w14:textId="11CCEFAC" w:rsidR="00A00FBA" w:rsidRPr="00A00FBA" w:rsidRDefault="00626589" w:rsidP="00A00FBA">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661D36">
              <w:rPr>
                <w:sz w:val="20"/>
                <w:szCs w:val="20"/>
              </w:rPr>
              <w:t>Training in the use of a dangerous weapon</w:t>
            </w:r>
          </w:p>
        </w:tc>
      </w:tr>
      <w:tr w:rsidR="00B90E45" w14:paraId="255ACC35" w14:textId="77777777" w:rsidTr="00FE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9D31364" w14:textId="5AE56C0E" w:rsidR="00B90E45" w:rsidRPr="00C304D8" w:rsidRDefault="00B90E45" w:rsidP="00396483">
            <w:pPr>
              <w:pStyle w:val="ListParagraph"/>
              <w:numPr>
                <w:ilvl w:val="0"/>
                <w:numId w:val="15"/>
              </w:numPr>
              <w:tabs>
                <w:tab w:val="left" w:pos="540"/>
                <w:tab w:val="left" w:pos="630"/>
              </w:tabs>
              <w:ind w:left="360"/>
              <w:rPr>
                <w:sz w:val="24"/>
                <w:szCs w:val="24"/>
              </w:rPr>
            </w:pPr>
            <w:r w:rsidRPr="00C304D8">
              <w:rPr>
                <w:sz w:val="24"/>
                <w:szCs w:val="24"/>
              </w:rPr>
              <w:lastRenderedPageBreak/>
              <w:t>Supplies and Materials</w:t>
            </w:r>
            <w:r w:rsidR="00396483">
              <w:rPr>
                <w:sz w:val="24"/>
                <w:szCs w:val="24"/>
              </w:rPr>
              <w:t xml:space="preserve"> </w:t>
            </w:r>
          </w:p>
        </w:tc>
        <w:tc>
          <w:tcPr>
            <w:tcW w:w="5346" w:type="dxa"/>
            <w:gridSpan w:val="2"/>
          </w:tcPr>
          <w:p w14:paraId="119BBEAB" w14:textId="2E22E9A2" w:rsidR="00B90E45" w:rsidRPr="00C304D8" w:rsidRDefault="00B90E45" w:rsidP="00441FF5">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Supplies and materials n</w:t>
            </w:r>
            <w:r w:rsidR="00A25C25">
              <w:rPr>
                <w:sz w:val="20"/>
                <w:szCs w:val="20"/>
              </w:rPr>
              <w:t>eeded to carry</w:t>
            </w:r>
            <w:r w:rsidR="00784E18">
              <w:rPr>
                <w:sz w:val="20"/>
                <w:szCs w:val="20"/>
              </w:rPr>
              <w:t xml:space="preserve"> </w:t>
            </w:r>
            <w:r w:rsidR="00A25C25">
              <w:rPr>
                <w:sz w:val="20"/>
                <w:szCs w:val="20"/>
              </w:rPr>
              <w:t>out Title I</w:t>
            </w:r>
            <w:r w:rsidRPr="00C304D8">
              <w:rPr>
                <w:sz w:val="20"/>
                <w:szCs w:val="20"/>
              </w:rPr>
              <w:t xml:space="preserve"> activities</w:t>
            </w:r>
          </w:p>
          <w:p w14:paraId="1EEE69B5" w14:textId="77777777" w:rsidR="00B90E45" w:rsidRPr="00C304D8" w:rsidRDefault="00B90E45" w:rsidP="00441FF5">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Academic assessments to gauge impact of Title I initiatives</w:t>
            </w:r>
          </w:p>
          <w:p w14:paraId="3B5A1873" w14:textId="77777777" w:rsidR="00B90E45" w:rsidRPr="00C304D8" w:rsidRDefault="00B90E45" w:rsidP="00441FF5">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Computers and software for use by Title I students</w:t>
            </w:r>
          </w:p>
          <w:p w14:paraId="0A68C980" w14:textId="77777777" w:rsidR="00B90E45" w:rsidRPr="00C304D8" w:rsidRDefault="00B90E45" w:rsidP="00441FF5">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Materials and refreshments for Title I parent engagement activities/meetings</w:t>
            </w:r>
          </w:p>
          <w:p w14:paraId="7106DF2E" w14:textId="77777777" w:rsidR="00B90E45" w:rsidRPr="00C304D8" w:rsidRDefault="00B90E45" w:rsidP="00441FF5">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Supplies for students experiencing homelessness</w:t>
            </w:r>
          </w:p>
          <w:p w14:paraId="2FACE3F2" w14:textId="77777777" w:rsidR="00B90E45" w:rsidRPr="00C304D8" w:rsidRDefault="00B90E45" w:rsidP="00441FF5">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Office supplies for administration of the grant</w:t>
            </w:r>
          </w:p>
        </w:tc>
        <w:tc>
          <w:tcPr>
            <w:tcW w:w="3672" w:type="dxa"/>
            <w:gridSpan w:val="2"/>
          </w:tcPr>
          <w:p w14:paraId="16B174B0" w14:textId="77777777" w:rsidR="00B90E45" w:rsidRPr="00C304D8" w:rsidRDefault="00B90E45" w:rsidP="00441FF5">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Supplies and materials for non-Title I schools and students (including screening assessments for students who are not yet Title I participants)</w:t>
            </w:r>
          </w:p>
          <w:p w14:paraId="79E1A542" w14:textId="122F4314" w:rsidR="00B90E45" w:rsidRDefault="00B90E45" w:rsidP="00441FF5">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C304D8">
              <w:rPr>
                <w:sz w:val="20"/>
                <w:szCs w:val="20"/>
              </w:rPr>
              <w:t>Alcohol, gifts, awards, fundraising costs, gift cards</w:t>
            </w:r>
            <w:r w:rsidR="00626589">
              <w:rPr>
                <w:sz w:val="20"/>
                <w:szCs w:val="20"/>
              </w:rPr>
              <w:t xml:space="preserve">, </w:t>
            </w:r>
            <w:r w:rsidR="00626589" w:rsidRPr="00661D36">
              <w:rPr>
                <w:sz w:val="20"/>
                <w:szCs w:val="20"/>
              </w:rPr>
              <w:t>dangerous weapons</w:t>
            </w:r>
          </w:p>
          <w:p w14:paraId="30D63923" w14:textId="72FF1BC6" w:rsidR="00AA5B01" w:rsidRPr="00871205" w:rsidRDefault="00F0141D" w:rsidP="00396483">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b/>
                <w:sz w:val="20"/>
                <w:szCs w:val="20"/>
              </w:rPr>
            </w:pPr>
            <w:r>
              <w:rPr>
                <w:b/>
                <w:i/>
                <w:sz w:val="18"/>
                <w:szCs w:val="24"/>
              </w:rPr>
              <w:t>S</w:t>
            </w:r>
            <w:r w:rsidR="00396483" w:rsidRPr="00871205">
              <w:rPr>
                <w:b/>
                <w:i/>
                <w:sz w:val="18"/>
                <w:szCs w:val="24"/>
              </w:rPr>
              <w:t>upplies</w:t>
            </w:r>
            <w:r w:rsidR="00396483">
              <w:rPr>
                <w:b/>
                <w:i/>
                <w:sz w:val="18"/>
                <w:szCs w:val="24"/>
              </w:rPr>
              <w:t xml:space="preserve"> costs </w:t>
            </w:r>
            <w:r>
              <w:rPr>
                <w:b/>
                <w:i/>
                <w:sz w:val="18"/>
                <w:szCs w:val="24"/>
              </w:rPr>
              <w:t>should not</w:t>
            </w:r>
            <w:r w:rsidR="00396483" w:rsidRPr="00871205">
              <w:rPr>
                <w:b/>
                <w:i/>
                <w:sz w:val="18"/>
                <w:szCs w:val="24"/>
              </w:rPr>
              <w:t xml:space="preserve"> exceed 10% of allocation without approved justification</w:t>
            </w:r>
            <w:r>
              <w:rPr>
                <w:b/>
                <w:i/>
                <w:sz w:val="18"/>
                <w:szCs w:val="24"/>
              </w:rPr>
              <w:t>.</w:t>
            </w:r>
          </w:p>
        </w:tc>
      </w:tr>
      <w:tr w:rsidR="00B90E45" w14:paraId="7B6BB25D" w14:textId="77777777" w:rsidTr="00FE1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758D496" w14:textId="77777777" w:rsidR="00B90E45" w:rsidRPr="00FE1A9F" w:rsidRDefault="00B90E45" w:rsidP="00B90E45">
            <w:pPr>
              <w:pStyle w:val="ListParagraph"/>
              <w:numPr>
                <w:ilvl w:val="0"/>
                <w:numId w:val="15"/>
              </w:numPr>
              <w:tabs>
                <w:tab w:val="left" w:pos="540"/>
                <w:tab w:val="left" w:pos="630"/>
              </w:tabs>
              <w:ind w:left="360"/>
              <w:rPr>
                <w:sz w:val="24"/>
                <w:szCs w:val="20"/>
              </w:rPr>
            </w:pPr>
            <w:r w:rsidRPr="00FE1A9F">
              <w:rPr>
                <w:sz w:val="24"/>
                <w:szCs w:val="20"/>
              </w:rPr>
              <w:t>Travel (Conference &amp; Course Registration)</w:t>
            </w:r>
          </w:p>
        </w:tc>
        <w:tc>
          <w:tcPr>
            <w:tcW w:w="5346" w:type="dxa"/>
            <w:gridSpan w:val="2"/>
          </w:tcPr>
          <w:p w14:paraId="15E05556" w14:textId="77777777" w:rsidR="00B90E45" w:rsidRPr="00FA34A8" w:rsidRDefault="00B90E45" w:rsidP="00441FF5">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Professional development registration and travel costs for administrators and </w:t>
            </w:r>
            <w:r w:rsidR="00A25C25">
              <w:rPr>
                <w:sz w:val="20"/>
                <w:szCs w:val="20"/>
              </w:rPr>
              <w:t>staff engaged in Title I</w:t>
            </w:r>
            <w:r>
              <w:rPr>
                <w:sz w:val="20"/>
                <w:szCs w:val="20"/>
              </w:rPr>
              <w:t xml:space="preserve"> activities</w:t>
            </w:r>
          </w:p>
          <w:p w14:paraId="5A368BB9" w14:textId="77777777" w:rsidR="00B90E45" w:rsidRPr="00FA34A8" w:rsidRDefault="00B90E45" w:rsidP="00441FF5">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Course reimbursement to advance Title I initiatives</w:t>
            </w:r>
          </w:p>
          <w:p w14:paraId="799B1CFB" w14:textId="77777777" w:rsidR="00B90E45" w:rsidRPr="00E64A49" w:rsidRDefault="00B90E45" w:rsidP="00441FF5">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Travel associated with provision of Title I services</w:t>
            </w:r>
          </w:p>
        </w:tc>
        <w:tc>
          <w:tcPr>
            <w:tcW w:w="3672" w:type="dxa"/>
            <w:gridSpan w:val="2"/>
          </w:tcPr>
          <w:p w14:paraId="4EB3D526" w14:textId="77777777" w:rsidR="00B90E45" w:rsidRDefault="00B90E45" w:rsidP="00441FF5">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Food and beverage reimbursement</w:t>
            </w:r>
          </w:p>
          <w:p w14:paraId="6404F855" w14:textId="77777777" w:rsidR="00FE0AE5" w:rsidRPr="00A14255" w:rsidRDefault="00FE0AE5" w:rsidP="00441FF5">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A14255">
              <w:rPr>
                <w:sz w:val="20"/>
                <w:szCs w:val="20"/>
              </w:rPr>
              <w:t>Out of state travel not approved by ESE</w:t>
            </w:r>
          </w:p>
          <w:p w14:paraId="2670935A" w14:textId="77777777" w:rsidR="00FE0AE5" w:rsidRDefault="00FE0AE5" w:rsidP="00441FF5">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A14255">
              <w:rPr>
                <w:sz w:val="20"/>
                <w:szCs w:val="20"/>
              </w:rPr>
              <w:t>Credit courses not specific to Title I</w:t>
            </w:r>
          </w:p>
          <w:p w14:paraId="2DB7B371" w14:textId="6A6C68F9" w:rsidR="00AA5B01" w:rsidRPr="008A468A" w:rsidRDefault="00F0141D" w:rsidP="00871205">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b/>
                <w:i/>
                <w:sz w:val="18"/>
                <w:szCs w:val="24"/>
              </w:rPr>
              <w:t>T</w:t>
            </w:r>
            <w:r w:rsidR="00396483">
              <w:rPr>
                <w:b/>
                <w:i/>
                <w:sz w:val="18"/>
                <w:szCs w:val="24"/>
              </w:rPr>
              <w:t>ravel costs</w:t>
            </w:r>
            <w:r>
              <w:rPr>
                <w:b/>
                <w:i/>
                <w:sz w:val="18"/>
                <w:szCs w:val="24"/>
              </w:rPr>
              <w:t xml:space="preserve"> should not </w:t>
            </w:r>
            <w:r w:rsidR="00396483" w:rsidRPr="008F70B9">
              <w:rPr>
                <w:b/>
                <w:i/>
                <w:sz w:val="18"/>
                <w:szCs w:val="24"/>
              </w:rPr>
              <w:t>exceed 10% of allocation without approved justification</w:t>
            </w:r>
            <w:r>
              <w:rPr>
                <w:b/>
                <w:i/>
                <w:sz w:val="18"/>
                <w:szCs w:val="24"/>
              </w:rPr>
              <w:t>.</w:t>
            </w:r>
          </w:p>
        </w:tc>
      </w:tr>
      <w:tr w:rsidR="00B90E45" w14:paraId="4798C65E" w14:textId="77777777" w:rsidTr="00FE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DA6A274" w14:textId="77777777" w:rsidR="00B90E45" w:rsidRPr="00FE1A9F" w:rsidRDefault="00B90E45" w:rsidP="00B90E45">
            <w:pPr>
              <w:pStyle w:val="ListParagraph"/>
              <w:numPr>
                <w:ilvl w:val="0"/>
                <w:numId w:val="15"/>
              </w:numPr>
              <w:tabs>
                <w:tab w:val="left" w:pos="540"/>
                <w:tab w:val="left" w:pos="630"/>
              </w:tabs>
              <w:ind w:left="360"/>
              <w:rPr>
                <w:sz w:val="24"/>
                <w:szCs w:val="20"/>
              </w:rPr>
            </w:pPr>
            <w:r w:rsidRPr="00FE1A9F">
              <w:rPr>
                <w:sz w:val="24"/>
                <w:szCs w:val="20"/>
              </w:rPr>
              <w:t>Other Costs</w:t>
            </w:r>
          </w:p>
        </w:tc>
        <w:tc>
          <w:tcPr>
            <w:tcW w:w="5346" w:type="dxa"/>
            <w:gridSpan w:val="2"/>
          </w:tcPr>
          <w:p w14:paraId="2CB321F8" w14:textId="4FDD93F7" w:rsidR="00B90E45" w:rsidRDefault="00B90E45" w:rsidP="00441FF5">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8A468A">
              <w:rPr>
                <w:sz w:val="20"/>
                <w:szCs w:val="20"/>
              </w:rPr>
              <w:t>M</w:t>
            </w:r>
            <w:r>
              <w:rPr>
                <w:sz w:val="20"/>
                <w:szCs w:val="20"/>
              </w:rPr>
              <w:t>emberships/</w:t>
            </w:r>
            <w:r w:rsidR="00784E18">
              <w:rPr>
                <w:sz w:val="20"/>
                <w:szCs w:val="20"/>
              </w:rPr>
              <w:t>s</w:t>
            </w:r>
            <w:r>
              <w:rPr>
                <w:sz w:val="20"/>
                <w:szCs w:val="20"/>
              </w:rPr>
              <w:t>ubscriptions</w:t>
            </w:r>
          </w:p>
          <w:p w14:paraId="6F2AFB3C" w14:textId="77777777" w:rsidR="00B90E45" w:rsidRDefault="00B90E45" w:rsidP="00441FF5">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Transportation to allow for student access to Title I-related initiatives if not available otherwise</w:t>
            </w:r>
          </w:p>
          <w:p w14:paraId="5EF52C53" w14:textId="77777777" w:rsidR="00B90E45" w:rsidRPr="008A468A" w:rsidRDefault="00B90E45" w:rsidP="00441FF5">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Transportation costs to maintain educati</w:t>
            </w:r>
            <w:r w:rsidR="001F4AB0">
              <w:rPr>
                <w:sz w:val="20"/>
                <w:szCs w:val="20"/>
              </w:rPr>
              <w:t>onal stability for students in foster c</w:t>
            </w:r>
            <w:r>
              <w:rPr>
                <w:sz w:val="20"/>
                <w:szCs w:val="20"/>
              </w:rPr>
              <w:t>are</w:t>
            </w:r>
          </w:p>
          <w:p w14:paraId="7EB24BFB" w14:textId="77777777" w:rsidR="00B90E45" w:rsidRPr="008A468A" w:rsidRDefault="00B90E45" w:rsidP="00441FF5">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Costs to im</w:t>
            </w:r>
            <w:r w:rsidR="00A25C25">
              <w:rPr>
                <w:sz w:val="20"/>
                <w:szCs w:val="20"/>
              </w:rPr>
              <w:t>prove the recruitment</w:t>
            </w:r>
            <w:r>
              <w:rPr>
                <w:sz w:val="20"/>
                <w:szCs w:val="20"/>
              </w:rPr>
              <w:t>, support, and retention of culturally competent and responsive educators, especially educators from underrepresented minority groups, to meet the needs of diverse student populations</w:t>
            </w:r>
          </w:p>
          <w:p w14:paraId="1919E89A" w14:textId="77777777" w:rsidR="00B90E45" w:rsidRPr="008A468A" w:rsidRDefault="00B90E45" w:rsidP="00441FF5">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Printing/c</w:t>
            </w:r>
            <w:r w:rsidRPr="008A468A">
              <w:rPr>
                <w:sz w:val="20"/>
                <w:szCs w:val="20"/>
              </w:rPr>
              <w:t xml:space="preserve">opying for </w:t>
            </w:r>
            <w:r>
              <w:rPr>
                <w:sz w:val="20"/>
                <w:szCs w:val="20"/>
              </w:rPr>
              <w:t>Title I-related activities</w:t>
            </w:r>
          </w:p>
          <w:p w14:paraId="11FD1EB6" w14:textId="77777777" w:rsidR="00B90E45" w:rsidRPr="008A468A" w:rsidRDefault="00B90E45" w:rsidP="00441FF5">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8A468A">
              <w:rPr>
                <w:sz w:val="20"/>
                <w:szCs w:val="20"/>
              </w:rPr>
              <w:t xml:space="preserve">Space rental for </w:t>
            </w:r>
            <w:r>
              <w:rPr>
                <w:sz w:val="20"/>
                <w:szCs w:val="20"/>
              </w:rPr>
              <w:t>Title I-related activities</w:t>
            </w:r>
          </w:p>
        </w:tc>
        <w:tc>
          <w:tcPr>
            <w:tcW w:w="3672" w:type="dxa"/>
            <w:gridSpan w:val="2"/>
          </w:tcPr>
          <w:p w14:paraId="368FD986" w14:textId="77777777" w:rsidR="00B90E45" w:rsidRPr="008A468A" w:rsidRDefault="00B90E45" w:rsidP="00441FF5">
            <w:pPr>
              <w:ind w:left="342" w:hanging="270"/>
              <w:cnfStyle w:val="000000100000" w:firstRow="0" w:lastRow="0" w:firstColumn="0" w:lastColumn="0" w:oddVBand="0" w:evenVBand="0" w:oddHBand="1" w:evenHBand="0" w:firstRowFirstColumn="0" w:firstRowLastColumn="0" w:lastRowFirstColumn="0" w:lastRowLastColumn="0"/>
              <w:rPr>
                <w:sz w:val="20"/>
                <w:szCs w:val="20"/>
              </w:rPr>
            </w:pPr>
          </w:p>
        </w:tc>
      </w:tr>
      <w:tr w:rsidR="00B90E45" w14:paraId="3DF291A7" w14:textId="77777777" w:rsidTr="00FE1A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AFED213" w14:textId="77777777" w:rsidR="00B90E45" w:rsidRPr="00FE1A9F" w:rsidRDefault="00FE1A9F" w:rsidP="00B90E45">
            <w:pPr>
              <w:pStyle w:val="ListParagraph"/>
              <w:numPr>
                <w:ilvl w:val="0"/>
                <w:numId w:val="15"/>
              </w:numPr>
              <w:tabs>
                <w:tab w:val="left" w:pos="540"/>
                <w:tab w:val="left" w:pos="630"/>
              </w:tabs>
              <w:ind w:left="360"/>
              <w:rPr>
                <w:sz w:val="24"/>
                <w:szCs w:val="20"/>
              </w:rPr>
            </w:pPr>
            <w:r>
              <w:rPr>
                <w:sz w:val="24"/>
                <w:szCs w:val="20"/>
              </w:rPr>
              <w:t xml:space="preserve">Indirect </w:t>
            </w:r>
            <w:r w:rsidR="00B90E45" w:rsidRPr="00FE1A9F">
              <w:rPr>
                <w:sz w:val="24"/>
                <w:szCs w:val="20"/>
              </w:rPr>
              <w:t>Costs</w:t>
            </w:r>
          </w:p>
        </w:tc>
        <w:tc>
          <w:tcPr>
            <w:tcW w:w="5346" w:type="dxa"/>
            <w:gridSpan w:val="2"/>
          </w:tcPr>
          <w:p w14:paraId="2CCDF925" w14:textId="77777777" w:rsidR="00B90E45" w:rsidRDefault="00B90E45" w:rsidP="00441FF5">
            <w:pPr>
              <w:pStyle w:val="ListParagraph"/>
              <w:numPr>
                <w:ilvl w:val="0"/>
                <w:numId w:val="23"/>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8A468A">
              <w:rPr>
                <w:sz w:val="20"/>
                <w:szCs w:val="20"/>
              </w:rPr>
              <w:t xml:space="preserve">District </w:t>
            </w:r>
            <w:hyperlink r:id="rId13" w:history="1">
              <w:r w:rsidRPr="001F4AB0">
                <w:rPr>
                  <w:rStyle w:val="Hyperlink"/>
                  <w:rFonts w:cstheme="minorBidi"/>
                  <w:sz w:val="20"/>
                  <w:szCs w:val="20"/>
                </w:rPr>
                <w:t>indirect cost rates</w:t>
              </w:r>
            </w:hyperlink>
            <w:r w:rsidRPr="008A468A">
              <w:rPr>
                <w:sz w:val="20"/>
                <w:szCs w:val="20"/>
              </w:rPr>
              <w:t xml:space="preserve"> </w:t>
            </w:r>
          </w:p>
          <w:p w14:paraId="74DBDCE6" w14:textId="77777777" w:rsidR="001F4AB0" w:rsidRPr="008A468A" w:rsidRDefault="001F4AB0" w:rsidP="00441FF5">
            <w:pPr>
              <w:pStyle w:val="ListParagraph"/>
              <w:ind w:left="342" w:hanging="270"/>
              <w:cnfStyle w:val="000000010000" w:firstRow="0" w:lastRow="0" w:firstColumn="0" w:lastColumn="0" w:oddVBand="0" w:evenVBand="0" w:oddHBand="0" w:evenHBand="1" w:firstRowFirstColumn="0" w:firstRowLastColumn="0" w:lastRowFirstColumn="0" w:lastRowLastColumn="0"/>
              <w:rPr>
                <w:sz w:val="20"/>
                <w:szCs w:val="20"/>
              </w:rPr>
            </w:pPr>
          </w:p>
        </w:tc>
        <w:tc>
          <w:tcPr>
            <w:tcW w:w="3672" w:type="dxa"/>
            <w:gridSpan w:val="2"/>
          </w:tcPr>
          <w:p w14:paraId="31B6694E" w14:textId="77777777" w:rsidR="00B90E45" w:rsidRPr="008A468A" w:rsidRDefault="00B90E45" w:rsidP="00441FF5">
            <w:pPr>
              <w:pStyle w:val="ListParagraph"/>
              <w:numPr>
                <w:ilvl w:val="0"/>
                <w:numId w:val="23"/>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8A468A">
              <w:rPr>
                <w:sz w:val="20"/>
                <w:szCs w:val="20"/>
              </w:rPr>
              <w:t>Indirect rate greater than the percentage assigned to district</w:t>
            </w:r>
          </w:p>
        </w:tc>
      </w:tr>
      <w:tr w:rsidR="00B90E45" w14:paraId="5884F633" w14:textId="77777777" w:rsidTr="00FE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DCA95FA" w14:textId="77777777" w:rsidR="00B90E45" w:rsidRPr="00FE1A9F" w:rsidRDefault="00B90E45" w:rsidP="00B90E45">
            <w:pPr>
              <w:pStyle w:val="ListParagraph"/>
              <w:numPr>
                <w:ilvl w:val="0"/>
                <w:numId w:val="15"/>
              </w:numPr>
              <w:tabs>
                <w:tab w:val="left" w:pos="540"/>
                <w:tab w:val="left" w:pos="630"/>
              </w:tabs>
              <w:ind w:left="360"/>
              <w:rPr>
                <w:sz w:val="24"/>
                <w:szCs w:val="20"/>
              </w:rPr>
            </w:pPr>
            <w:r w:rsidRPr="00FE1A9F">
              <w:rPr>
                <w:sz w:val="24"/>
                <w:szCs w:val="20"/>
              </w:rPr>
              <w:t>Equipment</w:t>
            </w:r>
          </w:p>
        </w:tc>
        <w:tc>
          <w:tcPr>
            <w:tcW w:w="5346" w:type="dxa"/>
            <w:gridSpan w:val="2"/>
          </w:tcPr>
          <w:p w14:paraId="7FE85748" w14:textId="77777777" w:rsidR="00B90E45" w:rsidRPr="00E96267" w:rsidRDefault="001F4AB0" w:rsidP="00441FF5">
            <w:pPr>
              <w:pStyle w:val="ListParagraph"/>
              <w:numPr>
                <w:ilvl w:val="0"/>
                <w:numId w:val="3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Equipment costing more than $5,000 per unit and having a useful life of more than a year</w:t>
            </w:r>
            <w:r w:rsidR="00B90E45" w:rsidRPr="00E96267">
              <w:rPr>
                <w:sz w:val="20"/>
                <w:szCs w:val="20"/>
              </w:rPr>
              <w:t>. All equipment must be used for Title I programs. Must be</w:t>
            </w:r>
            <w:r>
              <w:rPr>
                <w:sz w:val="20"/>
                <w:szCs w:val="20"/>
              </w:rPr>
              <w:t xml:space="preserve"> itemized with a brief statement of the need for the item</w:t>
            </w:r>
            <w:r w:rsidR="00B90E45" w:rsidRPr="00E96267">
              <w:rPr>
                <w:sz w:val="20"/>
                <w:szCs w:val="20"/>
              </w:rPr>
              <w:t>.</w:t>
            </w:r>
          </w:p>
        </w:tc>
        <w:tc>
          <w:tcPr>
            <w:tcW w:w="3672" w:type="dxa"/>
            <w:gridSpan w:val="2"/>
          </w:tcPr>
          <w:p w14:paraId="0F695F98" w14:textId="77777777" w:rsidR="00B90E45" w:rsidRPr="008A468A" w:rsidRDefault="00B90E45" w:rsidP="00441FF5">
            <w:pPr>
              <w:pStyle w:val="ListParagraph"/>
              <w:ind w:left="342" w:hanging="270"/>
              <w:cnfStyle w:val="000000100000" w:firstRow="0" w:lastRow="0" w:firstColumn="0" w:lastColumn="0" w:oddVBand="0" w:evenVBand="0" w:oddHBand="1" w:evenHBand="0" w:firstRowFirstColumn="0" w:firstRowLastColumn="0" w:lastRowFirstColumn="0" w:lastRowLastColumn="0"/>
              <w:rPr>
                <w:sz w:val="20"/>
                <w:szCs w:val="20"/>
              </w:rPr>
            </w:pPr>
          </w:p>
        </w:tc>
      </w:tr>
    </w:tbl>
    <w:p w14:paraId="7FE5F444" w14:textId="0558A3AA" w:rsidR="00C304D8" w:rsidRPr="008475A9" w:rsidRDefault="00FC6BE4" w:rsidP="008475A9">
      <w:pPr>
        <w:rPr>
          <w:b/>
          <w:i/>
          <w:sz w:val="20"/>
          <w:szCs w:val="20"/>
        </w:rPr>
      </w:pPr>
      <w:r>
        <w:rPr>
          <w:noProof/>
          <w:sz w:val="36"/>
          <w:szCs w:val="36"/>
        </w:rPr>
        <mc:AlternateContent>
          <mc:Choice Requires="wps">
            <w:drawing>
              <wp:anchor distT="0" distB="0" distL="114300" distR="114300" simplePos="0" relativeHeight="251661312" behindDoc="0" locked="0" layoutInCell="1" allowOverlap="1" wp14:anchorId="0DB33100" wp14:editId="3B540B61">
                <wp:simplePos x="0" y="0"/>
                <wp:positionH relativeFrom="column">
                  <wp:posOffset>4581525</wp:posOffset>
                </wp:positionH>
                <wp:positionV relativeFrom="paragraph">
                  <wp:posOffset>271780</wp:posOffset>
                </wp:positionV>
                <wp:extent cx="2381885" cy="3330575"/>
                <wp:effectExtent l="38100" t="38100" r="113665" b="117475"/>
                <wp:wrapNone/>
                <wp:docPr id="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333057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1C82B307" w14:textId="77777777" w:rsidR="001C5E67" w:rsidRPr="00596C87" w:rsidRDefault="001C5E67" w:rsidP="00C304D8">
                            <w:pPr>
                              <w:spacing w:after="0"/>
                              <w:rPr>
                                <w:b/>
                                <w:color w:val="1F497D" w:themeColor="text2"/>
                                <w:sz w:val="24"/>
                                <w:szCs w:val="28"/>
                              </w:rPr>
                            </w:pPr>
                            <w:r w:rsidRPr="00596C87">
                              <w:rPr>
                                <w:b/>
                                <w:color w:val="1F497D" w:themeColor="text2"/>
                                <w:sz w:val="24"/>
                                <w:szCs w:val="28"/>
                              </w:rPr>
                              <w:t>Amendments</w:t>
                            </w:r>
                          </w:p>
                          <w:p w14:paraId="5D1AD0E8" w14:textId="1C5451A4" w:rsidR="001C5E67" w:rsidRPr="00EC74F2" w:rsidRDefault="001C5E67" w:rsidP="00B4332D">
                            <w:pPr>
                              <w:pStyle w:val="ListParagraph"/>
                              <w:numPr>
                                <w:ilvl w:val="0"/>
                                <w:numId w:val="29"/>
                              </w:numPr>
                              <w:spacing w:after="0" w:line="240" w:lineRule="auto"/>
                              <w:ind w:left="270" w:hanging="270"/>
                              <w:rPr>
                                <w:rFonts w:cstheme="minorHAnsi"/>
                                <w:sz w:val="20"/>
                              </w:rPr>
                            </w:pPr>
                            <w:r w:rsidRPr="00873D07">
                              <w:rPr>
                                <w:rFonts w:cstheme="minorHAnsi"/>
                                <w:sz w:val="20"/>
                              </w:rPr>
                              <w:t>Required when there is any significant change in program objectives</w:t>
                            </w:r>
                            <w:r>
                              <w:rPr>
                                <w:rFonts w:cstheme="minorHAnsi"/>
                                <w:sz w:val="20"/>
                              </w:rPr>
                              <w:t>;</w:t>
                            </w:r>
                            <w:r w:rsidRPr="00873D07">
                              <w:rPr>
                                <w:rFonts w:cstheme="minorHAnsi"/>
                                <w:sz w:val="20"/>
                              </w:rPr>
                              <w:t xml:space="preserve"> any increase or decrease in the total amount of the grant</w:t>
                            </w:r>
                            <w:r>
                              <w:rPr>
                                <w:rFonts w:cstheme="minorHAnsi"/>
                                <w:sz w:val="20"/>
                              </w:rPr>
                              <w:t xml:space="preserve">; </w:t>
                            </w:r>
                            <w:r w:rsidRPr="00873D07">
                              <w:rPr>
                                <w:rFonts w:cstheme="minorHAnsi"/>
                                <w:sz w:val="20"/>
                              </w:rPr>
                              <w:t xml:space="preserve">an increase in a line of the budget </w:t>
                            </w:r>
                            <w:r>
                              <w:rPr>
                                <w:rFonts w:cstheme="minorHAnsi"/>
                                <w:sz w:val="20"/>
                              </w:rPr>
                              <w:t xml:space="preserve">that </w:t>
                            </w:r>
                            <w:r w:rsidRPr="00873D07">
                              <w:rPr>
                                <w:rFonts w:cstheme="minorHAnsi"/>
                                <w:sz w:val="20"/>
                              </w:rPr>
                              <w:t>exceeds $100 or 10% of the line (whichever is greater</w:t>
                            </w:r>
                            <w:r w:rsidR="004172C8" w:rsidRPr="00873D07">
                              <w:rPr>
                                <w:rFonts w:cstheme="minorHAnsi"/>
                                <w:sz w:val="20"/>
                              </w:rPr>
                              <w:t>) or</w:t>
                            </w:r>
                            <w:r w:rsidRPr="00873D07">
                              <w:rPr>
                                <w:rFonts w:cstheme="minorHAnsi"/>
                                <w:sz w:val="20"/>
                              </w:rPr>
                              <w:t xml:space="preserve"> exceeds $10,000.</w:t>
                            </w:r>
                          </w:p>
                          <w:p w14:paraId="5D04B488" w14:textId="3BB4A2F9" w:rsidR="004E42E5" w:rsidRPr="0049249F" w:rsidRDefault="004E42E5" w:rsidP="004E42E5">
                            <w:pPr>
                              <w:pStyle w:val="ListParagraph"/>
                              <w:numPr>
                                <w:ilvl w:val="0"/>
                                <w:numId w:val="29"/>
                              </w:numPr>
                              <w:spacing w:after="0" w:line="240" w:lineRule="auto"/>
                              <w:ind w:left="270" w:right="35" w:hanging="270"/>
                              <w:rPr>
                                <w:rFonts w:cstheme="minorHAnsi"/>
                                <w:b/>
                                <w:bCs/>
                                <w:sz w:val="20"/>
                                <w:szCs w:val="20"/>
                              </w:rPr>
                            </w:pPr>
                            <w:r w:rsidRPr="0049249F">
                              <w:rPr>
                                <w:rFonts w:cstheme="minorHAnsi"/>
                                <w:b/>
                                <w:bCs/>
                                <w:sz w:val="20"/>
                                <w:szCs w:val="20"/>
                              </w:rPr>
                              <w:t xml:space="preserve">For </w:t>
                            </w:r>
                            <w:r w:rsidR="00EB027E">
                              <w:rPr>
                                <w:rFonts w:cstheme="minorHAnsi"/>
                                <w:b/>
                                <w:bCs/>
                                <w:sz w:val="20"/>
                                <w:szCs w:val="20"/>
                              </w:rPr>
                              <w:t xml:space="preserve">ongoing FY23 </w:t>
                            </w:r>
                            <w:r w:rsidRPr="0049249F">
                              <w:rPr>
                                <w:rFonts w:cstheme="minorHAnsi"/>
                                <w:b/>
                                <w:bCs/>
                                <w:sz w:val="20"/>
                                <w:szCs w:val="20"/>
                              </w:rPr>
                              <w:t xml:space="preserve">grants administered via EdGrants, </w:t>
                            </w:r>
                            <w:r w:rsidRPr="0049249F">
                              <w:rPr>
                                <w:rFonts w:cstheme="minorHAnsi"/>
                                <w:sz w:val="20"/>
                                <w:szCs w:val="20"/>
                              </w:rPr>
                              <w:t xml:space="preserve">request and submit an amendment between the 1st and the 15th of the month as to not collide with the payment request windows. To request an amendment, email your district liaison. </w:t>
                            </w:r>
                          </w:p>
                          <w:p w14:paraId="26D31A5E" w14:textId="7B6C0CD7" w:rsidR="001C5E67" w:rsidRPr="00EC74F2" w:rsidRDefault="004E42E5" w:rsidP="00B4332D">
                            <w:pPr>
                              <w:pStyle w:val="ListParagraph"/>
                              <w:numPr>
                                <w:ilvl w:val="0"/>
                                <w:numId w:val="29"/>
                              </w:numPr>
                              <w:spacing w:after="160" w:line="240" w:lineRule="auto"/>
                              <w:ind w:left="270" w:hanging="270"/>
                              <w:rPr>
                                <w:rFonts w:cstheme="minorHAnsi"/>
                                <w:sz w:val="20"/>
                              </w:rPr>
                            </w:pPr>
                            <w:r w:rsidRPr="0049249F">
                              <w:rPr>
                                <w:rFonts w:cstheme="minorHAnsi"/>
                                <w:b/>
                                <w:bCs/>
                                <w:sz w:val="20"/>
                                <w:szCs w:val="20"/>
                              </w:rPr>
                              <w:t>Amendments for grants administered through the new Grants for Education Management System (GEM$)</w:t>
                            </w:r>
                            <w:r w:rsidRPr="00036171">
                              <w:rPr>
                                <w:rFonts w:cstheme="minorHAnsi"/>
                                <w:sz w:val="20"/>
                                <w:szCs w:val="20"/>
                              </w:rPr>
                              <w:t>,</w:t>
                            </w:r>
                            <w:r w:rsidRPr="0049249F">
                              <w:rPr>
                                <w:rFonts w:cstheme="minorHAnsi"/>
                                <w:b/>
                                <w:bCs/>
                                <w:sz w:val="20"/>
                                <w:szCs w:val="20"/>
                              </w:rPr>
                              <w:t xml:space="preserve"> </w:t>
                            </w:r>
                            <w:r w:rsidRPr="0049249F">
                              <w:rPr>
                                <w:rFonts w:cstheme="minorHAnsi"/>
                                <w:sz w:val="20"/>
                                <w:szCs w:val="20"/>
                              </w:rPr>
                              <w:t>i.e., FY2</w:t>
                            </w:r>
                            <w:r w:rsidR="003C14F7">
                              <w:rPr>
                                <w:rFonts w:cstheme="minorHAnsi"/>
                                <w:sz w:val="20"/>
                                <w:szCs w:val="20"/>
                              </w:rPr>
                              <w:t>4</w:t>
                            </w:r>
                            <w:r w:rsidRPr="0049249F">
                              <w:rPr>
                                <w:rFonts w:cstheme="minorHAnsi"/>
                                <w:sz w:val="20"/>
                                <w:szCs w:val="20"/>
                              </w:rPr>
                              <w:t xml:space="preserve"> FC </w:t>
                            </w:r>
                            <w:r w:rsidR="00AC5087">
                              <w:rPr>
                                <w:rFonts w:cstheme="minorHAnsi"/>
                                <w:sz w:val="20"/>
                                <w:szCs w:val="20"/>
                              </w:rPr>
                              <w:t>305</w:t>
                            </w:r>
                            <w:r w:rsidRPr="0049249F">
                              <w:rPr>
                                <w:rFonts w:cstheme="minorHAnsi"/>
                                <w:sz w:val="20"/>
                                <w:szCs w:val="20"/>
                              </w:rPr>
                              <w:t>, should be processed in GEM$.</w:t>
                            </w:r>
                            <w:r w:rsidR="001C5E67" w:rsidRPr="00873D07">
                              <w:rPr>
                                <w:rFonts w:cstheme="minorHAns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33100" id="_x0000_t202" coordsize="21600,21600" o:spt="202" path="m,l,21600r21600,l21600,xe">
                <v:stroke joinstyle="miter"/>
                <v:path gradientshapeok="t" o:connecttype="rect"/>
              </v:shapetype>
              <v:shape id="Text Box 17" o:spid="_x0000_s1026" type="#_x0000_t202" style="position:absolute;margin-left:360.75pt;margin-top:21.4pt;width:187.55pt;height:2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" strokecolor="#365f91 [2404]" strokeweight=".25pt">
                <v:shadow on="t" color="black" opacity="26214f" origin="-.5,-.5" offset=".74836mm,.74836mm"/>
                <v:textbox>
                  <w:txbxContent>
                    <w:p w14:paraId="1C82B307" w14:textId="77777777" w:rsidR="001C5E67" w:rsidRPr="00596C87" w:rsidRDefault="001C5E67" w:rsidP="00C304D8">
                      <w:pPr>
                        <w:spacing w:after="0"/>
                        <w:rPr>
                          <w:b/>
                          <w:color w:val="1F497D" w:themeColor="text2"/>
                          <w:sz w:val="24"/>
                          <w:szCs w:val="28"/>
                        </w:rPr>
                      </w:pPr>
                      <w:r w:rsidRPr="00596C87">
                        <w:rPr>
                          <w:b/>
                          <w:color w:val="1F497D" w:themeColor="text2"/>
                          <w:sz w:val="24"/>
                          <w:szCs w:val="28"/>
                        </w:rPr>
                        <w:t>Amendments</w:t>
                      </w:r>
                    </w:p>
                    <w:p w14:paraId="5D1AD0E8" w14:textId="1C5451A4" w:rsidR="001C5E67" w:rsidRPr="00EC74F2" w:rsidRDefault="001C5E67" w:rsidP="00B4332D">
                      <w:pPr>
                        <w:pStyle w:val="ListParagraph"/>
                        <w:numPr>
                          <w:ilvl w:val="0"/>
                          <w:numId w:val="29"/>
                        </w:numPr>
                        <w:spacing w:after="0" w:line="240" w:lineRule="auto"/>
                        <w:ind w:left="270" w:hanging="270"/>
                        <w:rPr>
                          <w:rFonts w:cstheme="minorHAnsi"/>
                          <w:sz w:val="20"/>
                        </w:rPr>
                      </w:pPr>
                      <w:r w:rsidRPr="00873D07">
                        <w:rPr>
                          <w:rFonts w:cstheme="minorHAnsi"/>
                          <w:sz w:val="20"/>
                        </w:rPr>
                        <w:t>Required when there is any significant change in program objectives</w:t>
                      </w:r>
                      <w:r>
                        <w:rPr>
                          <w:rFonts w:cstheme="minorHAnsi"/>
                          <w:sz w:val="20"/>
                        </w:rPr>
                        <w:t>;</w:t>
                      </w:r>
                      <w:r w:rsidRPr="00873D07">
                        <w:rPr>
                          <w:rFonts w:cstheme="minorHAnsi"/>
                          <w:sz w:val="20"/>
                        </w:rPr>
                        <w:t xml:space="preserve"> any increase or decrease in the total amount of the grant</w:t>
                      </w:r>
                      <w:r>
                        <w:rPr>
                          <w:rFonts w:cstheme="minorHAnsi"/>
                          <w:sz w:val="20"/>
                        </w:rPr>
                        <w:t xml:space="preserve">; </w:t>
                      </w:r>
                      <w:r w:rsidRPr="00873D07">
                        <w:rPr>
                          <w:rFonts w:cstheme="minorHAnsi"/>
                          <w:sz w:val="20"/>
                        </w:rPr>
                        <w:t xml:space="preserve">an increase in a line of the budget </w:t>
                      </w:r>
                      <w:r>
                        <w:rPr>
                          <w:rFonts w:cstheme="minorHAnsi"/>
                          <w:sz w:val="20"/>
                        </w:rPr>
                        <w:t xml:space="preserve">that </w:t>
                      </w:r>
                      <w:r w:rsidRPr="00873D07">
                        <w:rPr>
                          <w:rFonts w:cstheme="minorHAnsi"/>
                          <w:sz w:val="20"/>
                        </w:rPr>
                        <w:t>exceeds $100 or 10% of the line (whichever is greater</w:t>
                      </w:r>
                      <w:r w:rsidR="004172C8" w:rsidRPr="00873D07">
                        <w:rPr>
                          <w:rFonts w:cstheme="minorHAnsi"/>
                          <w:sz w:val="20"/>
                        </w:rPr>
                        <w:t>) or</w:t>
                      </w:r>
                      <w:r w:rsidRPr="00873D07">
                        <w:rPr>
                          <w:rFonts w:cstheme="minorHAnsi"/>
                          <w:sz w:val="20"/>
                        </w:rPr>
                        <w:t xml:space="preserve"> exceeds $10,000.</w:t>
                      </w:r>
                    </w:p>
                    <w:p w14:paraId="5D04B488" w14:textId="3BB4A2F9" w:rsidR="004E42E5" w:rsidRPr="0049249F" w:rsidRDefault="004E42E5" w:rsidP="004E42E5">
                      <w:pPr>
                        <w:pStyle w:val="ListParagraph"/>
                        <w:numPr>
                          <w:ilvl w:val="0"/>
                          <w:numId w:val="29"/>
                        </w:numPr>
                        <w:spacing w:after="0" w:line="240" w:lineRule="auto"/>
                        <w:ind w:left="270" w:right="35" w:hanging="270"/>
                        <w:rPr>
                          <w:rFonts w:cstheme="minorHAnsi"/>
                          <w:b/>
                          <w:bCs/>
                          <w:sz w:val="20"/>
                          <w:szCs w:val="20"/>
                        </w:rPr>
                      </w:pPr>
                      <w:r w:rsidRPr="0049249F">
                        <w:rPr>
                          <w:rFonts w:cstheme="minorHAnsi"/>
                          <w:b/>
                          <w:bCs/>
                          <w:sz w:val="20"/>
                          <w:szCs w:val="20"/>
                        </w:rPr>
                        <w:t xml:space="preserve">For </w:t>
                      </w:r>
                      <w:r w:rsidR="00EB027E">
                        <w:rPr>
                          <w:rFonts w:cstheme="minorHAnsi"/>
                          <w:b/>
                          <w:bCs/>
                          <w:sz w:val="20"/>
                          <w:szCs w:val="20"/>
                        </w:rPr>
                        <w:t xml:space="preserve">ongoing FY23 </w:t>
                      </w:r>
                      <w:r w:rsidRPr="0049249F">
                        <w:rPr>
                          <w:rFonts w:cstheme="minorHAnsi"/>
                          <w:b/>
                          <w:bCs/>
                          <w:sz w:val="20"/>
                          <w:szCs w:val="20"/>
                        </w:rPr>
                        <w:t xml:space="preserve">grants administered via EdGrants, </w:t>
                      </w:r>
                      <w:r w:rsidRPr="0049249F">
                        <w:rPr>
                          <w:rFonts w:cstheme="minorHAnsi"/>
                          <w:sz w:val="20"/>
                          <w:szCs w:val="20"/>
                        </w:rPr>
                        <w:t xml:space="preserve">request and submit an amendment between the 1st and the 15th of the month as to not collide with the payment request windows. To request an amendment, email your district liaison. </w:t>
                      </w:r>
                    </w:p>
                    <w:p w14:paraId="26D31A5E" w14:textId="7B6C0CD7" w:rsidR="001C5E67" w:rsidRPr="00EC74F2" w:rsidRDefault="004E42E5" w:rsidP="00B4332D">
                      <w:pPr>
                        <w:pStyle w:val="ListParagraph"/>
                        <w:numPr>
                          <w:ilvl w:val="0"/>
                          <w:numId w:val="29"/>
                        </w:numPr>
                        <w:spacing w:after="160" w:line="240" w:lineRule="auto"/>
                        <w:ind w:left="270" w:hanging="270"/>
                        <w:rPr>
                          <w:rFonts w:cstheme="minorHAnsi"/>
                          <w:sz w:val="20"/>
                        </w:rPr>
                      </w:pPr>
                      <w:r w:rsidRPr="0049249F">
                        <w:rPr>
                          <w:rFonts w:cstheme="minorHAnsi"/>
                          <w:b/>
                          <w:bCs/>
                          <w:sz w:val="20"/>
                          <w:szCs w:val="20"/>
                        </w:rPr>
                        <w:t>Amendments for grants administered through the new Grants for Education Management System (GEM$)</w:t>
                      </w:r>
                      <w:r w:rsidRPr="00036171">
                        <w:rPr>
                          <w:rFonts w:cstheme="minorHAnsi"/>
                          <w:sz w:val="20"/>
                          <w:szCs w:val="20"/>
                        </w:rPr>
                        <w:t>,</w:t>
                      </w:r>
                      <w:r w:rsidRPr="0049249F">
                        <w:rPr>
                          <w:rFonts w:cstheme="minorHAnsi"/>
                          <w:b/>
                          <w:bCs/>
                          <w:sz w:val="20"/>
                          <w:szCs w:val="20"/>
                        </w:rPr>
                        <w:t xml:space="preserve"> </w:t>
                      </w:r>
                      <w:r w:rsidRPr="0049249F">
                        <w:rPr>
                          <w:rFonts w:cstheme="minorHAnsi"/>
                          <w:sz w:val="20"/>
                          <w:szCs w:val="20"/>
                        </w:rPr>
                        <w:t>i.e., FY2</w:t>
                      </w:r>
                      <w:r w:rsidR="003C14F7">
                        <w:rPr>
                          <w:rFonts w:cstheme="minorHAnsi"/>
                          <w:sz w:val="20"/>
                          <w:szCs w:val="20"/>
                        </w:rPr>
                        <w:t>4</w:t>
                      </w:r>
                      <w:r w:rsidRPr="0049249F">
                        <w:rPr>
                          <w:rFonts w:cstheme="minorHAnsi"/>
                          <w:sz w:val="20"/>
                          <w:szCs w:val="20"/>
                        </w:rPr>
                        <w:t xml:space="preserve"> FC </w:t>
                      </w:r>
                      <w:r w:rsidR="00AC5087">
                        <w:rPr>
                          <w:rFonts w:cstheme="minorHAnsi"/>
                          <w:sz w:val="20"/>
                          <w:szCs w:val="20"/>
                        </w:rPr>
                        <w:t>305</w:t>
                      </w:r>
                      <w:r w:rsidRPr="0049249F">
                        <w:rPr>
                          <w:rFonts w:cstheme="minorHAnsi"/>
                          <w:sz w:val="20"/>
                          <w:szCs w:val="20"/>
                        </w:rPr>
                        <w:t>, should be processed in GEM$.</w:t>
                      </w:r>
                      <w:r w:rsidR="001C5E67" w:rsidRPr="00873D07">
                        <w:rPr>
                          <w:rFonts w:cstheme="minorHAnsi"/>
                          <w:sz w:val="20"/>
                        </w:rPr>
                        <w:t xml:space="preserve">  </w:t>
                      </w:r>
                    </w:p>
                  </w:txbxContent>
                </v:textbox>
              </v:shape>
            </w:pict>
          </mc:Fallback>
        </mc:AlternateContent>
      </w:r>
      <w:r w:rsidRPr="008475A9">
        <w:rPr>
          <w:b/>
          <w:i/>
          <w:noProof/>
          <w:sz w:val="20"/>
          <w:szCs w:val="20"/>
        </w:rPr>
        <mc:AlternateContent>
          <mc:Choice Requires="wps">
            <w:drawing>
              <wp:anchor distT="0" distB="0" distL="114300" distR="114300" simplePos="0" relativeHeight="251667456" behindDoc="0" locked="0" layoutInCell="1" allowOverlap="1" wp14:anchorId="3D397EFD" wp14:editId="0ECD7A1D">
                <wp:simplePos x="0" y="0"/>
                <wp:positionH relativeFrom="column">
                  <wp:posOffset>8890</wp:posOffset>
                </wp:positionH>
                <wp:positionV relativeFrom="paragraph">
                  <wp:posOffset>278130</wp:posOffset>
                </wp:positionV>
                <wp:extent cx="4486275" cy="2162175"/>
                <wp:effectExtent l="38100" t="38100" r="123825" b="123825"/>
                <wp:wrapNone/>
                <wp:docPr id="1"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16217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7AA9589A" w14:textId="77777777" w:rsidR="001C5E67" w:rsidRPr="00C304D8" w:rsidRDefault="001C5E67" w:rsidP="00B945C5">
                            <w:pPr>
                              <w:spacing w:after="0"/>
                              <w:rPr>
                                <w:b/>
                                <w:color w:val="1F497D" w:themeColor="text2"/>
                                <w:sz w:val="24"/>
                                <w:szCs w:val="28"/>
                              </w:rPr>
                            </w:pPr>
                            <w:r>
                              <w:rPr>
                                <w:b/>
                                <w:color w:val="1F497D" w:themeColor="text2"/>
                                <w:sz w:val="24"/>
                                <w:szCs w:val="28"/>
                              </w:rPr>
                              <w:t>Supplement not Supplant in Title I under ESSA</w:t>
                            </w:r>
                          </w:p>
                          <w:p w14:paraId="4DB904A7" w14:textId="77777777" w:rsidR="001C5E67" w:rsidRPr="00554BAB" w:rsidRDefault="001C5E67" w:rsidP="00B4332D">
                            <w:pPr>
                              <w:pStyle w:val="ListParagraph"/>
                              <w:numPr>
                                <w:ilvl w:val="0"/>
                                <w:numId w:val="34"/>
                              </w:numPr>
                              <w:spacing w:line="240" w:lineRule="auto"/>
                              <w:ind w:left="270" w:hanging="270"/>
                              <w:rPr>
                                <w:b/>
                                <w:i/>
                                <w:sz w:val="20"/>
                              </w:rPr>
                            </w:pPr>
                            <w:r w:rsidRPr="00CE132A">
                              <w:rPr>
                                <w:sz w:val="20"/>
                              </w:rPr>
                              <w:t>Title I funds should add to (supplement) and not replace (supplant) state a</w:t>
                            </w:r>
                            <w:r>
                              <w:rPr>
                                <w:sz w:val="20"/>
                              </w:rPr>
                              <w:t>nd local funds. P</w:t>
                            </w:r>
                            <w:r w:rsidRPr="00CE132A">
                              <w:rPr>
                                <w:bCs/>
                                <w:sz w:val="20"/>
                              </w:rPr>
                              <w:t xml:space="preserve">rior to </w:t>
                            </w:r>
                            <w:r>
                              <w:rPr>
                                <w:bCs/>
                                <w:sz w:val="20"/>
                              </w:rPr>
                              <w:t xml:space="preserve">reauthorization of ESEA under </w:t>
                            </w:r>
                            <w:r w:rsidRPr="00CE132A">
                              <w:rPr>
                                <w:bCs/>
                                <w:sz w:val="20"/>
                              </w:rPr>
                              <w:t xml:space="preserve">ESSA, supplement </w:t>
                            </w:r>
                            <w:proofErr w:type="gramStart"/>
                            <w:r w:rsidRPr="00CE132A">
                              <w:rPr>
                                <w:bCs/>
                                <w:sz w:val="20"/>
                              </w:rPr>
                              <w:t>not supplant</w:t>
                            </w:r>
                            <w:proofErr w:type="gramEnd"/>
                            <w:r w:rsidRPr="00CE132A">
                              <w:rPr>
                                <w:bCs/>
                                <w:sz w:val="20"/>
                              </w:rPr>
                              <w:t xml:space="preserve"> was typically tested by analyzing an individual Title I cost’s compliance with “three presumptions of supplanting</w:t>
                            </w:r>
                            <w:r w:rsidRPr="00554BAB">
                              <w:rPr>
                                <w:bCs/>
                                <w:sz w:val="20"/>
                              </w:rPr>
                              <w:t>.”</w:t>
                            </w:r>
                            <w:r w:rsidRPr="00554BAB">
                              <w:rPr>
                                <w:b/>
                                <w:bCs/>
                                <w:i/>
                                <w:sz w:val="20"/>
                              </w:rPr>
                              <w:t xml:space="preserve"> Under ESSA, compliance with SNS will no longer be tested through individual Title I costs,</w:t>
                            </w:r>
                            <w:r w:rsidRPr="00554BAB">
                              <w:rPr>
                                <w:b/>
                                <w:bCs/>
                                <w:i/>
                                <w:sz w:val="20"/>
                                <w:vertAlign w:val="superscript"/>
                              </w:rPr>
                              <w:t xml:space="preserve"> </w:t>
                            </w:r>
                            <w:r w:rsidRPr="00554BAB">
                              <w:rPr>
                                <w:b/>
                                <w:bCs/>
                                <w:i/>
                                <w:sz w:val="20"/>
                              </w:rPr>
                              <w:t xml:space="preserve">so these three presumptions no longer apply.  </w:t>
                            </w:r>
                          </w:p>
                          <w:p w14:paraId="4DF46C7C" w14:textId="77777777" w:rsidR="001C5E67" w:rsidRPr="00CE132A" w:rsidRDefault="001C5E67" w:rsidP="00B4332D">
                            <w:pPr>
                              <w:pStyle w:val="ListParagraph"/>
                              <w:numPr>
                                <w:ilvl w:val="0"/>
                                <w:numId w:val="34"/>
                              </w:numPr>
                              <w:spacing w:line="240" w:lineRule="auto"/>
                              <w:ind w:left="270" w:hanging="270"/>
                              <w:rPr>
                                <w:sz w:val="20"/>
                              </w:rPr>
                            </w:pPr>
                            <w:r>
                              <w:rPr>
                                <w:bCs/>
                                <w:sz w:val="20"/>
                              </w:rPr>
                              <w:t>Under ESSA</w:t>
                            </w:r>
                            <w:r w:rsidRPr="00CE132A">
                              <w:rPr>
                                <w:bCs/>
                                <w:sz w:val="20"/>
                              </w:rPr>
                              <w:t xml:space="preserve">, districts must demonstrate that the methodology they use to allocate state and local funds to schools provides each Title I school with all of the state and local money it would receive if it did not participate in the Title I program. </w:t>
                            </w:r>
                            <w:r w:rsidRPr="00CE132A">
                              <w:rPr>
                                <w:sz w:val="20"/>
                              </w:rPr>
                              <w:t>This should expa</w:t>
                            </w:r>
                            <w:r>
                              <w:rPr>
                                <w:sz w:val="20"/>
                              </w:rPr>
                              <w:t xml:space="preserve">nd Title I’s spending options. </w:t>
                            </w:r>
                            <w:r w:rsidRPr="00CE132A">
                              <w:rPr>
                                <w:sz w:val="20"/>
                              </w:rPr>
                              <w:t>Title I costs must still be allowable and must still support eligible stude</w:t>
                            </w:r>
                            <w:r>
                              <w:rPr>
                                <w:sz w:val="20"/>
                              </w:rPr>
                              <w:t>nts among other requirements.</w:t>
                            </w:r>
                          </w:p>
                          <w:p w14:paraId="34F2A784" w14:textId="77777777" w:rsidR="001C5E67" w:rsidRPr="00B945C5" w:rsidRDefault="001C5E67" w:rsidP="00B945C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97EFD" id="Text Box 16" o:spid="_x0000_s1027" type="#_x0000_t202" style="position:absolute;margin-left:.7pt;margin-top:21.9pt;width:353.25pt;height:17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" strokecolor="#365f91 [2404]" strokeweight=".25pt">
                <v:shadow on="t" color="black" opacity="26214f" origin="-.5,-.5" offset=".74836mm,.74836mm"/>
                <v:textbox>
                  <w:txbxContent>
                    <w:p w14:paraId="7AA9589A" w14:textId="77777777" w:rsidR="001C5E67" w:rsidRPr="00C304D8" w:rsidRDefault="001C5E67" w:rsidP="00B945C5">
                      <w:pPr>
                        <w:spacing w:after="0"/>
                        <w:rPr>
                          <w:b/>
                          <w:color w:val="1F497D" w:themeColor="text2"/>
                          <w:sz w:val="24"/>
                          <w:szCs w:val="28"/>
                        </w:rPr>
                      </w:pPr>
                      <w:r>
                        <w:rPr>
                          <w:b/>
                          <w:color w:val="1F497D" w:themeColor="text2"/>
                          <w:sz w:val="24"/>
                          <w:szCs w:val="28"/>
                        </w:rPr>
                        <w:t>Supplement not Supplant in Title I under ESSA</w:t>
                      </w:r>
                    </w:p>
                    <w:p w14:paraId="4DB904A7" w14:textId="77777777" w:rsidR="001C5E67" w:rsidRPr="00554BAB" w:rsidRDefault="001C5E67" w:rsidP="00B4332D">
                      <w:pPr>
                        <w:pStyle w:val="ListParagraph"/>
                        <w:numPr>
                          <w:ilvl w:val="0"/>
                          <w:numId w:val="34"/>
                        </w:numPr>
                        <w:spacing w:line="240" w:lineRule="auto"/>
                        <w:ind w:left="270" w:hanging="270"/>
                        <w:rPr>
                          <w:b/>
                          <w:i/>
                          <w:sz w:val="20"/>
                        </w:rPr>
                      </w:pPr>
                      <w:r w:rsidRPr="00CE132A">
                        <w:rPr>
                          <w:sz w:val="20"/>
                        </w:rPr>
                        <w:t>Title I funds should add to (supplement) and not replace (supplant) state a</w:t>
                      </w:r>
                      <w:r>
                        <w:rPr>
                          <w:sz w:val="20"/>
                        </w:rPr>
                        <w:t>nd local funds. P</w:t>
                      </w:r>
                      <w:r w:rsidRPr="00CE132A">
                        <w:rPr>
                          <w:bCs/>
                          <w:sz w:val="20"/>
                        </w:rPr>
                        <w:t xml:space="preserve">rior to </w:t>
                      </w:r>
                      <w:r>
                        <w:rPr>
                          <w:bCs/>
                          <w:sz w:val="20"/>
                        </w:rPr>
                        <w:t xml:space="preserve">reauthorization of ESEA under </w:t>
                      </w:r>
                      <w:r w:rsidRPr="00CE132A">
                        <w:rPr>
                          <w:bCs/>
                          <w:sz w:val="20"/>
                        </w:rPr>
                        <w:t xml:space="preserve">ESSA, supplement </w:t>
                      </w:r>
                      <w:proofErr w:type="gramStart"/>
                      <w:r w:rsidRPr="00CE132A">
                        <w:rPr>
                          <w:bCs/>
                          <w:sz w:val="20"/>
                        </w:rPr>
                        <w:t>not supplant</w:t>
                      </w:r>
                      <w:proofErr w:type="gramEnd"/>
                      <w:r w:rsidRPr="00CE132A">
                        <w:rPr>
                          <w:bCs/>
                          <w:sz w:val="20"/>
                        </w:rPr>
                        <w:t xml:space="preserve"> was typically tested by analyzing an individual Title I cost’s compliance with “three presumptions of supplanting</w:t>
                      </w:r>
                      <w:r w:rsidRPr="00554BAB">
                        <w:rPr>
                          <w:bCs/>
                          <w:sz w:val="20"/>
                        </w:rPr>
                        <w:t>.”</w:t>
                      </w:r>
                      <w:r w:rsidRPr="00554BAB">
                        <w:rPr>
                          <w:b/>
                          <w:bCs/>
                          <w:i/>
                          <w:sz w:val="20"/>
                        </w:rPr>
                        <w:t xml:space="preserve"> Under ESSA, compliance with SNS will no longer be tested through individual Title I costs,</w:t>
                      </w:r>
                      <w:r w:rsidRPr="00554BAB">
                        <w:rPr>
                          <w:b/>
                          <w:bCs/>
                          <w:i/>
                          <w:sz w:val="20"/>
                          <w:vertAlign w:val="superscript"/>
                        </w:rPr>
                        <w:t xml:space="preserve"> </w:t>
                      </w:r>
                      <w:r w:rsidRPr="00554BAB">
                        <w:rPr>
                          <w:b/>
                          <w:bCs/>
                          <w:i/>
                          <w:sz w:val="20"/>
                        </w:rPr>
                        <w:t xml:space="preserve">so these three presumptions no longer apply.  </w:t>
                      </w:r>
                    </w:p>
                    <w:p w14:paraId="4DF46C7C" w14:textId="77777777" w:rsidR="001C5E67" w:rsidRPr="00CE132A" w:rsidRDefault="001C5E67" w:rsidP="00B4332D">
                      <w:pPr>
                        <w:pStyle w:val="ListParagraph"/>
                        <w:numPr>
                          <w:ilvl w:val="0"/>
                          <w:numId w:val="34"/>
                        </w:numPr>
                        <w:spacing w:line="240" w:lineRule="auto"/>
                        <w:ind w:left="270" w:hanging="270"/>
                        <w:rPr>
                          <w:sz w:val="20"/>
                        </w:rPr>
                      </w:pPr>
                      <w:r>
                        <w:rPr>
                          <w:bCs/>
                          <w:sz w:val="20"/>
                        </w:rPr>
                        <w:t>Under ESSA</w:t>
                      </w:r>
                      <w:r w:rsidRPr="00CE132A">
                        <w:rPr>
                          <w:bCs/>
                          <w:sz w:val="20"/>
                        </w:rPr>
                        <w:t xml:space="preserve">, districts must demonstrate that the methodology they use to allocate state and local funds to schools provides each Title I school with all of the state and local money it would receive if it did not participate in the Title I program. </w:t>
                      </w:r>
                      <w:r w:rsidRPr="00CE132A">
                        <w:rPr>
                          <w:sz w:val="20"/>
                        </w:rPr>
                        <w:t>This should expa</w:t>
                      </w:r>
                      <w:r>
                        <w:rPr>
                          <w:sz w:val="20"/>
                        </w:rPr>
                        <w:t xml:space="preserve">nd Title I’s spending options. </w:t>
                      </w:r>
                      <w:r w:rsidRPr="00CE132A">
                        <w:rPr>
                          <w:sz w:val="20"/>
                        </w:rPr>
                        <w:t>Title I costs must still be allowable and must still support eligible stude</w:t>
                      </w:r>
                      <w:r>
                        <w:rPr>
                          <w:sz w:val="20"/>
                        </w:rPr>
                        <w:t>nts among other requirements.</w:t>
                      </w:r>
                    </w:p>
                    <w:p w14:paraId="34F2A784" w14:textId="77777777" w:rsidR="001C5E67" w:rsidRPr="00B945C5" w:rsidRDefault="001C5E67" w:rsidP="00B945C5">
                      <w:pPr>
                        <w:rPr>
                          <w:sz w:val="20"/>
                        </w:rPr>
                      </w:pPr>
                    </w:p>
                  </w:txbxContent>
                </v:textbox>
              </v:shape>
            </w:pict>
          </mc:Fallback>
        </mc:AlternateContent>
      </w:r>
      <w:r w:rsidR="00EC74F2" w:rsidRPr="008475A9">
        <w:rPr>
          <w:b/>
          <w:i/>
          <w:sz w:val="20"/>
          <w:szCs w:val="20"/>
        </w:rPr>
        <w:t xml:space="preserve">* </w:t>
      </w:r>
      <w:r w:rsidR="00C304D8" w:rsidRPr="008475A9">
        <w:rPr>
          <w:b/>
          <w:i/>
          <w:sz w:val="20"/>
          <w:szCs w:val="20"/>
        </w:rPr>
        <w:t xml:space="preserve">Please </w:t>
      </w:r>
      <w:r w:rsidR="00A25C25" w:rsidRPr="008475A9">
        <w:rPr>
          <w:b/>
          <w:i/>
          <w:sz w:val="20"/>
          <w:szCs w:val="20"/>
        </w:rPr>
        <w:t>note: This is</w:t>
      </w:r>
      <w:r w:rsidR="00C304D8" w:rsidRPr="008475A9">
        <w:rPr>
          <w:b/>
          <w:i/>
          <w:sz w:val="20"/>
          <w:szCs w:val="20"/>
        </w:rPr>
        <w:t xml:space="preserve"> not an exhaustive list. </w:t>
      </w:r>
      <w:hyperlink r:id="rId14" w:history="1">
        <w:r w:rsidR="00C304D8" w:rsidRPr="008475A9">
          <w:rPr>
            <w:rStyle w:val="Hyperlink"/>
            <w:b/>
            <w:i/>
            <w:sz w:val="20"/>
            <w:szCs w:val="20"/>
          </w:rPr>
          <w:t>Contact</w:t>
        </w:r>
      </w:hyperlink>
      <w:r w:rsidR="00C304D8" w:rsidRPr="008475A9">
        <w:rPr>
          <w:b/>
          <w:i/>
          <w:sz w:val="20"/>
          <w:szCs w:val="20"/>
        </w:rPr>
        <w:t xml:space="preserve"> our office for more sp</w:t>
      </w:r>
      <w:r w:rsidR="00EC74F2" w:rsidRPr="008475A9">
        <w:rPr>
          <w:b/>
          <w:i/>
          <w:sz w:val="20"/>
          <w:szCs w:val="20"/>
        </w:rPr>
        <w:t xml:space="preserve">ecific, </w:t>
      </w:r>
      <w:proofErr w:type="gramStart"/>
      <w:r w:rsidR="00EC74F2" w:rsidRPr="008475A9">
        <w:rPr>
          <w:b/>
          <w:i/>
          <w:sz w:val="20"/>
          <w:szCs w:val="20"/>
        </w:rPr>
        <w:t>situational</w:t>
      </w:r>
      <w:proofErr w:type="gramEnd"/>
      <w:r w:rsidR="00EC74F2" w:rsidRPr="008475A9">
        <w:rPr>
          <w:b/>
          <w:i/>
          <w:sz w:val="20"/>
          <w:szCs w:val="20"/>
        </w:rPr>
        <w:t xml:space="preserve"> </w:t>
      </w:r>
      <w:r w:rsidR="00A14255" w:rsidRPr="008475A9">
        <w:rPr>
          <w:b/>
          <w:i/>
          <w:sz w:val="20"/>
          <w:szCs w:val="20"/>
        </w:rPr>
        <w:t xml:space="preserve">and fiscal </w:t>
      </w:r>
      <w:r w:rsidR="00EC74F2" w:rsidRPr="008475A9">
        <w:rPr>
          <w:b/>
          <w:i/>
          <w:sz w:val="20"/>
          <w:szCs w:val="20"/>
        </w:rPr>
        <w:t xml:space="preserve">guidance as </w:t>
      </w:r>
      <w:r w:rsidR="00C304D8" w:rsidRPr="008475A9">
        <w:rPr>
          <w:b/>
          <w:i/>
          <w:sz w:val="20"/>
          <w:szCs w:val="20"/>
        </w:rPr>
        <w:t>needed.</w:t>
      </w:r>
    </w:p>
    <w:p w14:paraId="739BAF62" w14:textId="228C5B47" w:rsidR="00411DA1" w:rsidRPr="00144928" w:rsidRDefault="00411DA1" w:rsidP="00E44686">
      <w:pPr>
        <w:tabs>
          <w:tab w:val="left" w:pos="3048"/>
        </w:tabs>
        <w:spacing w:after="0" w:line="240" w:lineRule="auto"/>
        <w:rPr>
          <w:b/>
          <w:color w:val="E36C0A" w:themeColor="accent6" w:themeShade="BF"/>
          <w:sz w:val="12"/>
          <w:szCs w:val="12"/>
        </w:rPr>
      </w:pPr>
    </w:p>
    <w:p w14:paraId="36A43611" w14:textId="6E3C587D" w:rsidR="008A468A" w:rsidRDefault="008A468A" w:rsidP="000D4A11">
      <w:pPr>
        <w:spacing w:after="0" w:line="240" w:lineRule="auto"/>
        <w:rPr>
          <w:sz w:val="8"/>
          <w:szCs w:val="8"/>
        </w:rPr>
      </w:pPr>
    </w:p>
    <w:p w14:paraId="01625324" w14:textId="341C349E" w:rsidR="00DA2F93" w:rsidRPr="00DA2F93" w:rsidRDefault="00DA2F93" w:rsidP="00DA2F93">
      <w:pPr>
        <w:rPr>
          <w:sz w:val="8"/>
          <w:szCs w:val="8"/>
        </w:rPr>
      </w:pPr>
    </w:p>
    <w:p w14:paraId="391B4F24" w14:textId="67B7F0D4" w:rsidR="00DA2F93" w:rsidRPr="00DA2F93" w:rsidRDefault="00DA2F93" w:rsidP="00DA2F93">
      <w:pPr>
        <w:rPr>
          <w:sz w:val="8"/>
          <w:szCs w:val="8"/>
        </w:rPr>
      </w:pPr>
    </w:p>
    <w:p w14:paraId="169EE7F5" w14:textId="69356DE7" w:rsidR="00DA2F93" w:rsidRPr="00DA2F93" w:rsidRDefault="00DA2F93" w:rsidP="00DA2F93">
      <w:pPr>
        <w:rPr>
          <w:sz w:val="8"/>
          <w:szCs w:val="8"/>
        </w:rPr>
      </w:pPr>
    </w:p>
    <w:p w14:paraId="41C63732" w14:textId="6C4051CD" w:rsidR="00DA2F93" w:rsidRPr="00DA2F93" w:rsidRDefault="00DA2F93" w:rsidP="00DA2F93">
      <w:pPr>
        <w:rPr>
          <w:sz w:val="8"/>
          <w:szCs w:val="8"/>
        </w:rPr>
      </w:pPr>
    </w:p>
    <w:p w14:paraId="7A8F211A" w14:textId="5FF5D78E" w:rsidR="00DA2F93" w:rsidRPr="00DA2F93" w:rsidRDefault="00DA2F93" w:rsidP="00DA2F93">
      <w:pPr>
        <w:rPr>
          <w:sz w:val="8"/>
          <w:szCs w:val="8"/>
        </w:rPr>
      </w:pPr>
    </w:p>
    <w:p w14:paraId="755B5F30" w14:textId="4D5FB743" w:rsidR="00DA2F93" w:rsidRPr="00DA2F93" w:rsidRDefault="00DA2F93" w:rsidP="00DA2F93">
      <w:pPr>
        <w:rPr>
          <w:sz w:val="8"/>
          <w:szCs w:val="8"/>
        </w:rPr>
      </w:pPr>
    </w:p>
    <w:p w14:paraId="6C0664DF" w14:textId="4C58AF8E" w:rsidR="00DA2F93" w:rsidRPr="00DA2F93" w:rsidRDefault="00DA2F93" w:rsidP="00DA2F93">
      <w:pPr>
        <w:rPr>
          <w:sz w:val="8"/>
          <w:szCs w:val="8"/>
        </w:rPr>
      </w:pPr>
    </w:p>
    <w:p w14:paraId="0153ADD6" w14:textId="024096A7" w:rsidR="00DA2F93" w:rsidRPr="00DA2F93" w:rsidRDefault="00DA2F93" w:rsidP="00DA2F93">
      <w:pPr>
        <w:rPr>
          <w:sz w:val="8"/>
          <w:szCs w:val="8"/>
        </w:rPr>
      </w:pPr>
    </w:p>
    <w:p w14:paraId="02E04915" w14:textId="71606362" w:rsidR="00DA2F93" w:rsidRPr="00DA2F93" w:rsidRDefault="00DA2F93" w:rsidP="00DA2F93">
      <w:pPr>
        <w:rPr>
          <w:sz w:val="8"/>
          <w:szCs w:val="8"/>
        </w:rPr>
      </w:pPr>
    </w:p>
    <w:p w14:paraId="19D1935F" w14:textId="20046924" w:rsidR="00DA2F93" w:rsidRPr="00DA2F93" w:rsidRDefault="00DA2F93" w:rsidP="00DA2F93">
      <w:pPr>
        <w:rPr>
          <w:sz w:val="8"/>
          <w:szCs w:val="8"/>
        </w:rPr>
      </w:pPr>
    </w:p>
    <w:p w14:paraId="22B3951D" w14:textId="4ABDDC7D" w:rsidR="00DA2F93" w:rsidRPr="00DA2F93" w:rsidRDefault="00FC6BE4" w:rsidP="00DA2F93">
      <w:pPr>
        <w:rPr>
          <w:sz w:val="8"/>
          <w:szCs w:val="8"/>
        </w:rPr>
      </w:pPr>
      <w:r w:rsidRPr="008475A9">
        <w:rPr>
          <w:b/>
          <w:i/>
          <w:noProof/>
          <w:sz w:val="20"/>
          <w:szCs w:val="20"/>
        </w:rPr>
        <mc:AlternateContent>
          <mc:Choice Requires="wps">
            <w:drawing>
              <wp:anchor distT="0" distB="0" distL="114300" distR="114300" simplePos="0" relativeHeight="251653120" behindDoc="0" locked="0" layoutInCell="1" allowOverlap="1" wp14:anchorId="30F6A10C" wp14:editId="3BAB7760">
                <wp:simplePos x="0" y="0"/>
                <wp:positionH relativeFrom="margin">
                  <wp:posOffset>9525</wp:posOffset>
                </wp:positionH>
                <wp:positionV relativeFrom="paragraph">
                  <wp:posOffset>66675</wp:posOffset>
                </wp:positionV>
                <wp:extent cx="4486275" cy="1092200"/>
                <wp:effectExtent l="38100" t="38100" r="123825" b="107950"/>
                <wp:wrapNone/>
                <wp:docPr id="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09220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540DFCCB" w14:textId="77777777" w:rsidR="001C5E67" w:rsidRPr="00C304D8" w:rsidRDefault="001C5E67" w:rsidP="00C304D8">
                            <w:pPr>
                              <w:spacing w:after="0"/>
                              <w:rPr>
                                <w:b/>
                                <w:color w:val="1F497D" w:themeColor="text2"/>
                                <w:sz w:val="24"/>
                                <w:szCs w:val="28"/>
                              </w:rPr>
                            </w:pPr>
                            <w:r w:rsidRPr="00D21B0D">
                              <w:rPr>
                                <w:b/>
                                <w:color w:val="1F497D" w:themeColor="text2"/>
                                <w:sz w:val="24"/>
                                <w:szCs w:val="28"/>
                              </w:rPr>
                              <w:t>Private Schools</w:t>
                            </w:r>
                          </w:p>
                          <w:p w14:paraId="37A7E36B" w14:textId="6856894E" w:rsidR="001C5E67" w:rsidRPr="00C304D8" w:rsidRDefault="001C5E67" w:rsidP="00B4332D">
                            <w:pPr>
                              <w:pStyle w:val="ListParagraph"/>
                              <w:numPr>
                                <w:ilvl w:val="0"/>
                                <w:numId w:val="27"/>
                              </w:numPr>
                              <w:spacing w:line="240" w:lineRule="auto"/>
                              <w:ind w:left="270" w:hanging="270"/>
                              <w:rPr>
                                <w:sz w:val="20"/>
                                <w:szCs w:val="20"/>
                              </w:rPr>
                            </w:pPr>
                            <w:r w:rsidRPr="00C304D8">
                              <w:rPr>
                                <w:sz w:val="20"/>
                                <w:szCs w:val="20"/>
                              </w:rPr>
                              <w:t xml:space="preserve">Must have </w:t>
                            </w:r>
                            <w:r>
                              <w:rPr>
                                <w:sz w:val="20"/>
                                <w:szCs w:val="20"/>
                              </w:rPr>
                              <w:t>meaningful and timely</w:t>
                            </w:r>
                            <w:r w:rsidRPr="00C304D8">
                              <w:rPr>
                                <w:sz w:val="20"/>
                                <w:szCs w:val="20"/>
                              </w:rPr>
                              <w:t xml:space="preserve"> </w:t>
                            </w:r>
                            <w:hyperlink r:id="rId15" w:history="1">
                              <w:r w:rsidRPr="004E42E5">
                                <w:rPr>
                                  <w:rStyle w:val="Hyperlink"/>
                                  <w:rFonts w:cstheme="minorBidi"/>
                                  <w:sz w:val="20"/>
                                  <w:szCs w:val="20"/>
                                </w:rPr>
                                <w:t>consultation</w:t>
                              </w:r>
                            </w:hyperlink>
                            <w:r>
                              <w:rPr>
                                <w:sz w:val="20"/>
                                <w:szCs w:val="20"/>
                              </w:rPr>
                              <w:t xml:space="preserve"> in the spring.</w:t>
                            </w:r>
                          </w:p>
                          <w:p w14:paraId="3ECC5A63" w14:textId="7E5B4923" w:rsidR="001C5E67" w:rsidRPr="00C304D8" w:rsidRDefault="001C5E67" w:rsidP="00B4332D">
                            <w:pPr>
                              <w:pStyle w:val="ListParagraph"/>
                              <w:numPr>
                                <w:ilvl w:val="0"/>
                                <w:numId w:val="27"/>
                              </w:numPr>
                              <w:spacing w:line="240" w:lineRule="auto"/>
                              <w:ind w:left="270" w:hanging="270"/>
                              <w:rPr>
                                <w:sz w:val="20"/>
                                <w:szCs w:val="20"/>
                              </w:rPr>
                            </w:pPr>
                            <w:r>
                              <w:rPr>
                                <w:sz w:val="20"/>
                                <w:szCs w:val="20"/>
                              </w:rPr>
                              <w:t>Title I</w:t>
                            </w:r>
                            <w:r w:rsidRPr="00C304D8">
                              <w:rPr>
                                <w:sz w:val="20"/>
                                <w:szCs w:val="20"/>
                              </w:rPr>
                              <w:t xml:space="preserve"> funds can only be used for supplemental academic</w:t>
                            </w:r>
                            <w:r>
                              <w:rPr>
                                <w:sz w:val="20"/>
                                <w:szCs w:val="20"/>
                              </w:rPr>
                              <w:t xml:space="preserve"> and/or </w:t>
                            </w:r>
                            <w:proofErr w:type="gramStart"/>
                            <w:r>
                              <w:rPr>
                                <w:sz w:val="20"/>
                                <w:szCs w:val="20"/>
                              </w:rPr>
                              <w:t>academically-related</w:t>
                            </w:r>
                            <w:proofErr w:type="gramEnd"/>
                            <w:r>
                              <w:rPr>
                                <w:sz w:val="20"/>
                                <w:szCs w:val="20"/>
                              </w:rPr>
                              <w:t xml:space="preserve"> support services </w:t>
                            </w:r>
                            <w:r w:rsidRPr="00C304D8">
                              <w:rPr>
                                <w:sz w:val="20"/>
                                <w:szCs w:val="20"/>
                              </w:rPr>
                              <w:t>to eligible students</w:t>
                            </w:r>
                            <w:r w:rsidR="00A00FBA">
                              <w:rPr>
                                <w:sz w:val="20"/>
                                <w:szCs w:val="20"/>
                              </w:rPr>
                              <w:t>, their teachers and families.</w:t>
                            </w:r>
                          </w:p>
                          <w:p w14:paraId="40B44BA0" w14:textId="77777777" w:rsidR="001C5E67" w:rsidRPr="00F918AC" w:rsidRDefault="001C5E67" w:rsidP="00B4332D">
                            <w:pPr>
                              <w:pStyle w:val="ListParagraph"/>
                              <w:numPr>
                                <w:ilvl w:val="0"/>
                                <w:numId w:val="27"/>
                              </w:numPr>
                              <w:spacing w:line="240" w:lineRule="auto"/>
                              <w:ind w:left="270" w:hanging="270"/>
                              <w:rPr>
                                <w:i/>
                                <w:color w:val="E36C0A" w:themeColor="accent6" w:themeShade="BF"/>
                                <w:sz w:val="20"/>
                                <w:szCs w:val="20"/>
                              </w:rPr>
                            </w:pPr>
                            <w:r w:rsidRPr="00F918AC">
                              <w:rPr>
                                <w:sz w:val="20"/>
                                <w:szCs w:val="20"/>
                              </w:rPr>
                              <w:t xml:space="preserve">District </w:t>
                            </w:r>
                            <w:r>
                              <w:rPr>
                                <w:sz w:val="20"/>
                                <w:szCs w:val="20"/>
                              </w:rPr>
                              <w:t xml:space="preserve">must </w:t>
                            </w:r>
                            <w:r w:rsidRPr="00F918AC">
                              <w:rPr>
                                <w:sz w:val="20"/>
                                <w:szCs w:val="20"/>
                              </w:rPr>
                              <w:t>maintain control of funds and may not pay or reimburse</w:t>
                            </w:r>
                            <w:r w:rsidRPr="00F918AC">
                              <w:rPr>
                                <w:i/>
                                <w:color w:val="E36C0A" w:themeColor="accent6" w:themeShade="BF"/>
                                <w:sz w:val="20"/>
                                <w:szCs w:val="20"/>
                              </w:rPr>
                              <w:t xml:space="preserve"> </w:t>
                            </w:r>
                            <w:r w:rsidRPr="00F918AC">
                              <w:rPr>
                                <w:sz w:val="20"/>
                                <w:szCs w:val="20"/>
                              </w:rPr>
                              <w:t>private schools directly.</w:t>
                            </w:r>
                          </w:p>
                          <w:p w14:paraId="5FC613C9" w14:textId="77777777" w:rsidR="001C5E67" w:rsidRPr="00C304D8" w:rsidRDefault="001C5E67" w:rsidP="00C304D8">
                            <w:pPr>
                              <w:ind w:left="36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6A10C" id="_x0000_s1028" type="#_x0000_t202" style="position:absolute;margin-left:.75pt;margin-top:5.25pt;width:353.25pt;height:8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" strokecolor="#365f91 [2404]" strokeweight=".25pt">
                <v:shadow on="t" color="black" opacity="26214f" origin="-.5,-.5" offset=".74836mm,.74836mm"/>
                <v:textbox>
                  <w:txbxContent>
                    <w:p w14:paraId="540DFCCB" w14:textId="77777777" w:rsidR="001C5E67" w:rsidRPr="00C304D8" w:rsidRDefault="001C5E67" w:rsidP="00C304D8">
                      <w:pPr>
                        <w:spacing w:after="0"/>
                        <w:rPr>
                          <w:b/>
                          <w:color w:val="1F497D" w:themeColor="text2"/>
                          <w:sz w:val="24"/>
                          <w:szCs w:val="28"/>
                        </w:rPr>
                      </w:pPr>
                      <w:r w:rsidRPr="00D21B0D">
                        <w:rPr>
                          <w:b/>
                          <w:color w:val="1F497D" w:themeColor="text2"/>
                          <w:sz w:val="24"/>
                          <w:szCs w:val="28"/>
                        </w:rPr>
                        <w:t>Private Schools</w:t>
                      </w:r>
                    </w:p>
                    <w:p w14:paraId="37A7E36B" w14:textId="6856894E" w:rsidR="001C5E67" w:rsidRPr="00C304D8" w:rsidRDefault="001C5E67" w:rsidP="00B4332D">
                      <w:pPr>
                        <w:pStyle w:val="ListParagraph"/>
                        <w:numPr>
                          <w:ilvl w:val="0"/>
                          <w:numId w:val="27"/>
                        </w:numPr>
                        <w:spacing w:line="240" w:lineRule="auto"/>
                        <w:ind w:left="270" w:hanging="270"/>
                        <w:rPr>
                          <w:sz w:val="20"/>
                          <w:szCs w:val="20"/>
                        </w:rPr>
                      </w:pPr>
                      <w:r w:rsidRPr="00C304D8">
                        <w:rPr>
                          <w:sz w:val="20"/>
                          <w:szCs w:val="20"/>
                        </w:rPr>
                        <w:t xml:space="preserve">Must have </w:t>
                      </w:r>
                      <w:r>
                        <w:rPr>
                          <w:sz w:val="20"/>
                          <w:szCs w:val="20"/>
                        </w:rPr>
                        <w:t>meaningful and timely</w:t>
                      </w:r>
                      <w:r w:rsidRPr="00C304D8">
                        <w:rPr>
                          <w:sz w:val="20"/>
                          <w:szCs w:val="20"/>
                        </w:rPr>
                        <w:t xml:space="preserve"> </w:t>
                      </w:r>
                      <w:hyperlink r:id="rId16" w:history="1">
                        <w:r w:rsidRPr="004E42E5">
                          <w:rPr>
                            <w:rStyle w:val="Hyperlink"/>
                            <w:rFonts w:cstheme="minorBidi"/>
                            <w:sz w:val="20"/>
                            <w:szCs w:val="20"/>
                          </w:rPr>
                          <w:t>consultation</w:t>
                        </w:r>
                      </w:hyperlink>
                      <w:r>
                        <w:rPr>
                          <w:sz w:val="20"/>
                          <w:szCs w:val="20"/>
                        </w:rPr>
                        <w:t xml:space="preserve"> in the spring.</w:t>
                      </w:r>
                    </w:p>
                    <w:p w14:paraId="3ECC5A63" w14:textId="7E5B4923" w:rsidR="001C5E67" w:rsidRPr="00C304D8" w:rsidRDefault="001C5E67" w:rsidP="00B4332D">
                      <w:pPr>
                        <w:pStyle w:val="ListParagraph"/>
                        <w:numPr>
                          <w:ilvl w:val="0"/>
                          <w:numId w:val="27"/>
                        </w:numPr>
                        <w:spacing w:line="240" w:lineRule="auto"/>
                        <w:ind w:left="270" w:hanging="270"/>
                        <w:rPr>
                          <w:sz w:val="20"/>
                          <w:szCs w:val="20"/>
                        </w:rPr>
                      </w:pPr>
                      <w:r>
                        <w:rPr>
                          <w:sz w:val="20"/>
                          <w:szCs w:val="20"/>
                        </w:rPr>
                        <w:t>Title I</w:t>
                      </w:r>
                      <w:r w:rsidRPr="00C304D8">
                        <w:rPr>
                          <w:sz w:val="20"/>
                          <w:szCs w:val="20"/>
                        </w:rPr>
                        <w:t xml:space="preserve"> funds can only be used for supplemental academic</w:t>
                      </w:r>
                      <w:r>
                        <w:rPr>
                          <w:sz w:val="20"/>
                          <w:szCs w:val="20"/>
                        </w:rPr>
                        <w:t xml:space="preserve"> and/or </w:t>
                      </w:r>
                      <w:proofErr w:type="gramStart"/>
                      <w:r>
                        <w:rPr>
                          <w:sz w:val="20"/>
                          <w:szCs w:val="20"/>
                        </w:rPr>
                        <w:t>academically-related</w:t>
                      </w:r>
                      <w:proofErr w:type="gramEnd"/>
                      <w:r>
                        <w:rPr>
                          <w:sz w:val="20"/>
                          <w:szCs w:val="20"/>
                        </w:rPr>
                        <w:t xml:space="preserve"> support services </w:t>
                      </w:r>
                      <w:r w:rsidRPr="00C304D8">
                        <w:rPr>
                          <w:sz w:val="20"/>
                          <w:szCs w:val="20"/>
                        </w:rPr>
                        <w:t>to eligible students</w:t>
                      </w:r>
                      <w:r w:rsidR="00A00FBA">
                        <w:rPr>
                          <w:sz w:val="20"/>
                          <w:szCs w:val="20"/>
                        </w:rPr>
                        <w:t>, their teachers and families.</w:t>
                      </w:r>
                    </w:p>
                    <w:p w14:paraId="40B44BA0" w14:textId="77777777" w:rsidR="001C5E67" w:rsidRPr="00F918AC" w:rsidRDefault="001C5E67" w:rsidP="00B4332D">
                      <w:pPr>
                        <w:pStyle w:val="ListParagraph"/>
                        <w:numPr>
                          <w:ilvl w:val="0"/>
                          <w:numId w:val="27"/>
                        </w:numPr>
                        <w:spacing w:line="240" w:lineRule="auto"/>
                        <w:ind w:left="270" w:hanging="270"/>
                        <w:rPr>
                          <w:i/>
                          <w:color w:val="E36C0A" w:themeColor="accent6" w:themeShade="BF"/>
                          <w:sz w:val="20"/>
                          <w:szCs w:val="20"/>
                        </w:rPr>
                      </w:pPr>
                      <w:r w:rsidRPr="00F918AC">
                        <w:rPr>
                          <w:sz w:val="20"/>
                          <w:szCs w:val="20"/>
                        </w:rPr>
                        <w:t xml:space="preserve">District </w:t>
                      </w:r>
                      <w:r>
                        <w:rPr>
                          <w:sz w:val="20"/>
                          <w:szCs w:val="20"/>
                        </w:rPr>
                        <w:t xml:space="preserve">must </w:t>
                      </w:r>
                      <w:r w:rsidRPr="00F918AC">
                        <w:rPr>
                          <w:sz w:val="20"/>
                          <w:szCs w:val="20"/>
                        </w:rPr>
                        <w:t>maintain control of funds and may not pay or reimburse</w:t>
                      </w:r>
                      <w:r w:rsidRPr="00F918AC">
                        <w:rPr>
                          <w:i/>
                          <w:color w:val="E36C0A" w:themeColor="accent6" w:themeShade="BF"/>
                          <w:sz w:val="20"/>
                          <w:szCs w:val="20"/>
                        </w:rPr>
                        <w:t xml:space="preserve"> </w:t>
                      </w:r>
                      <w:r w:rsidRPr="00F918AC">
                        <w:rPr>
                          <w:sz w:val="20"/>
                          <w:szCs w:val="20"/>
                        </w:rPr>
                        <w:t>private schools directly.</w:t>
                      </w:r>
                    </w:p>
                    <w:p w14:paraId="5FC613C9" w14:textId="77777777" w:rsidR="001C5E67" w:rsidRPr="00C304D8" w:rsidRDefault="001C5E67" w:rsidP="00C304D8">
                      <w:pPr>
                        <w:ind w:left="360"/>
                        <w:rPr>
                          <w:sz w:val="20"/>
                        </w:rPr>
                      </w:pPr>
                    </w:p>
                  </w:txbxContent>
                </v:textbox>
                <w10:wrap anchorx="margin"/>
              </v:shape>
            </w:pict>
          </mc:Fallback>
        </mc:AlternateContent>
      </w:r>
    </w:p>
    <w:p w14:paraId="7B06EFB8" w14:textId="54275C4E" w:rsidR="00DA2F93" w:rsidRPr="00DA2F93" w:rsidRDefault="00DA2F93" w:rsidP="00DA2F93">
      <w:pPr>
        <w:rPr>
          <w:sz w:val="8"/>
          <w:szCs w:val="8"/>
        </w:rPr>
      </w:pPr>
    </w:p>
    <w:p w14:paraId="050CFCEC" w14:textId="5E4FA261" w:rsidR="00DA2F93" w:rsidRPr="00DA2F93" w:rsidRDefault="00DA2F93" w:rsidP="00DA2F93">
      <w:pPr>
        <w:rPr>
          <w:sz w:val="8"/>
          <w:szCs w:val="8"/>
        </w:rPr>
      </w:pPr>
    </w:p>
    <w:p w14:paraId="3015495E" w14:textId="3BAC64BB" w:rsidR="00DA2F93" w:rsidRPr="00DA2F93" w:rsidRDefault="00DA2F93" w:rsidP="00DA2F93">
      <w:pPr>
        <w:rPr>
          <w:sz w:val="8"/>
          <w:szCs w:val="8"/>
        </w:rPr>
      </w:pPr>
    </w:p>
    <w:p w14:paraId="5FA11BA5" w14:textId="0DACAF3F" w:rsidR="00DA2F93" w:rsidRDefault="00DA2F93" w:rsidP="00DA2F93">
      <w:pPr>
        <w:rPr>
          <w:sz w:val="8"/>
          <w:szCs w:val="8"/>
        </w:rPr>
      </w:pPr>
    </w:p>
    <w:p w14:paraId="5BAE34EB" w14:textId="5056944B" w:rsidR="00626589" w:rsidRPr="00626589" w:rsidRDefault="00EC3607" w:rsidP="00EC3607">
      <w:pPr>
        <w:tabs>
          <w:tab w:val="left" w:pos="2445"/>
        </w:tabs>
        <w:rPr>
          <w:sz w:val="8"/>
          <w:szCs w:val="8"/>
        </w:rPr>
      </w:pPr>
      <w:r>
        <w:rPr>
          <w:sz w:val="8"/>
          <w:szCs w:val="8"/>
        </w:rPr>
        <w:tab/>
      </w:r>
    </w:p>
    <w:sectPr w:rsidR="00626589" w:rsidRPr="00626589" w:rsidSect="00C11BB5">
      <w:headerReference w:type="default" r:id="rId17"/>
      <w:footerReference w:type="default" r:id="rId18"/>
      <w:pgSz w:w="12240" w:h="15840"/>
      <w:pgMar w:top="432" w:right="720" w:bottom="432"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4564A" w14:textId="77777777" w:rsidR="00674B4E" w:rsidRDefault="00674B4E" w:rsidP="002123C2">
      <w:pPr>
        <w:spacing w:after="0" w:line="240" w:lineRule="auto"/>
      </w:pPr>
      <w:r>
        <w:separator/>
      </w:r>
    </w:p>
  </w:endnote>
  <w:endnote w:type="continuationSeparator" w:id="0">
    <w:p w14:paraId="63AC72A7" w14:textId="77777777" w:rsidR="00674B4E" w:rsidRDefault="00674B4E"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C8F2" w14:textId="5D9C5A61" w:rsidR="00C11BB5" w:rsidRDefault="001C5E67" w:rsidP="00C11BB5">
    <w:pPr>
      <w:pStyle w:val="Footer"/>
      <w:rPr>
        <w:sz w:val="20"/>
        <w:szCs w:val="20"/>
      </w:rPr>
    </w:pPr>
    <w:r w:rsidRPr="003F2ED6">
      <w:rPr>
        <w:sz w:val="20"/>
        <w:szCs w:val="20"/>
      </w:rPr>
      <w:t xml:space="preserve">Updated </w:t>
    </w:r>
    <w:r w:rsidR="00015102">
      <w:rPr>
        <w:sz w:val="20"/>
        <w:szCs w:val="20"/>
      </w:rPr>
      <w:t xml:space="preserve">May </w:t>
    </w:r>
    <w:r w:rsidR="00AF2909">
      <w:rPr>
        <w:sz w:val="20"/>
        <w:szCs w:val="20"/>
      </w:rPr>
      <w:t>202</w:t>
    </w:r>
    <w:r w:rsidR="00015102">
      <w:rPr>
        <w:sz w:val="20"/>
        <w:szCs w:val="20"/>
      </w:rPr>
      <w:t>3</w:t>
    </w:r>
    <w:r w:rsidR="00C11BB5">
      <w:rPr>
        <w:sz w:val="20"/>
        <w:szCs w:val="20"/>
      </w:rPr>
      <w:t xml:space="preserve"> </w:t>
    </w:r>
  </w:p>
  <w:p w14:paraId="2DB3BD92" w14:textId="0F2B90DF" w:rsidR="00C11BB5" w:rsidRDefault="00C11BB5" w:rsidP="00C11BB5">
    <w:pPr>
      <w:pStyle w:val="Footer"/>
      <w:rPr>
        <w:rFonts w:cstheme="minorHAnsi"/>
        <w:i/>
        <w:iCs/>
        <w:color w:val="595959" w:themeColor="text1" w:themeTint="A6"/>
        <w:sz w:val="18"/>
        <w:szCs w:val="18"/>
        <w:shd w:val="clear" w:color="auto" w:fill="FFFFFF"/>
      </w:rPr>
    </w:pPr>
    <w:r w:rsidRPr="004F508B">
      <w:rPr>
        <w:rFonts w:cstheme="minorHAnsi"/>
        <w:i/>
        <w:iCs/>
        <w:color w:val="595959" w:themeColor="text1" w:themeTint="A6"/>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15617C94" w14:textId="77777777" w:rsidR="00EC3607" w:rsidRDefault="00EC3607" w:rsidP="00C11BB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2A42F" w14:textId="77777777" w:rsidR="00674B4E" w:rsidRDefault="00674B4E" w:rsidP="002123C2">
      <w:pPr>
        <w:spacing w:after="0" w:line="240" w:lineRule="auto"/>
      </w:pPr>
      <w:r>
        <w:separator/>
      </w:r>
    </w:p>
  </w:footnote>
  <w:footnote w:type="continuationSeparator" w:id="0">
    <w:p w14:paraId="5C255A7E" w14:textId="77777777" w:rsidR="00674B4E" w:rsidRDefault="00674B4E"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F6759" w14:textId="77777777" w:rsidR="001C5E67" w:rsidRPr="003A0D3D" w:rsidRDefault="001C5E67" w:rsidP="002E041D">
    <w:pPr>
      <w:pStyle w:val="Heading1"/>
      <w:tabs>
        <w:tab w:val="left" w:pos="337"/>
        <w:tab w:val="center" w:pos="5112"/>
      </w:tabs>
      <w:spacing w:before="240" w:after="24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37A"/>
    <w:multiLevelType w:val="hybridMultilevel"/>
    <w:tmpl w:val="ECAE9802"/>
    <w:lvl w:ilvl="0" w:tplc="0D04AE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C3F8B"/>
    <w:multiLevelType w:val="hybridMultilevel"/>
    <w:tmpl w:val="E354A9D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A0940"/>
    <w:multiLevelType w:val="hybridMultilevel"/>
    <w:tmpl w:val="55F8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63EFF"/>
    <w:multiLevelType w:val="hybridMultilevel"/>
    <w:tmpl w:val="F21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961E3"/>
    <w:multiLevelType w:val="multilevel"/>
    <w:tmpl w:val="285001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50E81"/>
    <w:multiLevelType w:val="hybridMultilevel"/>
    <w:tmpl w:val="151C3D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882BA6"/>
    <w:multiLevelType w:val="hybridMultilevel"/>
    <w:tmpl w:val="96F2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838E7"/>
    <w:multiLevelType w:val="hybridMultilevel"/>
    <w:tmpl w:val="6772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44A08"/>
    <w:multiLevelType w:val="hybridMultilevel"/>
    <w:tmpl w:val="9872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F14874"/>
    <w:multiLevelType w:val="hybridMultilevel"/>
    <w:tmpl w:val="017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7"/>
  </w:num>
  <w:num w:numId="4">
    <w:abstractNumId w:val="19"/>
  </w:num>
  <w:num w:numId="5">
    <w:abstractNumId w:val="10"/>
  </w:num>
  <w:num w:numId="6">
    <w:abstractNumId w:val="15"/>
  </w:num>
  <w:num w:numId="7">
    <w:abstractNumId w:val="17"/>
  </w:num>
  <w:num w:numId="8">
    <w:abstractNumId w:val="16"/>
  </w:num>
  <w:num w:numId="9">
    <w:abstractNumId w:val="9"/>
  </w:num>
  <w:num w:numId="10">
    <w:abstractNumId w:val="21"/>
  </w:num>
  <w:num w:numId="11">
    <w:abstractNumId w:val="22"/>
  </w:num>
  <w:num w:numId="12">
    <w:abstractNumId w:val="28"/>
  </w:num>
  <w:num w:numId="13">
    <w:abstractNumId w:val="3"/>
  </w:num>
  <w:num w:numId="14">
    <w:abstractNumId w:val="6"/>
  </w:num>
  <w:num w:numId="15">
    <w:abstractNumId w:val="33"/>
  </w:num>
  <w:num w:numId="16">
    <w:abstractNumId w:val="29"/>
  </w:num>
  <w:num w:numId="17">
    <w:abstractNumId w:val="11"/>
  </w:num>
  <w:num w:numId="18">
    <w:abstractNumId w:val="26"/>
  </w:num>
  <w:num w:numId="19">
    <w:abstractNumId w:val="18"/>
  </w:num>
  <w:num w:numId="20">
    <w:abstractNumId w:val="14"/>
  </w:num>
  <w:num w:numId="21">
    <w:abstractNumId w:val="1"/>
  </w:num>
  <w:num w:numId="22">
    <w:abstractNumId w:val="25"/>
  </w:num>
  <w:num w:numId="23">
    <w:abstractNumId w:val="30"/>
  </w:num>
  <w:num w:numId="24">
    <w:abstractNumId w:val="13"/>
  </w:num>
  <w:num w:numId="25">
    <w:abstractNumId w:val="5"/>
  </w:num>
  <w:num w:numId="26">
    <w:abstractNumId w:val="23"/>
  </w:num>
  <w:num w:numId="27">
    <w:abstractNumId w:val="0"/>
  </w:num>
  <w:num w:numId="28">
    <w:abstractNumId w:val="4"/>
  </w:num>
  <w:num w:numId="29">
    <w:abstractNumId w:val="12"/>
  </w:num>
  <w:num w:numId="30">
    <w:abstractNumId w:val="24"/>
  </w:num>
  <w:num w:numId="31">
    <w:abstractNumId w:val="2"/>
  </w:num>
  <w:num w:numId="32">
    <w:abstractNumId w:val="27"/>
  </w:num>
  <w:num w:numId="33">
    <w:abstractNumId w:val="3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6C87"/>
    <w:rsid w:val="00007BDE"/>
    <w:rsid w:val="00012289"/>
    <w:rsid w:val="000125F3"/>
    <w:rsid w:val="00015102"/>
    <w:rsid w:val="0002190C"/>
    <w:rsid w:val="00023B5E"/>
    <w:rsid w:val="00031CBA"/>
    <w:rsid w:val="00032390"/>
    <w:rsid w:val="00043D42"/>
    <w:rsid w:val="00043EC4"/>
    <w:rsid w:val="00044DDF"/>
    <w:rsid w:val="00056FFB"/>
    <w:rsid w:val="00075F0D"/>
    <w:rsid w:val="00076146"/>
    <w:rsid w:val="0007624F"/>
    <w:rsid w:val="0007729A"/>
    <w:rsid w:val="000808F3"/>
    <w:rsid w:val="0008207E"/>
    <w:rsid w:val="00084041"/>
    <w:rsid w:val="00086F4E"/>
    <w:rsid w:val="000A1148"/>
    <w:rsid w:val="000A5D6C"/>
    <w:rsid w:val="000A6682"/>
    <w:rsid w:val="000A6A4C"/>
    <w:rsid w:val="000A74D7"/>
    <w:rsid w:val="000B0E48"/>
    <w:rsid w:val="000D13F0"/>
    <w:rsid w:val="000D1DAA"/>
    <w:rsid w:val="000D3FCB"/>
    <w:rsid w:val="000D4A11"/>
    <w:rsid w:val="000D4A78"/>
    <w:rsid w:val="000F210C"/>
    <w:rsid w:val="000F6D88"/>
    <w:rsid w:val="00121D98"/>
    <w:rsid w:val="0012247C"/>
    <w:rsid w:val="001257AF"/>
    <w:rsid w:val="00142DB2"/>
    <w:rsid w:val="00144928"/>
    <w:rsid w:val="00150EF0"/>
    <w:rsid w:val="001513A6"/>
    <w:rsid w:val="001574D3"/>
    <w:rsid w:val="00161728"/>
    <w:rsid w:val="00166240"/>
    <w:rsid w:val="00174313"/>
    <w:rsid w:val="00174E70"/>
    <w:rsid w:val="00175467"/>
    <w:rsid w:val="001860A8"/>
    <w:rsid w:val="00186E2D"/>
    <w:rsid w:val="001A644A"/>
    <w:rsid w:val="001B111D"/>
    <w:rsid w:val="001C244B"/>
    <w:rsid w:val="001C5770"/>
    <w:rsid w:val="001C5E67"/>
    <w:rsid w:val="001D1541"/>
    <w:rsid w:val="001E3706"/>
    <w:rsid w:val="001E4A3B"/>
    <w:rsid w:val="001E7E32"/>
    <w:rsid w:val="001F0C9A"/>
    <w:rsid w:val="001F3EC7"/>
    <w:rsid w:val="001F4AB0"/>
    <w:rsid w:val="00200FAC"/>
    <w:rsid w:val="0020151F"/>
    <w:rsid w:val="00205019"/>
    <w:rsid w:val="0020643D"/>
    <w:rsid w:val="002123C2"/>
    <w:rsid w:val="002250D0"/>
    <w:rsid w:val="002251D1"/>
    <w:rsid w:val="002259FC"/>
    <w:rsid w:val="00231D56"/>
    <w:rsid w:val="00231DDF"/>
    <w:rsid w:val="002433E6"/>
    <w:rsid w:val="0024610A"/>
    <w:rsid w:val="00247627"/>
    <w:rsid w:val="002636CA"/>
    <w:rsid w:val="00267B36"/>
    <w:rsid w:val="00270A58"/>
    <w:rsid w:val="00271597"/>
    <w:rsid w:val="0028324E"/>
    <w:rsid w:val="00294558"/>
    <w:rsid w:val="002A0D06"/>
    <w:rsid w:val="002A172A"/>
    <w:rsid w:val="002D39D2"/>
    <w:rsid w:val="002E041D"/>
    <w:rsid w:val="002E3161"/>
    <w:rsid w:val="002E6CE8"/>
    <w:rsid w:val="002F2AC5"/>
    <w:rsid w:val="00301353"/>
    <w:rsid w:val="003049E7"/>
    <w:rsid w:val="003102F2"/>
    <w:rsid w:val="003135AE"/>
    <w:rsid w:val="0031459A"/>
    <w:rsid w:val="00315D22"/>
    <w:rsid w:val="003178E1"/>
    <w:rsid w:val="003250D3"/>
    <w:rsid w:val="0032528C"/>
    <w:rsid w:val="0033200D"/>
    <w:rsid w:val="00333555"/>
    <w:rsid w:val="0034241C"/>
    <w:rsid w:val="00342FD0"/>
    <w:rsid w:val="003461A7"/>
    <w:rsid w:val="003467DB"/>
    <w:rsid w:val="003511BC"/>
    <w:rsid w:val="003557D1"/>
    <w:rsid w:val="00356B3D"/>
    <w:rsid w:val="00356C00"/>
    <w:rsid w:val="0036578E"/>
    <w:rsid w:val="003660A3"/>
    <w:rsid w:val="00382625"/>
    <w:rsid w:val="0038649E"/>
    <w:rsid w:val="0039486A"/>
    <w:rsid w:val="00396483"/>
    <w:rsid w:val="00397260"/>
    <w:rsid w:val="003A0D3D"/>
    <w:rsid w:val="003A4FB0"/>
    <w:rsid w:val="003A6BCA"/>
    <w:rsid w:val="003A7938"/>
    <w:rsid w:val="003B2F2B"/>
    <w:rsid w:val="003B6176"/>
    <w:rsid w:val="003C14F7"/>
    <w:rsid w:val="003D14FF"/>
    <w:rsid w:val="003D31F2"/>
    <w:rsid w:val="003E3B67"/>
    <w:rsid w:val="003F1138"/>
    <w:rsid w:val="003F2ED6"/>
    <w:rsid w:val="003F66FA"/>
    <w:rsid w:val="004019BB"/>
    <w:rsid w:val="00406A42"/>
    <w:rsid w:val="004075DC"/>
    <w:rsid w:val="00407BE0"/>
    <w:rsid w:val="00411DA1"/>
    <w:rsid w:val="004172C8"/>
    <w:rsid w:val="0042016C"/>
    <w:rsid w:val="0042470F"/>
    <w:rsid w:val="004305CE"/>
    <w:rsid w:val="0043728A"/>
    <w:rsid w:val="00441FF5"/>
    <w:rsid w:val="00444807"/>
    <w:rsid w:val="00445915"/>
    <w:rsid w:val="00450FA0"/>
    <w:rsid w:val="00451061"/>
    <w:rsid w:val="00451B2E"/>
    <w:rsid w:val="00453C71"/>
    <w:rsid w:val="00454167"/>
    <w:rsid w:val="00464477"/>
    <w:rsid w:val="0047230E"/>
    <w:rsid w:val="004727F3"/>
    <w:rsid w:val="00477D32"/>
    <w:rsid w:val="00482610"/>
    <w:rsid w:val="00485676"/>
    <w:rsid w:val="004A3319"/>
    <w:rsid w:val="004A4AB3"/>
    <w:rsid w:val="004B5EBE"/>
    <w:rsid w:val="004B6498"/>
    <w:rsid w:val="004B76DA"/>
    <w:rsid w:val="004C3A7C"/>
    <w:rsid w:val="004C7ED5"/>
    <w:rsid w:val="004E0E81"/>
    <w:rsid w:val="004E1065"/>
    <w:rsid w:val="004E42E5"/>
    <w:rsid w:val="004E4502"/>
    <w:rsid w:val="004F29A0"/>
    <w:rsid w:val="004F508B"/>
    <w:rsid w:val="00504AE3"/>
    <w:rsid w:val="00510D00"/>
    <w:rsid w:val="005206E9"/>
    <w:rsid w:val="00532791"/>
    <w:rsid w:val="00533551"/>
    <w:rsid w:val="00537142"/>
    <w:rsid w:val="00537849"/>
    <w:rsid w:val="00544235"/>
    <w:rsid w:val="00546B72"/>
    <w:rsid w:val="00547FDF"/>
    <w:rsid w:val="00551669"/>
    <w:rsid w:val="00554BAB"/>
    <w:rsid w:val="00555745"/>
    <w:rsid w:val="00564973"/>
    <w:rsid w:val="00570588"/>
    <w:rsid w:val="005711F6"/>
    <w:rsid w:val="0057615A"/>
    <w:rsid w:val="00577430"/>
    <w:rsid w:val="0058441D"/>
    <w:rsid w:val="005857BC"/>
    <w:rsid w:val="005863A1"/>
    <w:rsid w:val="00591745"/>
    <w:rsid w:val="00592B55"/>
    <w:rsid w:val="005C23CD"/>
    <w:rsid w:val="005C6C1D"/>
    <w:rsid w:val="005C7CC9"/>
    <w:rsid w:val="005C7D9C"/>
    <w:rsid w:val="005D29B4"/>
    <w:rsid w:val="005D31FE"/>
    <w:rsid w:val="005D56AD"/>
    <w:rsid w:val="005E53B3"/>
    <w:rsid w:val="005F0C09"/>
    <w:rsid w:val="00601532"/>
    <w:rsid w:val="00621434"/>
    <w:rsid w:val="00623E03"/>
    <w:rsid w:val="00624057"/>
    <w:rsid w:val="00626589"/>
    <w:rsid w:val="00631AA7"/>
    <w:rsid w:val="0063603F"/>
    <w:rsid w:val="00643D1F"/>
    <w:rsid w:val="00661D36"/>
    <w:rsid w:val="00667570"/>
    <w:rsid w:val="00674B4E"/>
    <w:rsid w:val="006819E3"/>
    <w:rsid w:val="0068601C"/>
    <w:rsid w:val="006B3AD3"/>
    <w:rsid w:val="006C09C0"/>
    <w:rsid w:val="006C259C"/>
    <w:rsid w:val="006C720B"/>
    <w:rsid w:val="006D612B"/>
    <w:rsid w:val="006E13B5"/>
    <w:rsid w:val="006E1B91"/>
    <w:rsid w:val="006E3B8C"/>
    <w:rsid w:val="006E781A"/>
    <w:rsid w:val="006F2BB5"/>
    <w:rsid w:val="006F3514"/>
    <w:rsid w:val="007025F1"/>
    <w:rsid w:val="00704FE4"/>
    <w:rsid w:val="007131B9"/>
    <w:rsid w:val="00733320"/>
    <w:rsid w:val="007338F6"/>
    <w:rsid w:val="00735A72"/>
    <w:rsid w:val="00743F65"/>
    <w:rsid w:val="00744CE8"/>
    <w:rsid w:val="007470EB"/>
    <w:rsid w:val="00747AF9"/>
    <w:rsid w:val="00774EB2"/>
    <w:rsid w:val="00783E7A"/>
    <w:rsid w:val="00784E18"/>
    <w:rsid w:val="00794478"/>
    <w:rsid w:val="007944D2"/>
    <w:rsid w:val="00794E04"/>
    <w:rsid w:val="007B2E02"/>
    <w:rsid w:val="007B48A1"/>
    <w:rsid w:val="007C4A03"/>
    <w:rsid w:val="007C559C"/>
    <w:rsid w:val="007D27B1"/>
    <w:rsid w:val="007E638A"/>
    <w:rsid w:val="007F4984"/>
    <w:rsid w:val="00806391"/>
    <w:rsid w:val="00811F57"/>
    <w:rsid w:val="008135CE"/>
    <w:rsid w:val="00814F18"/>
    <w:rsid w:val="00816521"/>
    <w:rsid w:val="008201D0"/>
    <w:rsid w:val="00827131"/>
    <w:rsid w:val="00830066"/>
    <w:rsid w:val="00833F0F"/>
    <w:rsid w:val="00844745"/>
    <w:rsid w:val="00845120"/>
    <w:rsid w:val="008475A9"/>
    <w:rsid w:val="008530BF"/>
    <w:rsid w:val="00870464"/>
    <w:rsid w:val="00871205"/>
    <w:rsid w:val="0087528C"/>
    <w:rsid w:val="00892A31"/>
    <w:rsid w:val="00897F49"/>
    <w:rsid w:val="008A197C"/>
    <w:rsid w:val="008A316B"/>
    <w:rsid w:val="008A468A"/>
    <w:rsid w:val="008A4FB9"/>
    <w:rsid w:val="008B4CE7"/>
    <w:rsid w:val="008B4DEC"/>
    <w:rsid w:val="008C0B1C"/>
    <w:rsid w:val="008C0CF9"/>
    <w:rsid w:val="008C5978"/>
    <w:rsid w:val="008D0F5C"/>
    <w:rsid w:val="008D1003"/>
    <w:rsid w:val="008D22FF"/>
    <w:rsid w:val="008D5EF6"/>
    <w:rsid w:val="008D6D24"/>
    <w:rsid w:val="008D7359"/>
    <w:rsid w:val="008E0075"/>
    <w:rsid w:val="008F162F"/>
    <w:rsid w:val="008F6628"/>
    <w:rsid w:val="00900869"/>
    <w:rsid w:val="00903340"/>
    <w:rsid w:val="00907F9D"/>
    <w:rsid w:val="00910ACA"/>
    <w:rsid w:val="0092051A"/>
    <w:rsid w:val="0093452A"/>
    <w:rsid w:val="009363EF"/>
    <w:rsid w:val="00940535"/>
    <w:rsid w:val="009421C4"/>
    <w:rsid w:val="00965002"/>
    <w:rsid w:val="00966D4C"/>
    <w:rsid w:val="00971A94"/>
    <w:rsid w:val="00972D90"/>
    <w:rsid w:val="0097445C"/>
    <w:rsid w:val="00987386"/>
    <w:rsid w:val="0099059B"/>
    <w:rsid w:val="0099300D"/>
    <w:rsid w:val="0099504F"/>
    <w:rsid w:val="009A0CB7"/>
    <w:rsid w:val="009B741F"/>
    <w:rsid w:val="009C4F3A"/>
    <w:rsid w:val="009D072A"/>
    <w:rsid w:val="009D2D48"/>
    <w:rsid w:val="009D5F80"/>
    <w:rsid w:val="009D7A8A"/>
    <w:rsid w:val="009E493C"/>
    <w:rsid w:val="009F29B9"/>
    <w:rsid w:val="009F4B90"/>
    <w:rsid w:val="009F512A"/>
    <w:rsid w:val="00A00FBA"/>
    <w:rsid w:val="00A01977"/>
    <w:rsid w:val="00A14255"/>
    <w:rsid w:val="00A16A10"/>
    <w:rsid w:val="00A16F26"/>
    <w:rsid w:val="00A225A7"/>
    <w:rsid w:val="00A25C25"/>
    <w:rsid w:val="00A26FCC"/>
    <w:rsid w:val="00A30D9E"/>
    <w:rsid w:val="00A362B4"/>
    <w:rsid w:val="00A366EB"/>
    <w:rsid w:val="00A42040"/>
    <w:rsid w:val="00A4263C"/>
    <w:rsid w:val="00A44FFF"/>
    <w:rsid w:val="00A50D93"/>
    <w:rsid w:val="00A51EDC"/>
    <w:rsid w:val="00A64CCF"/>
    <w:rsid w:val="00A759BC"/>
    <w:rsid w:val="00A92D46"/>
    <w:rsid w:val="00A94E43"/>
    <w:rsid w:val="00AA2D4D"/>
    <w:rsid w:val="00AA45EF"/>
    <w:rsid w:val="00AA5B01"/>
    <w:rsid w:val="00AB05E3"/>
    <w:rsid w:val="00AC17AA"/>
    <w:rsid w:val="00AC5087"/>
    <w:rsid w:val="00AD1C20"/>
    <w:rsid w:val="00AD5EB7"/>
    <w:rsid w:val="00AE57C8"/>
    <w:rsid w:val="00AF11A7"/>
    <w:rsid w:val="00AF2909"/>
    <w:rsid w:val="00B00277"/>
    <w:rsid w:val="00B040F8"/>
    <w:rsid w:val="00B12A87"/>
    <w:rsid w:val="00B13EB9"/>
    <w:rsid w:val="00B16149"/>
    <w:rsid w:val="00B2153A"/>
    <w:rsid w:val="00B230DE"/>
    <w:rsid w:val="00B25672"/>
    <w:rsid w:val="00B37D26"/>
    <w:rsid w:val="00B40191"/>
    <w:rsid w:val="00B40647"/>
    <w:rsid w:val="00B4332D"/>
    <w:rsid w:val="00B4519C"/>
    <w:rsid w:val="00B5042F"/>
    <w:rsid w:val="00B5196C"/>
    <w:rsid w:val="00B554F9"/>
    <w:rsid w:val="00B570C5"/>
    <w:rsid w:val="00B61902"/>
    <w:rsid w:val="00B717E5"/>
    <w:rsid w:val="00B73B7E"/>
    <w:rsid w:val="00B73CEB"/>
    <w:rsid w:val="00B75880"/>
    <w:rsid w:val="00B7702D"/>
    <w:rsid w:val="00B77C97"/>
    <w:rsid w:val="00B80368"/>
    <w:rsid w:val="00B84425"/>
    <w:rsid w:val="00B90880"/>
    <w:rsid w:val="00B90E45"/>
    <w:rsid w:val="00B945C5"/>
    <w:rsid w:val="00B96B60"/>
    <w:rsid w:val="00BA4A9C"/>
    <w:rsid w:val="00BA5EA3"/>
    <w:rsid w:val="00BB2195"/>
    <w:rsid w:val="00BB21A0"/>
    <w:rsid w:val="00BC54D4"/>
    <w:rsid w:val="00BC58CE"/>
    <w:rsid w:val="00BD0357"/>
    <w:rsid w:val="00BD0978"/>
    <w:rsid w:val="00BD3E3F"/>
    <w:rsid w:val="00BD6FD3"/>
    <w:rsid w:val="00BE26C7"/>
    <w:rsid w:val="00BF2AFB"/>
    <w:rsid w:val="00BF4166"/>
    <w:rsid w:val="00C02FD1"/>
    <w:rsid w:val="00C11075"/>
    <w:rsid w:val="00C117FB"/>
    <w:rsid w:val="00C11BB5"/>
    <w:rsid w:val="00C2154C"/>
    <w:rsid w:val="00C26AE4"/>
    <w:rsid w:val="00C304D8"/>
    <w:rsid w:val="00C31011"/>
    <w:rsid w:val="00C33526"/>
    <w:rsid w:val="00C56E6F"/>
    <w:rsid w:val="00C64A67"/>
    <w:rsid w:val="00C672AE"/>
    <w:rsid w:val="00C70FA3"/>
    <w:rsid w:val="00C71A3D"/>
    <w:rsid w:val="00C80650"/>
    <w:rsid w:val="00C80D4D"/>
    <w:rsid w:val="00C83AE6"/>
    <w:rsid w:val="00C85DEB"/>
    <w:rsid w:val="00C91EAE"/>
    <w:rsid w:val="00C944A9"/>
    <w:rsid w:val="00C94931"/>
    <w:rsid w:val="00C94BDC"/>
    <w:rsid w:val="00CA1899"/>
    <w:rsid w:val="00CA3513"/>
    <w:rsid w:val="00CA4D14"/>
    <w:rsid w:val="00CB2B87"/>
    <w:rsid w:val="00CC2FEB"/>
    <w:rsid w:val="00CC71BF"/>
    <w:rsid w:val="00CD049D"/>
    <w:rsid w:val="00CD216B"/>
    <w:rsid w:val="00CE132A"/>
    <w:rsid w:val="00CE405C"/>
    <w:rsid w:val="00CE5737"/>
    <w:rsid w:val="00CE6144"/>
    <w:rsid w:val="00CF04B0"/>
    <w:rsid w:val="00CF176A"/>
    <w:rsid w:val="00CF48CE"/>
    <w:rsid w:val="00CF4C60"/>
    <w:rsid w:val="00CF52C3"/>
    <w:rsid w:val="00CF5678"/>
    <w:rsid w:val="00D0630D"/>
    <w:rsid w:val="00D07C11"/>
    <w:rsid w:val="00D130A8"/>
    <w:rsid w:val="00D20433"/>
    <w:rsid w:val="00D20E6F"/>
    <w:rsid w:val="00D21B0D"/>
    <w:rsid w:val="00D22302"/>
    <w:rsid w:val="00D279FB"/>
    <w:rsid w:val="00D44A9D"/>
    <w:rsid w:val="00D54287"/>
    <w:rsid w:val="00D659A6"/>
    <w:rsid w:val="00D81055"/>
    <w:rsid w:val="00D8646A"/>
    <w:rsid w:val="00D86719"/>
    <w:rsid w:val="00D91C6F"/>
    <w:rsid w:val="00D92727"/>
    <w:rsid w:val="00DA2F93"/>
    <w:rsid w:val="00DA4E55"/>
    <w:rsid w:val="00DA670D"/>
    <w:rsid w:val="00DB4504"/>
    <w:rsid w:val="00DB4B83"/>
    <w:rsid w:val="00DB72D3"/>
    <w:rsid w:val="00DC63FB"/>
    <w:rsid w:val="00DD1CB5"/>
    <w:rsid w:val="00DD5E81"/>
    <w:rsid w:val="00DD7467"/>
    <w:rsid w:val="00DE012F"/>
    <w:rsid w:val="00DE2279"/>
    <w:rsid w:val="00DE35E2"/>
    <w:rsid w:val="00DF4F96"/>
    <w:rsid w:val="00DF551B"/>
    <w:rsid w:val="00DF7968"/>
    <w:rsid w:val="00E02476"/>
    <w:rsid w:val="00E07938"/>
    <w:rsid w:val="00E10B31"/>
    <w:rsid w:val="00E250E1"/>
    <w:rsid w:val="00E26698"/>
    <w:rsid w:val="00E4096A"/>
    <w:rsid w:val="00E41C66"/>
    <w:rsid w:val="00E42D5B"/>
    <w:rsid w:val="00E44686"/>
    <w:rsid w:val="00E47503"/>
    <w:rsid w:val="00E64A49"/>
    <w:rsid w:val="00E6581A"/>
    <w:rsid w:val="00E703ED"/>
    <w:rsid w:val="00E70C1D"/>
    <w:rsid w:val="00E7306A"/>
    <w:rsid w:val="00E768BF"/>
    <w:rsid w:val="00E96267"/>
    <w:rsid w:val="00EB027E"/>
    <w:rsid w:val="00EB3A99"/>
    <w:rsid w:val="00EC25E8"/>
    <w:rsid w:val="00EC2EAA"/>
    <w:rsid w:val="00EC342F"/>
    <w:rsid w:val="00EC3607"/>
    <w:rsid w:val="00EC74F2"/>
    <w:rsid w:val="00EC74FA"/>
    <w:rsid w:val="00EC7F66"/>
    <w:rsid w:val="00ED00FB"/>
    <w:rsid w:val="00ED57EC"/>
    <w:rsid w:val="00EE3C17"/>
    <w:rsid w:val="00EF11BB"/>
    <w:rsid w:val="00EF56DE"/>
    <w:rsid w:val="00EF5AA2"/>
    <w:rsid w:val="00F0141D"/>
    <w:rsid w:val="00F02FD1"/>
    <w:rsid w:val="00F05108"/>
    <w:rsid w:val="00F114D6"/>
    <w:rsid w:val="00F1496E"/>
    <w:rsid w:val="00F1570A"/>
    <w:rsid w:val="00F2601C"/>
    <w:rsid w:val="00F267B2"/>
    <w:rsid w:val="00F2754F"/>
    <w:rsid w:val="00F311BB"/>
    <w:rsid w:val="00F31FB8"/>
    <w:rsid w:val="00F416E7"/>
    <w:rsid w:val="00F53E9D"/>
    <w:rsid w:val="00F63D26"/>
    <w:rsid w:val="00F712EF"/>
    <w:rsid w:val="00F71E79"/>
    <w:rsid w:val="00F7421B"/>
    <w:rsid w:val="00F82D1B"/>
    <w:rsid w:val="00F85C1D"/>
    <w:rsid w:val="00F918AC"/>
    <w:rsid w:val="00F95394"/>
    <w:rsid w:val="00F95AB8"/>
    <w:rsid w:val="00FA0217"/>
    <w:rsid w:val="00FA2E43"/>
    <w:rsid w:val="00FA34A8"/>
    <w:rsid w:val="00FA5399"/>
    <w:rsid w:val="00FB0D62"/>
    <w:rsid w:val="00FB4EF2"/>
    <w:rsid w:val="00FC6BE4"/>
    <w:rsid w:val="00FD2069"/>
    <w:rsid w:val="00FE0AE5"/>
    <w:rsid w:val="00FE1A9F"/>
    <w:rsid w:val="00FE7B57"/>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09C1F"/>
  <w15:docId w15:val="{9D44D52A-8E30-4096-92BA-5F99EC1A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rsid w:val="00E703ED"/>
    <w:rPr>
      <w:sz w:val="20"/>
      <w:szCs w:val="20"/>
    </w:rPr>
  </w:style>
  <w:style w:type="character" w:styleId="FootnoteReference">
    <w:name w:val="footnote reference"/>
    <w:uiPriority w:val="99"/>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C304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90E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04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91132">
      <w:bodyDiv w:val="1"/>
      <w:marLeft w:val="0"/>
      <w:marRight w:val="0"/>
      <w:marTop w:val="0"/>
      <w:marBottom w:val="0"/>
      <w:divBdr>
        <w:top w:val="none" w:sz="0" w:space="0" w:color="auto"/>
        <w:left w:val="none" w:sz="0" w:space="0" w:color="auto"/>
        <w:bottom w:val="none" w:sz="0" w:space="0" w:color="auto"/>
        <w:right w:val="none" w:sz="0" w:space="0" w:color="auto"/>
      </w:divBdr>
    </w:div>
    <w:div w:id="1250851307">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867912211">
      <w:bodyDiv w:val="1"/>
      <w:marLeft w:val="0"/>
      <w:marRight w:val="0"/>
      <w:marTop w:val="0"/>
      <w:marBottom w:val="0"/>
      <w:divBdr>
        <w:top w:val="none" w:sz="0" w:space="0" w:color="auto"/>
        <w:left w:val="none" w:sz="0" w:space="0" w:color="auto"/>
        <w:bottom w:val="none" w:sz="0" w:space="0" w:color="auto"/>
        <w:right w:val="none" w:sz="0" w:space="0" w:color="auto"/>
      </w:divBdr>
    </w:div>
    <w:div w:id="1991398847">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essenti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federalgrants/resources/equitableservices-es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federalgrants/resources/equitableservices-ess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ederalgrantprogram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DESE-231-72029</_dlc_DocId>
    <_dlc_DocIdUrl xmlns="733efe1c-5bbe-4968-87dc-d400e65c879f">
      <Url>https://sharepoint.doemass.org/ese/webteam/cps/_layouts/DocIdRedir.aspx?ID=DESE-231-72029</Url>
      <Description>DESE-231-72029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2.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C45C273-60C5-45EB-85AB-801C3E8A4E67}">
  <ds:schemaRefs>
    <ds:schemaRef ds:uri="http://schemas.openxmlformats.org/officeDocument/2006/bibliography"/>
  </ds:schemaRefs>
</ds:datastoreItem>
</file>

<file path=customXml/itemProps4.xml><?xml version="1.0" encoding="utf-8"?>
<ds:datastoreItem xmlns:ds="http://schemas.openxmlformats.org/officeDocument/2006/customXml" ds:itemID="{16B85E79-21D1-494B-8C61-D791D4315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92EF44-4F1A-4103-865D-02093DD69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 IA Quick Reference Guide on Allowable and Unallowable Costs</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IA Quick Reference Guide on Allowable and Unallowable Costs</dc:title>
  <dc:subject/>
  <dc:creator>DESE</dc:creator>
  <cp:lastModifiedBy>Zou, Dong (EOE)</cp:lastModifiedBy>
  <cp:revision>19</cp:revision>
  <cp:lastPrinted>2019-06-05T20:03:00Z</cp:lastPrinted>
  <dcterms:created xsi:type="dcterms:W3CDTF">2023-05-01T17:53:00Z</dcterms:created>
  <dcterms:modified xsi:type="dcterms:W3CDTF">2023-05-09T18:49:00Z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2023 12:00AM</vt:lpwstr>
  </property>
</Properties>
</file>