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FC26F" w14:textId="498EEC05" w:rsidR="00811F57" w:rsidRPr="009B412E" w:rsidRDefault="00DD5C54" w:rsidP="00C004F4">
      <w:pPr>
        <w:spacing w:after="0" w:line="240" w:lineRule="auto"/>
        <w:rPr>
          <w:b/>
          <w:color w:val="1F497D" w:themeColor="text2"/>
          <w:sz w:val="32"/>
          <w:szCs w:val="32"/>
        </w:rPr>
      </w:pPr>
      <w:r w:rsidRPr="00C237D0">
        <w:rPr>
          <w:noProof/>
          <w:color w:val="1F497D" w:themeColor="text2"/>
          <w:sz w:val="32"/>
          <w:szCs w:val="32"/>
        </w:rPr>
        <w:drawing>
          <wp:anchor distT="0" distB="0" distL="114300" distR="114300" simplePos="0" relativeHeight="251670528" behindDoc="0" locked="0" layoutInCell="1" allowOverlap="1" wp14:anchorId="70502CBC" wp14:editId="0B015177">
            <wp:simplePos x="0" y="0"/>
            <wp:positionH relativeFrom="margin">
              <wp:align>right</wp:align>
            </wp:positionH>
            <wp:positionV relativeFrom="paragraph">
              <wp:posOffset>-69850</wp:posOffset>
            </wp:positionV>
            <wp:extent cx="1278074" cy="76327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8074"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D90" w:rsidRPr="009B412E">
        <w:rPr>
          <w:b/>
          <w:color w:val="1F497D" w:themeColor="text2"/>
          <w:sz w:val="32"/>
          <w:szCs w:val="32"/>
        </w:rPr>
        <w:t>Title II</w:t>
      </w:r>
      <w:r w:rsidR="002F5E9B">
        <w:rPr>
          <w:b/>
          <w:color w:val="1F497D" w:themeColor="text2"/>
          <w:sz w:val="32"/>
          <w:szCs w:val="32"/>
        </w:rPr>
        <w:t xml:space="preserve">, Part </w:t>
      </w:r>
      <w:r w:rsidR="00972D90" w:rsidRPr="009B412E">
        <w:rPr>
          <w:b/>
          <w:color w:val="1F497D" w:themeColor="text2"/>
          <w:sz w:val="32"/>
          <w:szCs w:val="32"/>
        </w:rPr>
        <w:t>A</w:t>
      </w:r>
      <w:r w:rsidR="00056E07">
        <w:rPr>
          <w:b/>
          <w:color w:val="1F497D" w:themeColor="text2"/>
          <w:sz w:val="32"/>
          <w:szCs w:val="32"/>
        </w:rPr>
        <w:t>:</w:t>
      </w:r>
      <w:r w:rsidR="00972D90" w:rsidRPr="009B412E">
        <w:rPr>
          <w:b/>
          <w:color w:val="1F497D" w:themeColor="text2"/>
          <w:sz w:val="32"/>
          <w:szCs w:val="32"/>
        </w:rPr>
        <w:t xml:space="preserve"> Quick Reference Guide</w:t>
      </w:r>
      <w:r w:rsidR="003A02C2">
        <w:rPr>
          <w:b/>
          <w:color w:val="1F497D" w:themeColor="text2"/>
          <w:sz w:val="32"/>
          <w:szCs w:val="32"/>
        </w:rPr>
        <w:t xml:space="preserve"> – Fund Code 140</w:t>
      </w:r>
      <w:r w:rsidR="00972D90" w:rsidRPr="009B412E">
        <w:rPr>
          <w:b/>
          <w:color w:val="1F497D" w:themeColor="text2"/>
          <w:sz w:val="32"/>
          <w:szCs w:val="32"/>
        </w:rPr>
        <w:t xml:space="preserve"> </w:t>
      </w:r>
    </w:p>
    <w:p w14:paraId="5972F99C" w14:textId="77777777" w:rsidR="00965002" w:rsidRPr="00D905A0" w:rsidRDefault="00965002" w:rsidP="00C004F4">
      <w:pPr>
        <w:spacing w:after="0" w:line="240" w:lineRule="auto"/>
        <w:rPr>
          <w:b/>
          <w:color w:val="E36C0A" w:themeColor="accent6" w:themeShade="BF"/>
          <w:sz w:val="28"/>
          <w:szCs w:val="32"/>
        </w:rPr>
      </w:pPr>
      <w:r w:rsidRPr="00D905A0">
        <w:rPr>
          <w:b/>
          <w:color w:val="E36C0A" w:themeColor="accent6" w:themeShade="BF"/>
          <w:sz w:val="28"/>
          <w:szCs w:val="32"/>
        </w:rPr>
        <w:t xml:space="preserve">Building </w:t>
      </w:r>
      <w:r w:rsidR="00972D90" w:rsidRPr="00D905A0">
        <w:rPr>
          <w:b/>
          <w:color w:val="E36C0A" w:themeColor="accent6" w:themeShade="BF"/>
          <w:sz w:val="28"/>
          <w:szCs w:val="32"/>
        </w:rPr>
        <w:t>Systems of Sup</w:t>
      </w:r>
      <w:r w:rsidR="009B412E" w:rsidRPr="00D905A0">
        <w:rPr>
          <w:b/>
          <w:color w:val="E36C0A" w:themeColor="accent6" w:themeShade="BF"/>
          <w:sz w:val="28"/>
          <w:szCs w:val="32"/>
        </w:rPr>
        <w:t xml:space="preserve">port for Excellent </w:t>
      </w:r>
      <w:r w:rsidR="009B412E" w:rsidRPr="00D462B0">
        <w:rPr>
          <w:b/>
          <w:color w:val="E36C0A" w:themeColor="accent6" w:themeShade="BF"/>
          <w:sz w:val="28"/>
          <w:szCs w:val="32"/>
        </w:rPr>
        <w:t>Teaching</w:t>
      </w:r>
      <w:r w:rsidR="009B412E" w:rsidRPr="00D905A0">
        <w:rPr>
          <w:b/>
          <w:color w:val="E36C0A" w:themeColor="accent6" w:themeShade="BF"/>
          <w:sz w:val="28"/>
          <w:szCs w:val="32"/>
        </w:rPr>
        <w:t xml:space="preserve"> and </w:t>
      </w:r>
      <w:r w:rsidR="00972D90" w:rsidRPr="00D905A0">
        <w:rPr>
          <w:b/>
          <w:color w:val="E36C0A" w:themeColor="accent6" w:themeShade="BF"/>
          <w:sz w:val="28"/>
          <w:szCs w:val="32"/>
        </w:rPr>
        <w:t>Leading</w:t>
      </w:r>
    </w:p>
    <w:p w14:paraId="2ADEB4FB" w14:textId="77777777" w:rsidR="0042798F" w:rsidRPr="0042154A" w:rsidRDefault="0042798F" w:rsidP="0042798F">
      <w:pPr>
        <w:spacing w:after="0" w:line="240" w:lineRule="auto"/>
        <w:rPr>
          <w:b/>
          <w:sz w:val="32"/>
          <w:szCs w:val="32"/>
        </w:rPr>
      </w:pPr>
    </w:p>
    <w:p w14:paraId="3CD1DCD2" w14:textId="77777777" w:rsidR="00056E07" w:rsidRDefault="009B412E" w:rsidP="00056E07">
      <w:pPr>
        <w:shd w:val="clear" w:color="auto" w:fill="FFFFFF" w:themeFill="background1"/>
        <w:spacing w:after="0" w:line="240" w:lineRule="auto"/>
        <w:rPr>
          <w:color w:val="1F497D" w:themeColor="text2"/>
          <w:sz w:val="24"/>
          <w:szCs w:val="20"/>
        </w:rPr>
      </w:pPr>
      <w:r w:rsidRPr="00056E07">
        <w:rPr>
          <w:b/>
          <w:color w:val="1F497D" w:themeColor="text2"/>
          <w:sz w:val="24"/>
          <w:szCs w:val="20"/>
        </w:rPr>
        <w:t>Priorities of Title IIA:</w:t>
      </w:r>
      <w:r w:rsidRPr="00056E07">
        <w:rPr>
          <w:color w:val="1F497D" w:themeColor="text2"/>
          <w:sz w:val="24"/>
          <w:szCs w:val="20"/>
        </w:rPr>
        <w:t xml:space="preserve"> </w:t>
      </w:r>
    </w:p>
    <w:p w14:paraId="5A1143BF" w14:textId="77777777" w:rsidR="00056E07" w:rsidRPr="00056E07" w:rsidRDefault="009B412E" w:rsidP="00056E07">
      <w:pPr>
        <w:pStyle w:val="ListParagraph"/>
        <w:numPr>
          <w:ilvl w:val="0"/>
          <w:numId w:val="31"/>
        </w:numPr>
        <w:shd w:val="clear" w:color="auto" w:fill="FFFFFF" w:themeFill="background1"/>
        <w:spacing w:line="240" w:lineRule="auto"/>
        <w:rPr>
          <w:color w:val="1F497D" w:themeColor="text2"/>
          <w:sz w:val="24"/>
          <w:szCs w:val="20"/>
        </w:rPr>
      </w:pPr>
      <w:r w:rsidRPr="00056E07">
        <w:rPr>
          <w:sz w:val="20"/>
          <w:szCs w:val="20"/>
        </w:rPr>
        <w:t>Increase student achieveme</w:t>
      </w:r>
      <w:r w:rsidR="003A02C2">
        <w:rPr>
          <w:sz w:val="20"/>
          <w:szCs w:val="20"/>
        </w:rPr>
        <w:t>nt consistent with challenging s</w:t>
      </w:r>
      <w:r w:rsidRPr="00056E07">
        <w:rPr>
          <w:sz w:val="20"/>
          <w:szCs w:val="20"/>
        </w:rPr>
        <w:t xml:space="preserve">tate academic standards; </w:t>
      </w:r>
    </w:p>
    <w:p w14:paraId="6360DFF5" w14:textId="77777777" w:rsidR="00056E07" w:rsidRPr="00056E07" w:rsidRDefault="009B412E" w:rsidP="00056E07">
      <w:pPr>
        <w:pStyle w:val="ListParagraph"/>
        <w:numPr>
          <w:ilvl w:val="0"/>
          <w:numId w:val="31"/>
        </w:numPr>
        <w:shd w:val="clear" w:color="auto" w:fill="FFFFFF" w:themeFill="background1"/>
        <w:spacing w:line="240" w:lineRule="auto"/>
        <w:rPr>
          <w:color w:val="1F497D" w:themeColor="text2"/>
          <w:sz w:val="24"/>
          <w:szCs w:val="20"/>
        </w:rPr>
      </w:pPr>
      <w:r w:rsidRPr="00056E07">
        <w:rPr>
          <w:sz w:val="20"/>
          <w:szCs w:val="20"/>
        </w:rPr>
        <w:t xml:space="preserve">Improve the quality and effectiveness of teachers, principals, and other school leaders; </w:t>
      </w:r>
    </w:p>
    <w:p w14:paraId="167CB796" w14:textId="77777777" w:rsidR="00056E07" w:rsidRPr="00056E07" w:rsidRDefault="009B412E" w:rsidP="00056E07">
      <w:pPr>
        <w:pStyle w:val="ListParagraph"/>
        <w:numPr>
          <w:ilvl w:val="0"/>
          <w:numId w:val="31"/>
        </w:numPr>
        <w:shd w:val="clear" w:color="auto" w:fill="FFFFFF" w:themeFill="background1"/>
        <w:spacing w:line="240" w:lineRule="auto"/>
        <w:rPr>
          <w:color w:val="1F497D" w:themeColor="text2"/>
          <w:sz w:val="24"/>
          <w:szCs w:val="20"/>
        </w:rPr>
      </w:pPr>
      <w:r w:rsidRPr="00056E07">
        <w:rPr>
          <w:sz w:val="20"/>
          <w:szCs w:val="20"/>
        </w:rPr>
        <w:t xml:space="preserve">Increase the number of teachers, principals, and other school leaders who are effective in improving student academic achievement in schools; and </w:t>
      </w:r>
    </w:p>
    <w:p w14:paraId="499BB974" w14:textId="55EFA946" w:rsidR="00AD1C20" w:rsidRPr="00CF2E63" w:rsidRDefault="00056E07" w:rsidP="00056E07">
      <w:pPr>
        <w:pStyle w:val="ListParagraph"/>
        <w:numPr>
          <w:ilvl w:val="0"/>
          <w:numId w:val="31"/>
        </w:numPr>
        <w:shd w:val="clear" w:color="auto" w:fill="FFFFFF" w:themeFill="background1"/>
        <w:spacing w:line="240" w:lineRule="auto"/>
        <w:rPr>
          <w:color w:val="1F497D" w:themeColor="text2"/>
          <w:sz w:val="24"/>
          <w:szCs w:val="20"/>
        </w:rPr>
      </w:pPr>
      <w:r>
        <w:rPr>
          <w:sz w:val="20"/>
          <w:szCs w:val="20"/>
        </w:rPr>
        <w:t>P</w:t>
      </w:r>
      <w:r w:rsidR="009B412E" w:rsidRPr="00056E07">
        <w:rPr>
          <w:sz w:val="20"/>
          <w:szCs w:val="20"/>
        </w:rPr>
        <w:t>rovide low-income and minority students equitable access to effective teachers, principals, and other school leaders</w:t>
      </w:r>
      <w:r w:rsidR="009B412E">
        <w:t>.</w:t>
      </w:r>
    </w:p>
    <w:p w14:paraId="663DD42B" w14:textId="28249D02" w:rsidR="00CF2E63" w:rsidRPr="00CF2E63" w:rsidRDefault="00CF2E63" w:rsidP="00CF2E63">
      <w:pPr>
        <w:numPr>
          <w:ilvl w:val="0"/>
          <w:numId w:val="31"/>
        </w:numPr>
        <w:spacing w:before="100" w:beforeAutospacing="1" w:after="100" w:afterAutospacing="1" w:line="240" w:lineRule="auto"/>
        <w:rPr>
          <w:sz w:val="20"/>
        </w:rPr>
      </w:pPr>
      <w:r>
        <w:rPr>
          <w:sz w:val="20"/>
        </w:rPr>
        <w:t xml:space="preserve">Support key district and school improvement initiatives </w:t>
      </w:r>
      <w:r w:rsidRPr="00C94BDC">
        <w:rPr>
          <w:b/>
          <w:bCs/>
          <w:sz w:val="20"/>
        </w:rPr>
        <w:t>in coordination with</w:t>
      </w:r>
      <w:r>
        <w:rPr>
          <w:sz w:val="20"/>
        </w:rPr>
        <w:t xml:space="preserve"> other federal grant funds and state and local resources so initiatives and their impact </w:t>
      </w:r>
      <w:r w:rsidRPr="00C94BDC">
        <w:rPr>
          <w:b/>
          <w:bCs/>
          <w:sz w:val="20"/>
        </w:rPr>
        <w:t>are sustained</w:t>
      </w:r>
      <w:r>
        <w:rPr>
          <w:sz w:val="20"/>
        </w:rPr>
        <w:t xml:space="preserve"> beyond the life of individual sources of funding.</w:t>
      </w:r>
    </w:p>
    <w:tbl>
      <w:tblPr>
        <w:tblStyle w:val="MediumShading1-Accent1"/>
        <w:tblW w:w="10908" w:type="dxa"/>
        <w:tblLayout w:type="fixed"/>
        <w:tblLook w:val="04A0" w:firstRow="1" w:lastRow="0" w:firstColumn="1" w:lastColumn="0" w:noHBand="0" w:noVBand="1"/>
        <w:tblCaption w:val="Table of Allowable and Unallowable Costs"/>
      </w:tblPr>
      <w:tblGrid>
        <w:gridCol w:w="1998"/>
        <w:gridCol w:w="5130"/>
        <w:gridCol w:w="3780"/>
      </w:tblGrid>
      <w:tr w:rsidR="008A468A" w:rsidRPr="008A468A" w14:paraId="66A0FE37" w14:textId="77777777" w:rsidTr="001040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shd w:val="clear" w:color="auto" w:fill="1F497D" w:themeFill="text2"/>
          </w:tcPr>
          <w:p w14:paraId="76266750" w14:textId="709BB26C" w:rsidR="008A468A" w:rsidRPr="0092051A" w:rsidRDefault="009631FB" w:rsidP="009B412E">
            <w:pPr>
              <w:spacing w:before="40" w:after="40"/>
              <w:jc w:val="center"/>
              <w:rPr>
                <w:sz w:val="24"/>
                <w:szCs w:val="24"/>
              </w:rPr>
            </w:pPr>
            <w:r>
              <w:rPr>
                <w:sz w:val="24"/>
                <w:szCs w:val="24"/>
              </w:rPr>
              <w:t>Categories</w:t>
            </w:r>
          </w:p>
        </w:tc>
        <w:tc>
          <w:tcPr>
            <w:tcW w:w="5130" w:type="dxa"/>
            <w:shd w:val="clear" w:color="auto" w:fill="1F497D" w:themeFill="text2"/>
          </w:tcPr>
          <w:p w14:paraId="3A564F8A" w14:textId="77777777" w:rsidR="008A468A" w:rsidRPr="0092051A" w:rsidRDefault="003A02C2"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Allowable Costs</w:t>
            </w:r>
          </w:p>
        </w:tc>
        <w:tc>
          <w:tcPr>
            <w:tcW w:w="3780" w:type="dxa"/>
            <w:shd w:val="clear" w:color="auto" w:fill="1F497D" w:themeFill="text2"/>
          </w:tcPr>
          <w:p w14:paraId="1C363521" w14:textId="77777777" w:rsidR="008A468A" w:rsidRPr="0092051A" w:rsidRDefault="003A02C2"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Unallowable Costs</w:t>
            </w:r>
          </w:p>
        </w:tc>
      </w:tr>
      <w:tr w:rsidR="008A468A" w:rsidRPr="008A468A" w14:paraId="0C138E85"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9456BE8"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Administrator Salaries</w:t>
            </w:r>
          </w:p>
        </w:tc>
        <w:tc>
          <w:tcPr>
            <w:tcW w:w="5130" w:type="dxa"/>
          </w:tcPr>
          <w:p w14:paraId="07497AA7" w14:textId="6AE2B13E" w:rsidR="008A468A" w:rsidRPr="009B412E" w:rsidRDefault="008A468A" w:rsidP="002F5E9B">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 xml:space="preserve">Program Administrator/Grant Manager/Professional Development Coordinator – only the portion of the salary </w:t>
            </w:r>
            <w:r w:rsidR="000B3059">
              <w:rPr>
                <w:sz w:val="20"/>
                <w:szCs w:val="20"/>
              </w:rPr>
              <w:t>dedicated to</w:t>
            </w:r>
            <w:r w:rsidRPr="009B412E">
              <w:rPr>
                <w:sz w:val="20"/>
                <w:szCs w:val="20"/>
              </w:rPr>
              <w:t xml:space="preserve"> Title II, Part A</w:t>
            </w:r>
            <w:r w:rsidR="000B3059">
              <w:rPr>
                <w:sz w:val="20"/>
                <w:szCs w:val="20"/>
              </w:rPr>
              <w:t xml:space="preserve"> administration</w:t>
            </w:r>
          </w:p>
          <w:p w14:paraId="28F30434" w14:textId="77777777" w:rsidR="00EC25E8" w:rsidRPr="009B412E" w:rsidRDefault="00EC25E8" w:rsidP="002F5E9B">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District Mentoring/Induction Administrator</w:t>
            </w:r>
          </w:p>
        </w:tc>
        <w:tc>
          <w:tcPr>
            <w:tcW w:w="3780" w:type="dxa"/>
          </w:tcPr>
          <w:p w14:paraId="0DF506D3" w14:textId="77777777" w:rsidR="008A468A" w:rsidRPr="009B412E" w:rsidRDefault="008A468A" w:rsidP="002F5E9B">
            <w:pPr>
              <w:pStyle w:val="ListParagraph"/>
              <w:numPr>
                <w:ilvl w:val="0"/>
                <w:numId w:val="16"/>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 xml:space="preserve">Entire salary unless the manager’s entire responsibility is Title II, Part A </w:t>
            </w:r>
          </w:p>
        </w:tc>
      </w:tr>
      <w:tr w:rsidR="008A468A" w:rsidRPr="008A468A" w14:paraId="6F9EDA1C" w14:textId="77777777" w:rsidTr="00596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54F2AD4"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Instructional/</w:t>
            </w:r>
            <w:r w:rsidRPr="00596C87">
              <w:rPr>
                <w:sz w:val="24"/>
                <w:szCs w:val="20"/>
              </w:rPr>
              <w:br/>
              <w:t>Professional Staff</w:t>
            </w:r>
          </w:p>
        </w:tc>
        <w:tc>
          <w:tcPr>
            <w:tcW w:w="5130" w:type="dxa"/>
          </w:tcPr>
          <w:p w14:paraId="292AEECB" w14:textId="77777777" w:rsidR="008A468A" w:rsidRPr="009B412E" w:rsidRDefault="003A02C2"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Academic/Instructional C</w:t>
            </w:r>
            <w:r w:rsidR="008A468A" w:rsidRPr="009B412E">
              <w:rPr>
                <w:sz w:val="20"/>
                <w:szCs w:val="20"/>
              </w:rPr>
              <w:t xml:space="preserve">oaches </w:t>
            </w:r>
            <w:r w:rsidR="009D7A8A" w:rsidRPr="009B412E">
              <w:rPr>
                <w:sz w:val="20"/>
                <w:szCs w:val="20"/>
              </w:rPr>
              <w:t>for any subject</w:t>
            </w:r>
          </w:p>
          <w:p w14:paraId="6F17AB2C" w14:textId="77777777" w:rsidR="008A468A" w:rsidRPr="009B412E" w:rsidRDefault="00DF4F96"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Teacher salary</w:t>
            </w:r>
            <w:r w:rsidR="008A468A" w:rsidRPr="009B412E">
              <w:rPr>
                <w:sz w:val="20"/>
                <w:szCs w:val="20"/>
              </w:rPr>
              <w:t xml:space="preserve"> </w:t>
            </w:r>
            <w:r w:rsidRPr="009B412E">
              <w:rPr>
                <w:sz w:val="20"/>
                <w:szCs w:val="20"/>
              </w:rPr>
              <w:t xml:space="preserve">to reduce </w:t>
            </w:r>
            <w:r w:rsidR="008A468A" w:rsidRPr="009B412E">
              <w:rPr>
                <w:sz w:val="20"/>
                <w:szCs w:val="20"/>
              </w:rPr>
              <w:t>class-size</w:t>
            </w:r>
            <w:r w:rsidRPr="009B412E">
              <w:rPr>
                <w:sz w:val="20"/>
                <w:szCs w:val="20"/>
              </w:rPr>
              <w:t>s</w:t>
            </w:r>
            <w:r w:rsidR="00EC25E8" w:rsidRPr="009B412E">
              <w:rPr>
                <w:sz w:val="20"/>
                <w:szCs w:val="20"/>
              </w:rPr>
              <w:t xml:space="preserve">: needs to be </w:t>
            </w:r>
            <w:r w:rsidRPr="009B412E">
              <w:rPr>
                <w:sz w:val="20"/>
                <w:szCs w:val="20"/>
              </w:rPr>
              <w:t xml:space="preserve">justified </w:t>
            </w:r>
            <w:hyperlink r:id="rId13" w:history="1">
              <w:r w:rsidRPr="00D73ADB">
                <w:rPr>
                  <w:rStyle w:val="Hyperlink"/>
                  <w:rFonts w:cstheme="minorBidi"/>
                  <w:sz w:val="20"/>
                  <w:szCs w:val="20"/>
                </w:rPr>
                <w:t>based on evidence</w:t>
              </w:r>
            </w:hyperlink>
            <w:r w:rsidR="008A468A" w:rsidRPr="009B412E">
              <w:rPr>
                <w:sz w:val="20"/>
                <w:szCs w:val="20"/>
              </w:rPr>
              <w:t xml:space="preserve"> </w:t>
            </w:r>
          </w:p>
          <w:p w14:paraId="7A0EB77C" w14:textId="77777777" w:rsidR="003461A7" w:rsidRPr="009B412E" w:rsidRDefault="003461A7"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Incentivize and reward excellent educators serving in the district’s highest-need schools*</w:t>
            </w:r>
          </w:p>
          <w:p w14:paraId="21A1FDAB" w14:textId="77777777" w:rsidR="003461A7" w:rsidRPr="009B412E" w:rsidRDefault="00205019"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Differential and incentive pay for educators in high-need academic subject areas and specialty areas*</w:t>
            </w:r>
          </w:p>
        </w:tc>
        <w:tc>
          <w:tcPr>
            <w:tcW w:w="3780" w:type="dxa"/>
          </w:tcPr>
          <w:p w14:paraId="5E8D5911" w14:textId="77777777" w:rsidR="008A468A" w:rsidRPr="009B412E" w:rsidRDefault="008A468A" w:rsidP="002F5E9B">
            <w:pPr>
              <w:ind w:left="342" w:hanging="270"/>
              <w:cnfStyle w:val="000000010000" w:firstRow="0" w:lastRow="0" w:firstColumn="0" w:lastColumn="0" w:oddVBand="0" w:evenVBand="0" w:oddHBand="0" w:evenHBand="1" w:firstRowFirstColumn="0" w:firstRowLastColumn="0" w:lastRowFirstColumn="0" w:lastRowLastColumn="0"/>
              <w:rPr>
                <w:sz w:val="20"/>
                <w:szCs w:val="20"/>
              </w:rPr>
            </w:pPr>
          </w:p>
        </w:tc>
      </w:tr>
      <w:tr w:rsidR="008A468A" w:rsidRPr="008A468A" w14:paraId="0DAD24FE"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C224475"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Support Staff Salaries</w:t>
            </w:r>
          </w:p>
        </w:tc>
        <w:tc>
          <w:tcPr>
            <w:tcW w:w="5130" w:type="dxa"/>
          </w:tcPr>
          <w:p w14:paraId="09A8FFB8" w14:textId="07C0F9C6" w:rsidR="008A468A" w:rsidRPr="009B412E" w:rsidRDefault="008A468A" w:rsidP="002F5E9B">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 xml:space="preserve">Secretary/Bookkeeper for Title II, Part A grant work – only </w:t>
            </w:r>
            <w:r w:rsidR="0097092F">
              <w:rPr>
                <w:sz w:val="20"/>
                <w:szCs w:val="20"/>
              </w:rPr>
              <w:t xml:space="preserve">the </w:t>
            </w:r>
            <w:r w:rsidRPr="009B412E">
              <w:rPr>
                <w:sz w:val="20"/>
                <w:szCs w:val="20"/>
              </w:rPr>
              <w:t xml:space="preserve">portion of salary </w:t>
            </w:r>
            <w:r w:rsidR="000F7479">
              <w:rPr>
                <w:sz w:val="20"/>
                <w:szCs w:val="20"/>
              </w:rPr>
              <w:t>dedicated to</w:t>
            </w:r>
            <w:r w:rsidRPr="009B412E">
              <w:rPr>
                <w:sz w:val="20"/>
                <w:szCs w:val="20"/>
              </w:rPr>
              <w:t xml:space="preserve"> Title II, Part A</w:t>
            </w:r>
            <w:r w:rsidR="000F7479">
              <w:rPr>
                <w:sz w:val="20"/>
                <w:szCs w:val="20"/>
              </w:rPr>
              <w:t xml:space="preserve"> support</w:t>
            </w:r>
          </w:p>
        </w:tc>
        <w:tc>
          <w:tcPr>
            <w:tcW w:w="3780" w:type="dxa"/>
          </w:tcPr>
          <w:p w14:paraId="3366E6B3" w14:textId="77777777" w:rsidR="008A468A" w:rsidRPr="009B412E" w:rsidRDefault="008A468A" w:rsidP="002F5E9B">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 xml:space="preserve">Entire salary unless the </w:t>
            </w:r>
            <w:r w:rsidR="00DF4F96" w:rsidRPr="009B412E">
              <w:rPr>
                <w:sz w:val="20"/>
                <w:szCs w:val="20"/>
              </w:rPr>
              <w:t>individual’s</w:t>
            </w:r>
            <w:r w:rsidRPr="009B412E">
              <w:rPr>
                <w:sz w:val="20"/>
                <w:szCs w:val="20"/>
              </w:rPr>
              <w:t xml:space="preserve"> entire responsibility is Title II, Part A</w:t>
            </w:r>
          </w:p>
        </w:tc>
      </w:tr>
      <w:tr w:rsidR="008A468A" w:rsidRPr="008A468A" w14:paraId="56CFA419" w14:textId="77777777" w:rsidTr="00596C87">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998" w:type="dxa"/>
          </w:tcPr>
          <w:p w14:paraId="4670CE15"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Stipends</w:t>
            </w:r>
          </w:p>
        </w:tc>
        <w:tc>
          <w:tcPr>
            <w:tcW w:w="5130" w:type="dxa"/>
          </w:tcPr>
          <w:p w14:paraId="709EE31A" w14:textId="14712F2C" w:rsidR="008A468A" w:rsidRPr="009B412E" w:rsidRDefault="003A02C2"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Stipends for m</w:t>
            </w:r>
            <w:r w:rsidR="008A468A" w:rsidRPr="009B412E">
              <w:rPr>
                <w:sz w:val="20"/>
                <w:szCs w:val="20"/>
              </w:rPr>
              <w:t>entors</w:t>
            </w:r>
            <w:r w:rsidR="00B350F6">
              <w:rPr>
                <w:sz w:val="20"/>
                <w:szCs w:val="20"/>
              </w:rPr>
              <w:t xml:space="preserve"> or individuals serving as supervising practitioners to student teachers</w:t>
            </w:r>
          </w:p>
          <w:p w14:paraId="47A63170" w14:textId="762682C2" w:rsidR="00743799" w:rsidRDefault="00743799"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Stipends </w:t>
            </w:r>
            <w:r w:rsidRPr="00743799">
              <w:rPr>
                <w:sz w:val="20"/>
                <w:szCs w:val="20"/>
              </w:rPr>
              <w:t>to provide professional development, training, resources to teach/train on how to design, develop, align, map, or revise curriculum or assessments</w:t>
            </w:r>
          </w:p>
          <w:p w14:paraId="08BB0832" w14:textId="19BECC09" w:rsidR="00DF4F96" w:rsidRPr="009B412E" w:rsidRDefault="00DF4F96"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 xml:space="preserve">Stipends for teacher-led High Quality Professional Development (HQPD) to close achievement gaps </w:t>
            </w:r>
          </w:p>
          <w:p w14:paraId="0A362BDA" w14:textId="77777777" w:rsidR="00205019" w:rsidRPr="009B412E" w:rsidRDefault="00205019"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Leading trainings to improve content knowledge, teaching strategies, and addressing issues related to school conditions for student learning</w:t>
            </w:r>
          </w:p>
          <w:p w14:paraId="5B3CFAD3" w14:textId="77777777" w:rsidR="003461A7" w:rsidRPr="009B412E" w:rsidRDefault="003461A7"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Developm</w:t>
            </w:r>
            <w:r w:rsidR="003A02C2">
              <w:rPr>
                <w:sz w:val="20"/>
                <w:szCs w:val="20"/>
              </w:rPr>
              <w:t>ent and support for district-</w:t>
            </w:r>
            <w:r w:rsidRPr="009B412E">
              <w:rPr>
                <w:sz w:val="20"/>
                <w:szCs w:val="20"/>
              </w:rPr>
              <w:t>based preparation programs for teachers</w:t>
            </w:r>
            <w:r w:rsidR="00C91EAE" w:rsidRPr="009B412E">
              <w:rPr>
                <w:sz w:val="20"/>
                <w:szCs w:val="20"/>
              </w:rPr>
              <w:t>, paraprofessionals</w:t>
            </w:r>
            <w:r w:rsidRPr="009B412E">
              <w:rPr>
                <w:sz w:val="20"/>
                <w:szCs w:val="20"/>
              </w:rPr>
              <w:t xml:space="preserve"> and school leaders</w:t>
            </w:r>
          </w:p>
        </w:tc>
        <w:tc>
          <w:tcPr>
            <w:tcW w:w="3780" w:type="dxa"/>
          </w:tcPr>
          <w:p w14:paraId="4D6F4612" w14:textId="77777777" w:rsidR="008A468A" w:rsidRPr="009B412E" w:rsidRDefault="008A468A"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Stipends for tutors</w:t>
            </w:r>
          </w:p>
          <w:p w14:paraId="40DFFD13" w14:textId="6E3A20DB" w:rsidR="00B16149" w:rsidRDefault="00B16149"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Salaries for paraprofessionals</w:t>
            </w:r>
          </w:p>
          <w:p w14:paraId="470B5F07" w14:textId="3873024F" w:rsidR="00743799" w:rsidRPr="009B412E" w:rsidRDefault="00743799" w:rsidP="002F5E9B">
            <w:pPr>
              <w:pStyle w:val="ListParagraph"/>
              <w:numPr>
                <w:ilvl w:val="0"/>
                <w:numId w:val="16"/>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Stipends to develop, align, map, or revise curriculum, or assessments</w:t>
            </w:r>
          </w:p>
          <w:p w14:paraId="6BFCA841" w14:textId="77777777" w:rsidR="008A468A" w:rsidRPr="009B412E" w:rsidRDefault="008A468A" w:rsidP="002F5E9B">
            <w:pPr>
              <w:ind w:left="342" w:hanging="270"/>
              <w:cnfStyle w:val="000000010000" w:firstRow="0" w:lastRow="0" w:firstColumn="0" w:lastColumn="0" w:oddVBand="0" w:evenVBand="0" w:oddHBand="0" w:evenHBand="1" w:firstRowFirstColumn="0" w:firstRowLastColumn="0" w:lastRowFirstColumn="0" w:lastRowLastColumn="0"/>
              <w:rPr>
                <w:sz w:val="20"/>
                <w:szCs w:val="20"/>
              </w:rPr>
            </w:pPr>
          </w:p>
        </w:tc>
      </w:tr>
      <w:tr w:rsidR="008A468A" w:rsidRPr="008A468A" w14:paraId="18E8CEF7"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6D72EDE"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Fringe Benefits</w:t>
            </w:r>
          </w:p>
        </w:tc>
        <w:tc>
          <w:tcPr>
            <w:tcW w:w="5130" w:type="dxa"/>
          </w:tcPr>
          <w:p w14:paraId="382DE80B" w14:textId="77777777" w:rsidR="008A468A" w:rsidRPr="009B412E" w:rsidRDefault="008A468A" w:rsidP="002F5E9B">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MTRS</w:t>
            </w:r>
          </w:p>
          <w:p w14:paraId="542BCF54" w14:textId="77777777" w:rsidR="008A468A" w:rsidRPr="009B412E" w:rsidRDefault="003A02C2" w:rsidP="002F5E9B">
            <w:pPr>
              <w:pStyle w:val="ListParagraph"/>
              <w:numPr>
                <w:ilvl w:val="0"/>
                <w:numId w:val="17"/>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Other f</w:t>
            </w:r>
            <w:r w:rsidR="008A468A" w:rsidRPr="009B412E">
              <w:rPr>
                <w:sz w:val="20"/>
                <w:szCs w:val="20"/>
              </w:rPr>
              <w:t>ringe benefits such as health insurance</w:t>
            </w:r>
          </w:p>
        </w:tc>
        <w:tc>
          <w:tcPr>
            <w:tcW w:w="3780" w:type="dxa"/>
          </w:tcPr>
          <w:p w14:paraId="2FBDA17C" w14:textId="77777777" w:rsidR="008A468A" w:rsidRPr="009B412E" w:rsidRDefault="008A468A" w:rsidP="002F5E9B">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r>
      <w:tr w:rsidR="008A468A" w:rsidRPr="008A468A" w14:paraId="5B2E10DC" w14:textId="77777777" w:rsidTr="00743799">
        <w:trPr>
          <w:cnfStyle w:val="000000010000" w:firstRow="0" w:lastRow="0" w:firstColumn="0" w:lastColumn="0" w:oddVBand="0" w:evenVBand="0" w:oddHBand="0" w:evenHBand="1" w:firstRowFirstColumn="0" w:firstRowLastColumn="0" w:lastRowFirstColumn="0" w:lastRowLastColumn="0"/>
          <w:trHeight w:val="2860"/>
        </w:trPr>
        <w:tc>
          <w:tcPr>
            <w:cnfStyle w:val="001000000000" w:firstRow="0" w:lastRow="0" w:firstColumn="1" w:lastColumn="0" w:oddVBand="0" w:evenVBand="0" w:oddHBand="0" w:evenHBand="0" w:firstRowFirstColumn="0" w:firstRowLastColumn="0" w:lastRowFirstColumn="0" w:lastRowLastColumn="0"/>
            <w:tcW w:w="1998" w:type="dxa"/>
          </w:tcPr>
          <w:p w14:paraId="3F9F87BA" w14:textId="31A88908" w:rsidR="00D50D0E" w:rsidRPr="006B390A" w:rsidRDefault="008A468A" w:rsidP="006B390A">
            <w:pPr>
              <w:pStyle w:val="ListParagraph"/>
              <w:numPr>
                <w:ilvl w:val="0"/>
                <w:numId w:val="15"/>
              </w:numPr>
              <w:tabs>
                <w:tab w:val="left" w:pos="540"/>
                <w:tab w:val="left" w:pos="630"/>
              </w:tabs>
              <w:ind w:left="360"/>
              <w:rPr>
                <w:b w:val="0"/>
                <w:bCs w:val="0"/>
                <w:sz w:val="24"/>
                <w:szCs w:val="20"/>
              </w:rPr>
            </w:pPr>
            <w:r w:rsidRPr="00596C87">
              <w:rPr>
                <w:sz w:val="24"/>
                <w:szCs w:val="20"/>
              </w:rPr>
              <w:t>Contractual Services</w:t>
            </w:r>
          </w:p>
          <w:p w14:paraId="79ED6EEE" w14:textId="77777777" w:rsidR="008A468A" w:rsidRPr="00D50D0E" w:rsidRDefault="008A468A" w:rsidP="006B390A"/>
        </w:tc>
        <w:tc>
          <w:tcPr>
            <w:tcW w:w="5130" w:type="dxa"/>
          </w:tcPr>
          <w:p w14:paraId="020DAF50" w14:textId="77777777" w:rsidR="008A468A" w:rsidRPr="009B412E" w:rsidRDefault="00B13EB9"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Consultants for</w:t>
            </w:r>
            <w:r w:rsidR="00C91EAE" w:rsidRPr="009B412E">
              <w:rPr>
                <w:sz w:val="20"/>
                <w:szCs w:val="20"/>
              </w:rPr>
              <w:t xml:space="preserve"> </w:t>
            </w:r>
            <w:r w:rsidR="00DF4F96" w:rsidRPr="009B412E">
              <w:rPr>
                <w:sz w:val="20"/>
                <w:szCs w:val="20"/>
              </w:rPr>
              <w:t xml:space="preserve">HQPD </w:t>
            </w:r>
            <w:r w:rsidR="008A468A" w:rsidRPr="009B412E">
              <w:rPr>
                <w:sz w:val="20"/>
                <w:szCs w:val="20"/>
              </w:rPr>
              <w:t>to improve content knowledge and/or classroom practice</w:t>
            </w:r>
            <w:r w:rsidRPr="009B412E">
              <w:rPr>
                <w:sz w:val="20"/>
                <w:szCs w:val="20"/>
              </w:rPr>
              <w:t xml:space="preserve"> for any subject</w:t>
            </w:r>
          </w:p>
          <w:p w14:paraId="620B40C4" w14:textId="77777777" w:rsidR="008A468A" w:rsidRPr="009B412E" w:rsidRDefault="008A468A"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Consultants to provide training to enable educators to involve parents in their children’s education</w:t>
            </w:r>
          </w:p>
          <w:p w14:paraId="64C07B97" w14:textId="77777777" w:rsidR="008A468A" w:rsidRPr="009B412E" w:rsidRDefault="008A468A"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Consultants to improve classroom management</w:t>
            </w:r>
          </w:p>
          <w:p w14:paraId="47523F46" w14:textId="77777777" w:rsidR="008A468A" w:rsidRPr="009B412E" w:rsidRDefault="008A468A"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Substitutes for te</w:t>
            </w:r>
            <w:r w:rsidR="00B13EB9" w:rsidRPr="009B412E">
              <w:rPr>
                <w:sz w:val="20"/>
                <w:szCs w:val="20"/>
              </w:rPr>
              <w:t>achers attending TIIA funded</w:t>
            </w:r>
            <w:r w:rsidR="00C91EAE" w:rsidRPr="009B412E">
              <w:rPr>
                <w:sz w:val="20"/>
                <w:szCs w:val="20"/>
              </w:rPr>
              <w:t xml:space="preserve"> HQ</w:t>
            </w:r>
            <w:r w:rsidRPr="009B412E">
              <w:rPr>
                <w:sz w:val="20"/>
                <w:szCs w:val="20"/>
              </w:rPr>
              <w:t xml:space="preserve">PD or for </w:t>
            </w:r>
            <w:r w:rsidR="00DF4F96" w:rsidRPr="009B412E">
              <w:rPr>
                <w:sz w:val="20"/>
                <w:szCs w:val="20"/>
              </w:rPr>
              <w:t>class size reduction (CSR)</w:t>
            </w:r>
          </w:p>
          <w:p w14:paraId="39523E17" w14:textId="77777777" w:rsidR="00F82D1B" w:rsidRPr="009B412E" w:rsidRDefault="003A02C2"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Pr>
                <w:sz w:val="20"/>
                <w:szCs w:val="20"/>
              </w:rPr>
              <w:t>HQPD on social and emotional learning, school climate, inclusive practice, behavioral h</w:t>
            </w:r>
            <w:r w:rsidR="00B570C5" w:rsidRPr="009B412E">
              <w:rPr>
                <w:sz w:val="20"/>
                <w:szCs w:val="20"/>
              </w:rPr>
              <w:t>ealth, and other issues related to school conditions for student learning</w:t>
            </w:r>
            <w:r w:rsidR="00B570C5" w:rsidRPr="009B412E" w:rsidDel="00DF4F96">
              <w:rPr>
                <w:sz w:val="20"/>
                <w:szCs w:val="20"/>
              </w:rPr>
              <w:t xml:space="preserve"> </w:t>
            </w:r>
          </w:p>
          <w:p w14:paraId="56EB5679" w14:textId="45F2ABFF" w:rsidR="00596C87" w:rsidRPr="00743799" w:rsidRDefault="008D7359" w:rsidP="00743799">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9B412E">
              <w:rPr>
                <w:sz w:val="20"/>
                <w:szCs w:val="20"/>
              </w:rPr>
              <w:t>Consultants for private school equitable participation</w:t>
            </w:r>
          </w:p>
        </w:tc>
        <w:tc>
          <w:tcPr>
            <w:tcW w:w="3780" w:type="dxa"/>
          </w:tcPr>
          <w:p w14:paraId="1D61414B" w14:textId="77777777" w:rsidR="008A468A" w:rsidRDefault="008A468A"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Substitutes for teachers not attending TIIA funded PD or not CSR teacher</w:t>
            </w:r>
          </w:p>
          <w:p w14:paraId="37128BD9" w14:textId="5580A074" w:rsidR="005B19DA" w:rsidRDefault="005B19DA"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Contractual services not approved by </w:t>
            </w:r>
            <w:r w:rsidR="00743799">
              <w:rPr>
                <w:sz w:val="20"/>
                <w:szCs w:val="20"/>
              </w:rPr>
              <w:t>D</w:t>
            </w:r>
            <w:r>
              <w:rPr>
                <w:sz w:val="20"/>
                <w:szCs w:val="20"/>
              </w:rPr>
              <w:t>ESE in budget</w:t>
            </w:r>
          </w:p>
          <w:p w14:paraId="6B2231B8" w14:textId="392EDCDB" w:rsidR="005973CE" w:rsidRPr="00A3676A" w:rsidRDefault="005973CE" w:rsidP="002F5E9B">
            <w:pPr>
              <w:pStyle w:val="ListParagraph"/>
              <w:numPr>
                <w:ilvl w:val="0"/>
                <w:numId w:val="18"/>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A3676A">
              <w:rPr>
                <w:sz w:val="20"/>
                <w:szCs w:val="20"/>
              </w:rPr>
              <w:t>Training in the use of a dangerous weapon</w:t>
            </w:r>
          </w:p>
          <w:p w14:paraId="5D8BE71C" w14:textId="77777777" w:rsidR="008A468A" w:rsidRPr="009B412E" w:rsidRDefault="008A468A" w:rsidP="002F5E9B">
            <w:pPr>
              <w:ind w:left="342" w:hanging="270"/>
              <w:cnfStyle w:val="000000010000" w:firstRow="0" w:lastRow="0" w:firstColumn="0" w:lastColumn="0" w:oddVBand="0" w:evenVBand="0" w:oddHBand="0" w:evenHBand="1" w:firstRowFirstColumn="0" w:firstRowLastColumn="0" w:lastRowFirstColumn="0" w:lastRowLastColumn="0"/>
              <w:rPr>
                <w:sz w:val="20"/>
                <w:szCs w:val="20"/>
              </w:rPr>
            </w:pPr>
          </w:p>
        </w:tc>
      </w:tr>
      <w:tr w:rsidR="008A468A" w:rsidRPr="008A468A" w14:paraId="209A5590" w14:textId="77777777" w:rsidTr="007D7A9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98" w:type="dxa"/>
          </w:tcPr>
          <w:p w14:paraId="1149B326"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lastRenderedPageBreak/>
              <w:t>Supplies and Materials</w:t>
            </w:r>
          </w:p>
        </w:tc>
        <w:tc>
          <w:tcPr>
            <w:tcW w:w="5130" w:type="dxa"/>
          </w:tcPr>
          <w:p w14:paraId="536A6982" w14:textId="77777777" w:rsidR="008A468A" w:rsidRPr="009B412E" w:rsidRDefault="008A468A" w:rsidP="009B412E">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 xml:space="preserve">Supplies to be used </w:t>
            </w:r>
            <w:r w:rsidR="00EF5AA2" w:rsidRPr="009B412E">
              <w:rPr>
                <w:b/>
                <w:i/>
                <w:sz w:val="20"/>
                <w:szCs w:val="20"/>
              </w:rPr>
              <w:t>strictly</w:t>
            </w:r>
            <w:r w:rsidRPr="009B412E">
              <w:rPr>
                <w:sz w:val="20"/>
                <w:szCs w:val="20"/>
              </w:rPr>
              <w:t xml:space="preserve"> for </w:t>
            </w:r>
            <w:r w:rsidR="00C91EAE" w:rsidRPr="009B412E">
              <w:rPr>
                <w:sz w:val="20"/>
                <w:szCs w:val="20"/>
              </w:rPr>
              <w:t>HQ</w:t>
            </w:r>
            <w:r w:rsidRPr="009B412E">
              <w:rPr>
                <w:sz w:val="20"/>
                <w:szCs w:val="20"/>
              </w:rPr>
              <w:t>PD such as books, software, instructional technology</w:t>
            </w:r>
          </w:p>
          <w:p w14:paraId="345E7C9D" w14:textId="77777777" w:rsidR="008A468A" w:rsidRPr="009B412E" w:rsidRDefault="00C91EAE" w:rsidP="009B412E">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HQ</w:t>
            </w:r>
            <w:r w:rsidR="008A468A" w:rsidRPr="009B412E">
              <w:rPr>
                <w:sz w:val="20"/>
                <w:szCs w:val="20"/>
              </w:rPr>
              <w:t>PD Meeting supplies such as chart paper, pens, binders, easels</w:t>
            </w:r>
          </w:p>
        </w:tc>
        <w:tc>
          <w:tcPr>
            <w:tcW w:w="3780" w:type="dxa"/>
          </w:tcPr>
          <w:p w14:paraId="27DF6B74" w14:textId="77777777" w:rsidR="008A468A" w:rsidRPr="009B412E" w:rsidRDefault="008A468A" w:rsidP="009B412E">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Supplies to be used in the classroom or by students</w:t>
            </w:r>
          </w:p>
          <w:p w14:paraId="412A0181" w14:textId="77777777" w:rsidR="008A468A" w:rsidRPr="009B412E" w:rsidRDefault="008A468A" w:rsidP="009B412E">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Anything not directly connected to educators’</w:t>
            </w:r>
            <w:r w:rsidR="00C91EAE" w:rsidRPr="009B412E">
              <w:rPr>
                <w:sz w:val="20"/>
                <w:szCs w:val="20"/>
              </w:rPr>
              <w:t xml:space="preserve"> HQ</w:t>
            </w:r>
            <w:r w:rsidRPr="009B412E">
              <w:rPr>
                <w:sz w:val="20"/>
                <w:szCs w:val="20"/>
              </w:rPr>
              <w:t>PD</w:t>
            </w:r>
          </w:p>
          <w:p w14:paraId="03888CD5" w14:textId="77777777" w:rsidR="008A468A" w:rsidRPr="009B412E" w:rsidRDefault="008A468A" w:rsidP="009B412E">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Books, software, instructional technology for private schools</w:t>
            </w:r>
          </w:p>
          <w:p w14:paraId="288F6820" w14:textId="77777777" w:rsidR="008A468A" w:rsidRPr="009B412E" w:rsidRDefault="008A468A" w:rsidP="009B412E">
            <w:pPr>
              <w:pStyle w:val="ListParagraph"/>
              <w:numPr>
                <w:ilvl w:val="0"/>
                <w:numId w:val="19"/>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Evaluation system-related data systems to manage linking student-teacher data</w:t>
            </w:r>
          </w:p>
        </w:tc>
      </w:tr>
      <w:tr w:rsidR="008A468A" w:rsidRPr="008A468A" w14:paraId="53BAF657" w14:textId="77777777" w:rsidTr="00596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BD14928"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Travel</w:t>
            </w:r>
            <w:r w:rsidR="00FA34A8" w:rsidRPr="00596C87">
              <w:rPr>
                <w:sz w:val="24"/>
                <w:szCs w:val="20"/>
              </w:rPr>
              <w:t xml:space="preserve"> (</w:t>
            </w:r>
            <w:r w:rsidR="00C91EAE" w:rsidRPr="00596C87">
              <w:rPr>
                <w:sz w:val="24"/>
                <w:szCs w:val="20"/>
              </w:rPr>
              <w:t xml:space="preserve">Conference &amp; Course </w:t>
            </w:r>
            <w:r w:rsidR="00596C87">
              <w:rPr>
                <w:sz w:val="24"/>
                <w:szCs w:val="20"/>
              </w:rPr>
              <w:t>Registration</w:t>
            </w:r>
            <w:r w:rsidR="00FA34A8" w:rsidRPr="00596C87">
              <w:rPr>
                <w:sz w:val="24"/>
                <w:szCs w:val="20"/>
              </w:rPr>
              <w:t>)</w:t>
            </w:r>
          </w:p>
        </w:tc>
        <w:tc>
          <w:tcPr>
            <w:tcW w:w="5130" w:type="dxa"/>
          </w:tcPr>
          <w:p w14:paraId="06F06731" w14:textId="77777777" w:rsidR="008A468A" w:rsidRPr="009B412E" w:rsidRDefault="008A468A"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Conference registration for HQPD</w:t>
            </w:r>
          </w:p>
          <w:p w14:paraId="4FB3663E" w14:textId="77777777" w:rsidR="008A468A" w:rsidRPr="009B412E" w:rsidRDefault="008A468A"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 xml:space="preserve">Course reimbursement for </w:t>
            </w:r>
            <w:r w:rsidR="00DF4F96" w:rsidRPr="009B412E">
              <w:rPr>
                <w:sz w:val="20"/>
                <w:szCs w:val="20"/>
              </w:rPr>
              <w:t>HQPD</w:t>
            </w:r>
          </w:p>
          <w:p w14:paraId="30662F24" w14:textId="77777777" w:rsidR="008A468A" w:rsidRPr="009B412E" w:rsidRDefault="008A468A"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 xml:space="preserve">Private school allocation for </w:t>
            </w:r>
            <w:r w:rsidR="00DF4F96" w:rsidRPr="009B412E">
              <w:rPr>
                <w:sz w:val="20"/>
                <w:szCs w:val="20"/>
              </w:rPr>
              <w:t>HQPD</w:t>
            </w:r>
          </w:p>
          <w:p w14:paraId="5B2B5104" w14:textId="77777777" w:rsidR="008A468A" w:rsidRPr="009B412E" w:rsidRDefault="008A468A"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Expenses for transportation, per diem, and lodging if the costs are reasonable and necessary</w:t>
            </w:r>
          </w:p>
          <w:p w14:paraId="27CFF799" w14:textId="77777777" w:rsidR="00C91EAE" w:rsidRPr="009B412E" w:rsidRDefault="003A02C2"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Support for National Board C</w:t>
            </w:r>
            <w:r w:rsidR="008A468A" w:rsidRPr="009B412E">
              <w:rPr>
                <w:sz w:val="20"/>
                <w:szCs w:val="20"/>
              </w:rPr>
              <w:t>ertification</w:t>
            </w:r>
          </w:p>
          <w:p w14:paraId="705A66B2" w14:textId="77777777" w:rsidR="00C91EAE" w:rsidRPr="009B412E" w:rsidRDefault="00C91EAE" w:rsidP="00D73ADB">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 xml:space="preserve">Career advancement opportunities for current staff members, such as paraprofessionals </w:t>
            </w:r>
          </w:p>
        </w:tc>
        <w:tc>
          <w:tcPr>
            <w:tcW w:w="3780" w:type="dxa"/>
          </w:tcPr>
          <w:p w14:paraId="5722AAC1" w14:textId="77777777" w:rsidR="008A468A" w:rsidRPr="009B412E" w:rsidRDefault="008A468A"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Meals unless included in registration fee for conference</w:t>
            </w:r>
          </w:p>
          <w:p w14:paraId="67FDA420" w14:textId="77777777" w:rsidR="008A468A" w:rsidRDefault="008A468A"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 xml:space="preserve">Meals for school/district </w:t>
            </w:r>
            <w:r w:rsidR="00DF4F96" w:rsidRPr="009B412E">
              <w:rPr>
                <w:sz w:val="20"/>
                <w:szCs w:val="20"/>
              </w:rPr>
              <w:t>HQPD</w:t>
            </w:r>
            <w:r w:rsidRPr="009B412E">
              <w:rPr>
                <w:sz w:val="20"/>
                <w:szCs w:val="20"/>
              </w:rPr>
              <w:t xml:space="preserve"> meetings</w:t>
            </w:r>
          </w:p>
          <w:p w14:paraId="088E3CB1" w14:textId="429852EA" w:rsidR="00F829BC" w:rsidRPr="009B412E" w:rsidRDefault="00F829BC" w:rsidP="009B412E">
            <w:pPr>
              <w:pStyle w:val="ListParagraph"/>
              <w:numPr>
                <w:ilvl w:val="0"/>
                <w:numId w:val="20"/>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Out-of-state travel not approved by </w:t>
            </w:r>
            <w:r w:rsidR="00743799">
              <w:rPr>
                <w:sz w:val="20"/>
                <w:szCs w:val="20"/>
              </w:rPr>
              <w:t>D</w:t>
            </w:r>
            <w:r>
              <w:rPr>
                <w:sz w:val="20"/>
                <w:szCs w:val="20"/>
              </w:rPr>
              <w:t>ESE</w:t>
            </w:r>
          </w:p>
        </w:tc>
      </w:tr>
      <w:tr w:rsidR="008A468A" w:rsidRPr="008A468A" w14:paraId="4AF2E9A5"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6894F9B"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Other Costs</w:t>
            </w:r>
          </w:p>
        </w:tc>
        <w:tc>
          <w:tcPr>
            <w:tcW w:w="5130" w:type="dxa"/>
          </w:tcPr>
          <w:p w14:paraId="1CBFCBA5" w14:textId="77777777" w:rsidR="008A468A" w:rsidRPr="009B412E" w:rsidRDefault="008A468A" w:rsidP="009B412E">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M</w:t>
            </w:r>
            <w:r w:rsidR="003A02C2">
              <w:rPr>
                <w:sz w:val="20"/>
                <w:szCs w:val="20"/>
              </w:rPr>
              <w:t>emberships/s</w:t>
            </w:r>
            <w:r w:rsidR="00B13EB9" w:rsidRPr="009B412E">
              <w:rPr>
                <w:sz w:val="20"/>
                <w:szCs w:val="20"/>
              </w:rPr>
              <w:t>ubscriptions for</w:t>
            </w:r>
            <w:r w:rsidR="00C91EAE" w:rsidRPr="009B412E">
              <w:rPr>
                <w:sz w:val="20"/>
                <w:szCs w:val="20"/>
              </w:rPr>
              <w:t xml:space="preserve"> </w:t>
            </w:r>
            <w:r w:rsidR="00DF4F96" w:rsidRPr="009B412E">
              <w:rPr>
                <w:sz w:val="20"/>
                <w:szCs w:val="20"/>
              </w:rPr>
              <w:t>HQPD</w:t>
            </w:r>
          </w:p>
          <w:p w14:paraId="04F446B9" w14:textId="0B34B005" w:rsidR="008A468A" w:rsidRPr="009B412E" w:rsidRDefault="009C66D1" w:rsidP="009B412E">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Costs to i</w:t>
            </w:r>
            <w:r w:rsidR="00B13EB9" w:rsidRPr="009B412E">
              <w:rPr>
                <w:sz w:val="20"/>
                <w:szCs w:val="20"/>
              </w:rPr>
              <w:t xml:space="preserve">mprove </w:t>
            </w:r>
            <w:r w:rsidR="003461A7" w:rsidRPr="009B412E">
              <w:rPr>
                <w:sz w:val="20"/>
                <w:szCs w:val="20"/>
              </w:rPr>
              <w:t>the recruitment, placement, support, and retention of culturally competent and responsive educators, especially educators from underrepresented minority groups, to meet the needs of diverse student populations</w:t>
            </w:r>
          </w:p>
          <w:p w14:paraId="2A49C927" w14:textId="77777777" w:rsidR="008A468A" w:rsidRPr="009B412E" w:rsidRDefault="008A468A" w:rsidP="009B412E">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Prin</w:t>
            </w:r>
            <w:r w:rsidR="003A02C2">
              <w:rPr>
                <w:sz w:val="20"/>
                <w:szCs w:val="20"/>
              </w:rPr>
              <w:t>ting/c</w:t>
            </w:r>
            <w:r w:rsidRPr="009B412E">
              <w:rPr>
                <w:sz w:val="20"/>
                <w:szCs w:val="20"/>
              </w:rPr>
              <w:t xml:space="preserve">opying for </w:t>
            </w:r>
            <w:r w:rsidR="00DF4F96" w:rsidRPr="009B412E">
              <w:rPr>
                <w:sz w:val="20"/>
                <w:szCs w:val="20"/>
              </w:rPr>
              <w:t>HQPD</w:t>
            </w:r>
          </w:p>
          <w:p w14:paraId="6BB69B82" w14:textId="77777777" w:rsidR="008A468A" w:rsidRPr="009B412E" w:rsidRDefault="008A468A" w:rsidP="009B412E">
            <w:pPr>
              <w:pStyle w:val="ListParagraph"/>
              <w:numPr>
                <w:ilvl w:val="0"/>
                <w:numId w:val="21"/>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 xml:space="preserve">Space rental for </w:t>
            </w:r>
            <w:r w:rsidR="00DF4F96" w:rsidRPr="009B412E">
              <w:rPr>
                <w:sz w:val="20"/>
                <w:szCs w:val="20"/>
              </w:rPr>
              <w:t>HQPD</w:t>
            </w:r>
          </w:p>
        </w:tc>
        <w:tc>
          <w:tcPr>
            <w:tcW w:w="3780" w:type="dxa"/>
          </w:tcPr>
          <w:p w14:paraId="5778A8DC" w14:textId="77777777" w:rsidR="008A468A" w:rsidRPr="009B412E" w:rsidRDefault="008A468A" w:rsidP="009B412E">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r>
      <w:tr w:rsidR="008A468A" w:rsidRPr="008A468A" w14:paraId="6547E61F" w14:textId="77777777" w:rsidTr="00596C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3FA4418" w14:textId="77777777" w:rsidR="008A468A" w:rsidRPr="00596C87" w:rsidRDefault="00596C87" w:rsidP="009B412E">
            <w:pPr>
              <w:pStyle w:val="ListParagraph"/>
              <w:numPr>
                <w:ilvl w:val="0"/>
                <w:numId w:val="15"/>
              </w:numPr>
              <w:tabs>
                <w:tab w:val="left" w:pos="540"/>
                <w:tab w:val="left" w:pos="630"/>
              </w:tabs>
              <w:ind w:left="360"/>
              <w:rPr>
                <w:sz w:val="24"/>
                <w:szCs w:val="20"/>
              </w:rPr>
            </w:pPr>
            <w:r>
              <w:rPr>
                <w:sz w:val="24"/>
                <w:szCs w:val="20"/>
              </w:rPr>
              <w:t xml:space="preserve">Indirect </w:t>
            </w:r>
            <w:r w:rsidR="008A468A" w:rsidRPr="00596C87">
              <w:rPr>
                <w:sz w:val="24"/>
                <w:szCs w:val="20"/>
              </w:rPr>
              <w:t>Costs</w:t>
            </w:r>
          </w:p>
        </w:tc>
        <w:tc>
          <w:tcPr>
            <w:tcW w:w="5130" w:type="dxa"/>
          </w:tcPr>
          <w:p w14:paraId="13132ECE" w14:textId="77777777" w:rsidR="008A468A" w:rsidRPr="009B412E" w:rsidRDefault="003A02C2" w:rsidP="003A02C2">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District </w:t>
            </w:r>
            <w:hyperlink r:id="rId14" w:history="1">
              <w:r w:rsidRPr="003A02C2">
                <w:rPr>
                  <w:rStyle w:val="Hyperlink"/>
                  <w:rFonts w:cstheme="minorBidi"/>
                  <w:sz w:val="20"/>
                  <w:szCs w:val="20"/>
                </w:rPr>
                <w:t xml:space="preserve">indirect cost rates </w:t>
              </w:r>
            </w:hyperlink>
            <w:r w:rsidR="008A468A" w:rsidRPr="009B412E">
              <w:rPr>
                <w:sz w:val="20"/>
                <w:szCs w:val="20"/>
              </w:rPr>
              <w:t xml:space="preserve"> </w:t>
            </w:r>
          </w:p>
        </w:tc>
        <w:tc>
          <w:tcPr>
            <w:tcW w:w="3780" w:type="dxa"/>
          </w:tcPr>
          <w:p w14:paraId="61F73F65" w14:textId="77777777" w:rsidR="008A468A" w:rsidRPr="009B412E" w:rsidRDefault="008A468A" w:rsidP="009B412E">
            <w:pPr>
              <w:pStyle w:val="ListParagraph"/>
              <w:numPr>
                <w:ilvl w:val="0"/>
                <w:numId w:val="23"/>
              </w:numPr>
              <w:ind w:left="342" w:hanging="270"/>
              <w:cnfStyle w:val="000000010000" w:firstRow="0" w:lastRow="0" w:firstColumn="0" w:lastColumn="0" w:oddVBand="0" w:evenVBand="0" w:oddHBand="0" w:evenHBand="1" w:firstRowFirstColumn="0" w:firstRowLastColumn="0" w:lastRowFirstColumn="0" w:lastRowLastColumn="0"/>
              <w:rPr>
                <w:sz w:val="20"/>
                <w:szCs w:val="20"/>
              </w:rPr>
            </w:pPr>
            <w:r w:rsidRPr="009B412E">
              <w:rPr>
                <w:sz w:val="20"/>
                <w:szCs w:val="20"/>
              </w:rPr>
              <w:t>Indirect rate greater than the percentage assigned to district</w:t>
            </w:r>
          </w:p>
        </w:tc>
      </w:tr>
      <w:tr w:rsidR="008A468A" w:rsidRPr="008A468A" w14:paraId="42A4C5AE" w14:textId="77777777" w:rsidTr="00596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2542AB3" w14:textId="77777777" w:rsidR="008A468A" w:rsidRPr="00596C87" w:rsidRDefault="008A468A" w:rsidP="009B412E">
            <w:pPr>
              <w:pStyle w:val="ListParagraph"/>
              <w:numPr>
                <w:ilvl w:val="0"/>
                <w:numId w:val="15"/>
              </w:numPr>
              <w:tabs>
                <w:tab w:val="left" w:pos="540"/>
                <w:tab w:val="left" w:pos="630"/>
              </w:tabs>
              <w:ind w:left="360"/>
              <w:rPr>
                <w:sz w:val="24"/>
                <w:szCs w:val="20"/>
              </w:rPr>
            </w:pPr>
            <w:r w:rsidRPr="00596C87">
              <w:rPr>
                <w:sz w:val="24"/>
                <w:szCs w:val="20"/>
              </w:rPr>
              <w:t>Equipment</w:t>
            </w:r>
          </w:p>
        </w:tc>
        <w:tc>
          <w:tcPr>
            <w:tcW w:w="5130" w:type="dxa"/>
          </w:tcPr>
          <w:p w14:paraId="41F6DD09" w14:textId="77777777" w:rsidR="008A468A" w:rsidRDefault="008A468A" w:rsidP="009B412E">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p w14:paraId="368A6B1A" w14:textId="77777777" w:rsidR="00596C87" w:rsidRPr="009B412E" w:rsidRDefault="00596C87" w:rsidP="009B412E">
            <w:pPr>
              <w:ind w:left="342" w:hanging="270"/>
              <w:cnfStyle w:val="000000100000" w:firstRow="0" w:lastRow="0" w:firstColumn="0" w:lastColumn="0" w:oddVBand="0" w:evenVBand="0" w:oddHBand="1" w:evenHBand="0" w:firstRowFirstColumn="0" w:firstRowLastColumn="0" w:lastRowFirstColumn="0" w:lastRowLastColumn="0"/>
              <w:rPr>
                <w:sz w:val="20"/>
                <w:szCs w:val="20"/>
              </w:rPr>
            </w:pPr>
          </w:p>
        </w:tc>
        <w:tc>
          <w:tcPr>
            <w:tcW w:w="3780" w:type="dxa"/>
          </w:tcPr>
          <w:p w14:paraId="773B8D33" w14:textId="77777777" w:rsidR="008A468A" w:rsidRPr="009B412E" w:rsidRDefault="008A468A" w:rsidP="009B412E">
            <w:pPr>
              <w:pStyle w:val="ListParagraph"/>
              <w:numPr>
                <w:ilvl w:val="0"/>
                <w:numId w:val="22"/>
              </w:numPr>
              <w:ind w:left="342" w:hanging="270"/>
              <w:cnfStyle w:val="000000100000" w:firstRow="0" w:lastRow="0" w:firstColumn="0" w:lastColumn="0" w:oddVBand="0" w:evenVBand="0" w:oddHBand="1" w:evenHBand="0" w:firstRowFirstColumn="0" w:firstRowLastColumn="0" w:lastRowFirstColumn="0" w:lastRowLastColumn="0"/>
              <w:rPr>
                <w:sz w:val="20"/>
                <w:szCs w:val="20"/>
              </w:rPr>
            </w:pPr>
            <w:r w:rsidRPr="009B412E">
              <w:rPr>
                <w:sz w:val="20"/>
                <w:szCs w:val="20"/>
              </w:rPr>
              <w:t>Equipment</w:t>
            </w:r>
          </w:p>
        </w:tc>
      </w:tr>
    </w:tbl>
    <w:p w14:paraId="3FAA73F3" w14:textId="77777777" w:rsidR="00CF2E63" w:rsidRDefault="000A6682" w:rsidP="00CF2E63">
      <w:pPr>
        <w:rPr>
          <w:b/>
          <w:i/>
          <w:sz w:val="20"/>
          <w:szCs w:val="20"/>
        </w:rPr>
      </w:pPr>
      <w:r>
        <w:rPr>
          <w:sz w:val="4"/>
          <w:szCs w:val="4"/>
        </w:rPr>
        <w:br/>
      </w:r>
      <w:r w:rsidRPr="00B505C5">
        <w:rPr>
          <w:b/>
          <w:i/>
          <w:sz w:val="20"/>
          <w:szCs w:val="20"/>
        </w:rPr>
        <w:t xml:space="preserve">*Must be linked to measurable increases in student academic achievement produced by the efforts of that teacher or </w:t>
      </w:r>
      <w:r w:rsidR="003461A7" w:rsidRPr="00B505C5">
        <w:rPr>
          <w:b/>
          <w:i/>
          <w:sz w:val="20"/>
          <w:szCs w:val="20"/>
        </w:rPr>
        <w:t>school leader</w:t>
      </w:r>
      <w:r w:rsidR="009B412E" w:rsidRPr="00B505C5">
        <w:rPr>
          <w:b/>
          <w:i/>
          <w:sz w:val="20"/>
          <w:szCs w:val="20"/>
        </w:rPr>
        <w:t>.</w:t>
      </w:r>
    </w:p>
    <w:p w14:paraId="140333BE" w14:textId="523112C8" w:rsidR="00294BC2" w:rsidRPr="00CF2E63" w:rsidRDefault="0008634B" w:rsidP="00CF2E63">
      <w:pPr>
        <w:rPr>
          <w:b/>
          <w:i/>
          <w:sz w:val="20"/>
          <w:szCs w:val="20"/>
        </w:rPr>
      </w:pPr>
      <w:r>
        <w:rPr>
          <w:noProof/>
          <w:sz w:val="36"/>
          <w:szCs w:val="36"/>
        </w:rPr>
        <mc:AlternateContent>
          <mc:Choice Requires="wps">
            <w:drawing>
              <wp:anchor distT="0" distB="0" distL="114300" distR="114300" simplePos="0" relativeHeight="251662336" behindDoc="0" locked="0" layoutInCell="1" allowOverlap="1" wp14:anchorId="2517BB84" wp14:editId="1D51793D">
                <wp:simplePos x="0" y="0"/>
                <wp:positionH relativeFrom="column">
                  <wp:posOffset>4406900</wp:posOffset>
                </wp:positionH>
                <wp:positionV relativeFrom="paragraph">
                  <wp:posOffset>233045</wp:posOffset>
                </wp:positionV>
                <wp:extent cx="2438400" cy="3435350"/>
                <wp:effectExtent l="38100" t="38100" r="114300" b="107950"/>
                <wp:wrapNone/>
                <wp:docPr id="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353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70ABBD3B"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Amendments</w:t>
                            </w:r>
                          </w:p>
                          <w:p w14:paraId="180DD40F" w14:textId="77777777" w:rsidR="00970CC1" w:rsidRPr="0049249F" w:rsidRDefault="00970CC1" w:rsidP="00970CC1">
                            <w:pPr>
                              <w:pStyle w:val="ListParagraph"/>
                              <w:numPr>
                                <w:ilvl w:val="0"/>
                                <w:numId w:val="29"/>
                              </w:numPr>
                              <w:spacing w:after="0" w:line="240" w:lineRule="auto"/>
                              <w:ind w:left="270" w:right="35" w:hanging="270"/>
                              <w:rPr>
                                <w:rFonts w:cstheme="minorHAnsi"/>
                                <w:b/>
                                <w:bCs/>
                                <w:sz w:val="20"/>
                                <w:szCs w:val="20"/>
                              </w:rPr>
                            </w:pPr>
                            <w:r w:rsidRPr="0049249F">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p>
                          <w:p w14:paraId="658CF8B9" w14:textId="37FDDF66" w:rsidR="00970CC1" w:rsidRPr="0049249F" w:rsidRDefault="00970CC1" w:rsidP="00970CC1">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 xml:space="preserve">For grants administered via EdGrants, </w:t>
                            </w:r>
                            <w:r w:rsidRPr="0049249F">
                              <w:rPr>
                                <w:rFonts w:cstheme="minorHAnsi"/>
                                <w:sz w:val="20"/>
                                <w:szCs w:val="20"/>
                              </w:rPr>
                              <w:t xml:space="preserve">request and submit an amendment between the 1st and the 15th of the month as to not collide with the payment request windows. </w:t>
                            </w:r>
                            <w:r w:rsidRPr="0049249F">
                              <w:rPr>
                                <w:rFonts w:cstheme="minorHAnsi"/>
                                <w:b/>
                                <w:bCs/>
                                <w:sz w:val="20"/>
                                <w:szCs w:val="20"/>
                              </w:rPr>
                              <w:t xml:space="preserve">Please only request an amendment when you are ready to submit the amendment in EdGrants. </w:t>
                            </w:r>
                          </w:p>
                          <w:p w14:paraId="6C988BF5" w14:textId="05E2AE0D" w:rsidR="00DF4F96" w:rsidRPr="00970CC1" w:rsidRDefault="00970CC1" w:rsidP="00970CC1">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Amendments for grants administered through the new Grants for Education Management System (GEM$)</w:t>
                            </w:r>
                            <w:r w:rsidRPr="00036171">
                              <w:rPr>
                                <w:rFonts w:cstheme="minorHAnsi"/>
                                <w:sz w:val="20"/>
                                <w:szCs w:val="20"/>
                              </w:rPr>
                              <w:t>,</w:t>
                            </w:r>
                            <w:r w:rsidRPr="0049249F">
                              <w:rPr>
                                <w:rFonts w:cstheme="minorHAnsi"/>
                                <w:b/>
                                <w:bCs/>
                                <w:sz w:val="20"/>
                                <w:szCs w:val="20"/>
                              </w:rPr>
                              <w:t xml:space="preserve"> </w:t>
                            </w:r>
                            <w:r w:rsidRPr="0049249F">
                              <w:rPr>
                                <w:rFonts w:cstheme="minorHAnsi"/>
                                <w:sz w:val="20"/>
                                <w:szCs w:val="20"/>
                              </w:rPr>
                              <w:t>i.e., FY2</w:t>
                            </w:r>
                            <w:r>
                              <w:rPr>
                                <w:rFonts w:cstheme="minorHAnsi"/>
                                <w:sz w:val="20"/>
                                <w:szCs w:val="20"/>
                              </w:rPr>
                              <w:t>4</w:t>
                            </w:r>
                            <w:r w:rsidRPr="0049249F">
                              <w:rPr>
                                <w:rFonts w:cstheme="minorHAnsi"/>
                                <w:sz w:val="20"/>
                                <w:szCs w:val="20"/>
                              </w:rPr>
                              <w:t xml:space="preserve"> FC </w:t>
                            </w:r>
                            <w:r>
                              <w:rPr>
                                <w:rFonts w:cstheme="minorHAnsi"/>
                                <w:sz w:val="20"/>
                                <w:szCs w:val="20"/>
                              </w:rPr>
                              <w:t>140</w:t>
                            </w:r>
                            <w:r w:rsidRPr="0049249F">
                              <w:rPr>
                                <w:rFonts w:cstheme="minorHAnsi"/>
                                <w:sz w:val="20"/>
                                <w:szCs w:val="20"/>
                              </w:rPr>
                              <w:t>, should be processed in GEM$.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7BB84" id="_x0000_t202" coordsize="21600,21600" o:spt="202" path="m,l,21600r21600,l21600,xe">
                <v:stroke joinstyle="miter"/>
                <v:path gradientshapeok="t" o:connecttype="rect"/>
              </v:shapetype>
              <v:shape id="Text Box 17" o:spid="_x0000_s1026" type="#_x0000_t202" style="position:absolute;margin-left:347pt;margin-top:18.35pt;width:192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" strokecolor="#365f91 [2404]" strokeweight=".25pt">
                <v:shadow on="t" color="black" opacity="26214f" origin="-.5,-.5" offset=".74836mm,.74836mm"/>
                <v:textbox>
                  <w:txbxContent>
                    <w:p w14:paraId="70ABBD3B"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Amendments</w:t>
                      </w:r>
                    </w:p>
                    <w:p w14:paraId="180DD40F" w14:textId="77777777" w:rsidR="00970CC1" w:rsidRPr="0049249F" w:rsidRDefault="00970CC1" w:rsidP="00970CC1">
                      <w:pPr>
                        <w:pStyle w:val="ListParagraph"/>
                        <w:numPr>
                          <w:ilvl w:val="0"/>
                          <w:numId w:val="29"/>
                        </w:numPr>
                        <w:spacing w:after="0" w:line="240" w:lineRule="auto"/>
                        <w:ind w:left="270" w:right="35" w:hanging="270"/>
                        <w:rPr>
                          <w:rFonts w:cstheme="minorHAnsi"/>
                          <w:b/>
                          <w:bCs/>
                          <w:sz w:val="20"/>
                          <w:szCs w:val="20"/>
                        </w:rPr>
                      </w:pPr>
                      <w:r w:rsidRPr="0049249F">
                        <w:rPr>
                          <w:rFonts w:cstheme="minorHAnsi"/>
                          <w:sz w:val="20"/>
                          <w:szCs w:val="20"/>
                        </w:rPr>
                        <w:t>Required when there is any significant change in program objectives; any increase or decrease in the total amount of the grant; an increase in a line of the budget that exceeds $100 or 10% of the line (whichever is greater), or exceeds $10,000.</w:t>
                      </w:r>
                    </w:p>
                    <w:p w14:paraId="658CF8B9" w14:textId="37FDDF66" w:rsidR="00970CC1" w:rsidRPr="0049249F" w:rsidRDefault="00970CC1" w:rsidP="00970CC1">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 xml:space="preserve">For grants administered via EdGrants, </w:t>
                      </w:r>
                      <w:r w:rsidRPr="0049249F">
                        <w:rPr>
                          <w:rFonts w:cstheme="minorHAnsi"/>
                          <w:sz w:val="20"/>
                          <w:szCs w:val="20"/>
                        </w:rPr>
                        <w:t xml:space="preserve">request and submit an amendment between the 1st and the 15th of the month as to not collide with the payment request windows. </w:t>
                      </w:r>
                      <w:r w:rsidRPr="0049249F">
                        <w:rPr>
                          <w:rFonts w:cstheme="minorHAnsi"/>
                          <w:b/>
                          <w:bCs/>
                          <w:sz w:val="20"/>
                          <w:szCs w:val="20"/>
                        </w:rPr>
                        <w:t xml:space="preserve">Please only request an amendment when you are ready to submit the amendment in EdGrants. </w:t>
                      </w:r>
                    </w:p>
                    <w:p w14:paraId="6C988BF5" w14:textId="05E2AE0D" w:rsidR="00DF4F96" w:rsidRPr="00970CC1" w:rsidRDefault="00970CC1" w:rsidP="00970CC1">
                      <w:pPr>
                        <w:pStyle w:val="ListParagraph"/>
                        <w:numPr>
                          <w:ilvl w:val="0"/>
                          <w:numId w:val="29"/>
                        </w:numPr>
                        <w:spacing w:after="0" w:line="240" w:lineRule="auto"/>
                        <w:ind w:left="270" w:right="35" w:hanging="270"/>
                        <w:rPr>
                          <w:rFonts w:cstheme="minorHAnsi"/>
                          <w:b/>
                          <w:bCs/>
                          <w:sz w:val="20"/>
                          <w:szCs w:val="20"/>
                        </w:rPr>
                      </w:pPr>
                      <w:r w:rsidRPr="0049249F">
                        <w:rPr>
                          <w:rFonts w:cstheme="minorHAnsi"/>
                          <w:b/>
                          <w:bCs/>
                          <w:sz w:val="20"/>
                          <w:szCs w:val="20"/>
                        </w:rPr>
                        <w:t>Amendments for grants administered through the new Grants for Education Management System (GEM$)</w:t>
                      </w:r>
                      <w:r w:rsidRPr="00036171">
                        <w:rPr>
                          <w:rFonts w:cstheme="minorHAnsi"/>
                          <w:sz w:val="20"/>
                          <w:szCs w:val="20"/>
                        </w:rPr>
                        <w:t>,</w:t>
                      </w:r>
                      <w:r w:rsidRPr="0049249F">
                        <w:rPr>
                          <w:rFonts w:cstheme="minorHAnsi"/>
                          <w:b/>
                          <w:bCs/>
                          <w:sz w:val="20"/>
                          <w:szCs w:val="20"/>
                        </w:rPr>
                        <w:t xml:space="preserve"> </w:t>
                      </w:r>
                      <w:r w:rsidRPr="0049249F">
                        <w:rPr>
                          <w:rFonts w:cstheme="minorHAnsi"/>
                          <w:sz w:val="20"/>
                          <w:szCs w:val="20"/>
                        </w:rPr>
                        <w:t>i.e., FY2</w:t>
                      </w:r>
                      <w:r>
                        <w:rPr>
                          <w:rFonts w:cstheme="minorHAnsi"/>
                          <w:sz w:val="20"/>
                          <w:szCs w:val="20"/>
                        </w:rPr>
                        <w:t>4</w:t>
                      </w:r>
                      <w:r w:rsidRPr="0049249F">
                        <w:rPr>
                          <w:rFonts w:cstheme="minorHAnsi"/>
                          <w:sz w:val="20"/>
                          <w:szCs w:val="20"/>
                        </w:rPr>
                        <w:t xml:space="preserve"> FC </w:t>
                      </w:r>
                      <w:r>
                        <w:rPr>
                          <w:rFonts w:cstheme="minorHAnsi"/>
                          <w:sz w:val="20"/>
                          <w:szCs w:val="20"/>
                        </w:rPr>
                        <w:t>140</w:t>
                      </w:r>
                      <w:r w:rsidRPr="0049249F">
                        <w:rPr>
                          <w:rFonts w:cstheme="minorHAnsi"/>
                          <w:sz w:val="20"/>
                          <w:szCs w:val="20"/>
                        </w:rPr>
                        <w:t>, should be processed in GEM$.</w:t>
                      </w:r>
                    </w:p>
                  </w:txbxContent>
                </v:textbox>
              </v:shape>
            </w:pict>
          </mc:Fallback>
        </mc:AlternateContent>
      </w:r>
      <w:r>
        <w:rPr>
          <w:noProof/>
          <w:sz w:val="36"/>
          <w:szCs w:val="36"/>
        </w:rPr>
        <mc:AlternateContent>
          <mc:Choice Requires="wps">
            <w:drawing>
              <wp:anchor distT="0" distB="0" distL="114300" distR="114300" simplePos="0" relativeHeight="251668480" behindDoc="0" locked="0" layoutInCell="1" allowOverlap="1" wp14:anchorId="0846B973" wp14:editId="01433607">
                <wp:simplePos x="0" y="0"/>
                <wp:positionH relativeFrom="margin">
                  <wp:posOffset>-9525</wp:posOffset>
                </wp:positionH>
                <wp:positionV relativeFrom="paragraph">
                  <wp:posOffset>450850</wp:posOffset>
                </wp:positionV>
                <wp:extent cx="4238625" cy="1276350"/>
                <wp:effectExtent l="38100" t="38100" r="123825" b="114300"/>
                <wp:wrapNone/>
                <wp:docPr id="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2763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4BD19DDC" w14:textId="77777777" w:rsidR="00D73ADB" w:rsidRPr="00596C87" w:rsidRDefault="003A02C2" w:rsidP="0008634B">
                            <w:pPr>
                              <w:spacing w:after="0" w:line="240" w:lineRule="auto"/>
                              <w:rPr>
                                <w:b/>
                                <w:color w:val="1F497D" w:themeColor="text2"/>
                                <w:sz w:val="24"/>
                                <w:szCs w:val="28"/>
                              </w:rPr>
                            </w:pPr>
                            <w:r>
                              <w:rPr>
                                <w:b/>
                                <w:color w:val="1F497D" w:themeColor="text2"/>
                                <w:sz w:val="24"/>
                                <w:szCs w:val="28"/>
                              </w:rPr>
                              <w:t>Supplement not Supplant in Title IIA</w:t>
                            </w:r>
                          </w:p>
                          <w:p w14:paraId="43A1ED91" w14:textId="77777777" w:rsidR="0042798F" w:rsidRDefault="0042798F" w:rsidP="0008634B">
                            <w:pPr>
                              <w:pStyle w:val="ListParagraph"/>
                              <w:numPr>
                                <w:ilvl w:val="0"/>
                                <w:numId w:val="27"/>
                              </w:numPr>
                              <w:spacing w:line="240" w:lineRule="auto"/>
                              <w:ind w:left="270" w:right="260" w:hanging="270"/>
                              <w:rPr>
                                <w:sz w:val="20"/>
                              </w:rPr>
                            </w:pPr>
                            <w:r w:rsidRPr="0042798F">
                              <w:rPr>
                                <w:sz w:val="20"/>
                              </w:rPr>
                              <w:t xml:space="preserve">Title IIA funds must be used to supplement, not supplant, any non-federal funds that would otherwise be used to pay for the activity. To “supplement” would be to enhance, expand, increase, or extend the programs and services offered with state and local funds. </w:t>
                            </w:r>
                          </w:p>
                          <w:p w14:paraId="3623BC0D" w14:textId="77777777" w:rsidR="00294BC2" w:rsidRPr="0042798F" w:rsidRDefault="003A02C2" w:rsidP="0008634B">
                            <w:pPr>
                              <w:pStyle w:val="ListParagraph"/>
                              <w:numPr>
                                <w:ilvl w:val="0"/>
                                <w:numId w:val="27"/>
                              </w:numPr>
                              <w:spacing w:line="240" w:lineRule="auto"/>
                              <w:ind w:left="270" w:right="260" w:hanging="270"/>
                              <w:rPr>
                                <w:sz w:val="20"/>
                              </w:rPr>
                            </w:pPr>
                            <w:r>
                              <w:rPr>
                                <w:sz w:val="20"/>
                              </w:rPr>
                              <w:t>A</w:t>
                            </w:r>
                            <w:r w:rsidR="0042798F" w:rsidRPr="0042798F">
                              <w:rPr>
                                <w:sz w:val="20"/>
                              </w:rPr>
                              <w:t>ll Title IIA expenses, in addition to being allowable, have to be necessary and reasonable.</w:t>
                            </w:r>
                            <w:r w:rsidR="0042798F">
                              <w:t xml:space="preserve"> </w:t>
                            </w:r>
                            <w:r w:rsidR="0042798F" w:rsidRPr="0042798F">
                              <w:rPr>
                                <w:sz w:val="20"/>
                              </w:rPr>
                              <w:t>§ 200.403(a)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6B973" id="Text Box 16" o:spid="_x0000_s1027" type="#_x0000_t202" style="position:absolute;margin-left:-.75pt;margin-top:35.5pt;width:333.75pt;height:10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" strokecolor="#365f91 [2404]" strokeweight=".25pt">
                <v:shadow on="t" color="black" opacity="26214f" origin="-.5,-.5" offset=".74836mm,.74836mm"/>
                <v:textbox>
                  <w:txbxContent>
                    <w:p w14:paraId="4BD19DDC" w14:textId="77777777" w:rsidR="00D73ADB" w:rsidRPr="00596C87" w:rsidRDefault="003A02C2" w:rsidP="0008634B">
                      <w:pPr>
                        <w:spacing w:after="0" w:line="240" w:lineRule="auto"/>
                        <w:rPr>
                          <w:b/>
                          <w:color w:val="1F497D" w:themeColor="text2"/>
                          <w:sz w:val="24"/>
                          <w:szCs w:val="28"/>
                        </w:rPr>
                      </w:pPr>
                      <w:r>
                        <w:rPr>
                          <w:b/>
                          <w:color w:val="1F497D" w:themeColor="text2"/>
                          <w:sz w:val="24"/>
                          <w:szCs w:val="28"/>
                        </w:rPr>
                        <w:t>Supplement not Supplant in Title IIA</w:t>
                      </w:r>
                    </w:p>
                    <w:p w14:paraId="43A1ED91" w14:textId="77777777" w:rsidR="0042798F" w:rsidRDefault="0042798F" w:rsidP="0008634B">
                      <w:pPr>
                        <w:pStyle w:val="ListParagraph"/>
                        <w:numPr>
                          <w:ilvl w:val="0"/>
                          <w:numId w:val="27"/>
                        </w:numPr>
                        <w:spacing w:line="240" w:lineRule="auto"/>
                        <w:ind w:left="270" w:right="260" w:hanging="270"/>
                        <w:rPr>
                          <w:sz w:val="20"/>
                        </w:rPr>
                      </w:pPr>
                      <w:r w:rsidRPr="0042798F">
                        <w:rPr>
                          <w:sz w:val="20"/>
                        </w:rPr>
                        <w:t xml:space="preserve">Title IIA funds must be used to supplement, not supplant, any non-federal funds that would otherwise be used to pay for the activity. To “supplement” would be to enhance, expand, increase, or extend the programs and services offered with state and local funds. </w:t>
                      </w:r>
                    </w:p>
                    <w:p w14:paraId="3623BC0D" w14:textId="77777777" w:rsidR="00294BC2" w:rsidRPr="0042798F" w:rsidRDefault="003A02C2" w:rsidP="0008634B">
                      <w:pPr>
                        <w:pStyle w:val="ListParagraph"/>
                        <w:numPr>
                          <w:ilvl w:val="0"/>
                          <w:numId w:val="27"/>
                        </w:numPr>
                        <w:spacing w:line="240" w:lineRule="auto"/>
                        <w:ind w:left="270" w:right="260" w:hanging="270"/>
                        <w:rPr>
                          <w:sz w:val="20"/>
                        </w:rPr>
                      </w:pPr>
                      <w:r>
                        <w:rPr>
                          <w:sz w:val="20"/>
                        </w:rPr>
                        <w:t>A</w:t>
                      </w:r>
                      <w:r w:rsidR="0042798F" w:rsidRPr="0042798F">
                        <w:rPr>
                          <w:sz w:val="20"/>
                        </w:rPr>
                        <w:t>ll Title IIA expenses, in addition to being allowable, have to be necessary and reasonable.</w:t>
                      </w:r>
                      <w:r w:rsidR="0042798F">
                        <w:t xml:space="preserve"> </w:t>
                      </w:r>
                      <w:r w:rsidR="0042798F" w:rsidRPr="0042798F">
                        <w:rPr>
                          <w:sz w:val="20"/>
                        </w:rPr>
                        <w:t>§ 200.403(a)</w:t>
                      </w:r>
                    </w:p>
                  </w:txbxContent>
                </v:textbox>
                <w10:wrap anchorx="margin"/>
              </v:shape>
            </w:pict>
          </mc:Fallback>
        </mc:AlternateContent>
      </w:r>
      <w:r w:rsidR="00D30875" w:rsidRPr="00596C87">
        <w:rPr>
          <w:b/>
          <w:color w:val="1F497D" w:themeColor="text2"/>
          <w:sz w:val="24"/>
        </w:rPr>
        <w:t>High Quality Professional Development</w:t>
      </w:r>
      <w:r w:rsidR="00D30875" w:rsidRPr="00596C87">
        <w:rPr>
          <w:color w:val="1F497D" w:themeColor="text2"/>
          <w:sz w:val="24"/>
        </w:rPr>
        <w:t xml:space="preserve"> </w:t>
      </w:r>
      <w:r w:rsidR="00D30875" w:rsidRPr="00596C87">
        <w:rPr>
          <w:sz w:val="20"/>
        </w:rPr>
        <w:t>activities are sustained (not stand-alone, 1-day, or short term workshops), intensive, collaborative, job-embedded, data-driven, and classroom-focused.</w:t>
      </w:r>
      <w:r w:rsidR="001B7438">
        <w:rPr>
          <w:sz w:val="8"/>
          <w:szCs w:val="8"/>
        </w:rPr>
        <w:t xml:space="preserve"> </w:t>
      </w:r>
    </w:p>
    <w:p w14:paraId="59E4BEBD" w14:textId="3F5696EA" w:rsidR="008A468A" w:rsidRPr="000D4A11" w:rsidRDefault="00B505C5" w:rsidP="000D4A11">
      <w:pPr>
        <w:spacing w:after="0" w:line="240" w:lineRule="auto"/>
        <w:rPr>
          <w:sz w:val="8"/>
          <w:szCs w:val="8"/>
        </w:rPr>
      </w:pPr>
      <w:r>
        <w:rPr>
          <w:noProof/>
          <w:sz w:val="36"/>
          <w:szCs w:val="36"/>
        </w:rPr>
        <mc:AlternateContent>
          <mc:Choice Requires="wps">
            <w:drawing>
              <wp:anchor distT="0" distB="0" distL="114300" distR="114300" simplePos="0" relativeHeight="251655168" behindDoc="0" locked="0" layoutInCell="1" allowOverlap="1" wp14:anchorId="76D35678" wp14:editId="0A7C63B8">
                <wp:simplePos x="0" y="0"/>
                <wp:positionH relativeFrom="column">
                  <wp:posOffset>-9525</wp:posOffset>
                </wp:positionH>
                <wp:positionV relativeFrom="paragraph">
                  <wp:posOffset>1315720</wp:posOffset>
                </wp:positionV>
                <wp:extent cx="4238625" cy="1514475"/>
                <wp:effectExtent l="38100" t="38100" r="123825" b="123825"/>
                <wp:wrapNone/>
                <wp:docPr id="2"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51447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74B260FF"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Private Schools</w:t>
                            </w:r>
                          </w:p>
                          <w:p w14:paraId="7A401D5B" w14:textId="4E0D3E02" w:rsidR="00DF4F96" w:rsidRPr="00596C87" w:rsidRDefault="00DF4F96" w:rsidP="0008634B">
                            <w:pPr>
                              <w:pStyle w:val="ListParagraph"/>
                              <w:numPr>
                                <w:ilvl w:val="0"/>
                                <w:numId w:val="27"/>
                              </w:numPr>
                              <w:spacing w:line="240" w:lineRule="auto"/>
                              <w:ind w:left="270" w:hanging="270"/>
                              <w:rPr>
                                <w:sz w:val="20"/>
                              </w:rPr>
                            </w:pPr>
                            <w:r w:rsidRPr="00596C87">
                              <w:rPr>
                                <w:sz w:val="20"/>
                              </w:rPr>
                              <w:t xml:space="preserve">Must have meaningful </w:t>
                            </w:r>
                            <w:r w:rsidR="00D73ADB">
                              <w:rPr>
                                <w:sz w:val="20"/>
                              </w:rPr>
                              <w:t xml:space="preserve">and timely </w:t>
                            </w:r>
                            <w:r w:rsidRPr="00596C87">
                              <w:rPr>
                                <w:sz w:val="20"/>
                              </w:rPr>
                              <w:t>consultation</w:t>
                            </w:r>
                            <w:r w:rsidR="007614D0">
                              <w:rPr>
                                <w:sz w:val="20"/>
                              </w:rPr>
                              <w:t xml:space="preserve"> in the spring</w:t>
                            </w:r>
                            <w:r w:rsidR="008A6BB6">
                              <w:rPr>
                                <w:sz w:val="20"/>
                              </w:rPr>
                              <w:t>.</w:t>
                            </w:r>
                          </w:p>
                          <w:p w14:paraId="08B31CAE" w14:textId="5B6508BE" w:rsidR="00B570C5" w:rsidRPr="00596C87" w:rsidRDefault="00DF4F96" w:rsidP="0008634B">
                            <w:pPr>
                              <w:pStyle w:val="ListParagraph"/>
                              <w:numPr>
                                <w:ilvl w:val="0"/>
                                <w:numId w:val="27"/>
                              </w:numPr>
                              <w:spacing w:line="240" w:lineRule="auto"/>
                              <w:ind w:left="270" w:hanging="270"/>
                              <w:rPr>
                                <w:sz w:val="20"/>
                              </w:rPr>
                            </w:pPr>
                            <w:r w:rsidRPr="00596C87">
                              <w:rPr>
                                <w:sz w:val="20"/>
                              </w:rPr>
                              <w:t xml:space="preserve">TIIA funds can only be used for </w:t>
                            </w:r>
                            <w:r w:rsidR="00B570C5" w:rsidRPr="00596C87">
                              <w:rPr>
                                <w:sz w:val="20"/>
                              </w:rPr>
                              <w:t>HQPD</w:t>
                            </w:r>
                            <w:r w:rsidR="008A6BB6">
                              <w:rPr>
                                <w:sz w:val="20"/>
                              </w:rPr>
                              <w:t>.</w:t>
                            </w:r>
                          </w:p>
                          <w:p w14:paraId="5A5FF2FC" w14:textId="447B35CE" w:rsidR="00DF4F96" w:rsidRPr="00596C87" w:rsidRDefault="00B570C5" w:rsidP="0008634B">
                            <w:pPr>
                              <w:pStyle w:val="ListParagraph"/>
                              <w:numPr>
                                <w:ilvl w:val="0"/>
                                <w:numId w:val="27"/>
                              </w:numPr>
                              <w:spacing w:line="240" w:lineRule="auto"/>
                              <w:ind w:left="270" w:hanging="270"/>
                              <w:rPr>
                                <w:sz w:val="20"/>
                              </w:rPr>
                            </w:pPr>
                            <w:r w:rsidRPr="00596C87">
                              <w:rPr>
                                <w:sz w:val="20"/>
                              </w:rPr>
                              <w:t>M</w:t>
                            </w:r>
                            <w:r w:rsidR="008A6BB6">
                              <w:rPr>
                                <w:sz w:val="20"/>
                              </w:rPr>
                              <w:t>ust m</w:t>
                            </w:r>
                            <w:r w:rsidRPr="00596C87">
                              <w:rPr>
                                <w:sz w:val="20"/>
                              </w:rPr>
                              <w:t>eet the specific needs of students enrolled in a private school, and not the school itself.</w:t>
                            </w:r>
                          </w:p>
                          <w:p w14:paraId="2DF99B18" w14:textId="10A66B0A" w:rsidR="00056E07" w:rsidRDefault="00DF4F96" w:rsidP="0008634B">
                            <w:pPr>
                              <w:pStyle w:val="ListParagraph"/>
                              <w:numPr>
                                <w:ilvl w:val="0"/>
                                <w:numId w:val="27"/>
                              </w:numPr>
                              <w:spacing w:line="240" w:lineRule="auto"/>
                              <w:ind w:left="270" w:hanging="270"/>
                              <w:rPr>
                                <w:sz w:val="20"/>
                              </w:rPr>
                            </w:pPr>
                            <w:r w:rsidRPr="00596C87">
                              <w:rPr>
                                <w:sz w:val="20"/>
                              </w:rPr>
                              <w:t>District maintains control of funds: district pays consultants/</w:t>
                            </w:r>
                            <w:r w:rsidR="00137083">
                              <w:rPr>
                                <w:sz w:val="20"/>
                              </w:rPr>
                              <w:t xml:space="preserve"> </w:t>
                            </w:r>
                            <w:r w:rsidRPr="00596C87">
                              <w:rPr>
                                <w:sz w:val="20"/>
                              </w:rPr>
                              <w:t>registrations or reimburses individual educato</w:t>
                            </w:r>
                            <w:r w:rsidR="003A02C2">
                              <w:rPr>
                                <w:sz w:val="20"/>
                              </w:rPr>
                              <w:t>rs for conference registration</w:t>
                            </w:r>
                            <w:r w:rsidR="008A6BB6">
                              <w:rPr>
                                <w:sz w:val="20"/>
                              </w:rPr>
                              <w:t>.</w:t>
                            </w:r>
                          </w:p>
                          <w:p w14:paraId="5BBFB09F" w14:textId="3EA30FEA" w:rsidR="004727F3" w:rsidRPr="0005034B" w:rsidRDefault="00056E07" w:rsidP="0008634B">
                            <w:pPr>
                              <w:pStyle w:val="ListParagraph"/>
                              <w:numPr>
                                <w:ilvl w:val="0"/>
                                <w:numId w:val="27"/>
                              </w:numPr>
                              <w:spacing w:line="240" w:lineRule="auto"/>
                              <w:ind w:left="270" w:hanging="270"/>
                              <w:rPr>
                                <w:sz w:val="20"/>
                              </w:rPr>
                            </w:pPr>
                            <w:r w:rsidRPr="0005034B">
                              <w:rPr>
                                <w:sz w:val="20"/>
                              </w:rPr>
                              <w:t>Districts d</w:t>
                            </w:r>
                            <w:r w:rsidR="00DF4F96" w:rsidRPr="0005034B">
                              <w:rPr>
                                <w:sz w:val="20"/>
                              </w:rPr>
                              <w:t>o n</w:t>
                            </w:r>
                            <w:r w:rsidR="003A02C2">
                              <w:rPr>
                                <w:sz w:val="20"/>
                              </w:rPr>
                              <w:t>ot pay private schools directly</w:t>
                            </w:r>
                            <w:r w:rsidR="008A6BB6">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5678" id="_x0000_s1028" type="#_x0000_t202" style="position:absolute;margin-left:-.75pt;margin-top:103.6pt;width:333.75pt;height:1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" strokecolor="#365f91 [2404]" strokeweight=".25pt">
                <v:shadow on="t" color="black" opacity="26214f" origin="-.5,-.5" offset=".74836mm,.74836mm"/>
                <v:textbox>
                  <w:txbxContent>
                    <w:p w14:paraId="74B260FF" w14:textId="77777777" w:rsidR="00DF4F96" w:rsidRPr="00596C87" w:rsidRDefault="00DF4F96" w:rsidP="00596C87">
                      <w:pPr>
                        <w:spacing w:after="0"/>
                        <w:rPr>
                          <w:b/>
                          <w:color w:val="1F497D" w:themeColor="text2"/>
                          <w:sz w:val="24"/>
                          <w:szCs w:val="28"/>
                        </w:rPr>
                      </w:pPr>
                      <w:r w:rsidRPr="00596C87">
                        <w:rPr>
                          <w:b/>
                          <w:color w:val="1F497D" w:themeColor="text2"/>
                          <w:sz w:val="24"/>
                          <w:szCs w:val="28"/>
                        </w:rPr>
                        <w:t>Private Schools</w:t>
                      </w:r>
                    </w:p>
                    <w:p w14:paraId="7A401D5B" w14:textId="4E0D3E02" w:rsidR="00DF4F96" w:rsidRPr="00596C87" w:rsidRDefault="00DF4F96" w:rsidP="0008634B">
                      <w:pPr>
                        <w:pStyle w:val="ListParagraph"/>
                        <w:numPr>
                          <w:ilvl w:val="0"/>
                          <w:numId w:val="27"/>
                        </w:numPr>
                        <w:spacing w:line="240" w:lineRule="auto"/>
                        <w:ind w:left="270" w:hanging="270"/>
                        <w:rPr>
                          <w:sz w:val="20"/>
                        </w:rPr>
                      </w:pPr>
                      <w:r w:rsidRPr="00596C87">
                        <w:rPr>
                          <w:sz w:val="20"/>
                        </w:rPr>
                        <w:t xml:space="preserve">Must have meaningful </w:t>
                      </w:r>
                      <w:r w:rsidR="00D73ADB">
                        <w:rPr>
                          <w:sz w:val="20"/>
                        </w:rPr>
                        <w:t xml:space="preserve">and timely </w:t>
                      </w:r>
                      <w:r w:rsidRPr="00596C87">
                        <w:rPr>
                          <w:sz w:val="20"/>
                        </w:rPr>
                        <w:t>consultation</w:t>
                      </w:r>
                      <w:r w:rsidR="007614D0">
                        <w:rPr>
                          <w:sz w:val="20"/>
                        </w:rPr>
                        <w:t xml:space="preserve"> in the spring</w:t>
                      </w:r>
                      <w:r w:rsidR="008A6BB6">
                        <w:rPr>
                          <w:sz w:val="20"/>
                        </w:rPr>
                        <w:t>.</w:t>
                      </w:r>
                    </w:p>
                    <w:p w14:paraId="08B31CAE" w14:textId="5B6508BE" w:rsidR="00B570C5" w:rsidRPr="00596C87" w:rsidRDefault="00DF4F96" w:rsidP="0008634B">
                      <w:pPr>
                        <w:pStyle w:val="ListParagraph"/>
                        <w:numPr>
                          <w:ilvl w:val="0"/>
                          <w:numId w:val="27"/>
                        </w:numPr>
                        <w:spacing w:line="240" w:lineRule="auto"/>
                        <w:ind w:left="270" w:hanging="270"/>
                        <w:rPr>
                          <w:sz w:val="20"/>
                        </w:rPr>
                      </w:pPr>
                      <w:r w:rsidRPr="00596C87">
                        <w:rPr>
                          <w:sz w:val="20"/>
                        </w:rPr>
                        <w:t xml:space="preserve">TIIA funds can only be used for </w:t>
                      </w:r>
                      <w:r w:rsidR="00B570C5" w:rsidRPr="00596C87">
                        <w:rPr>
                          <w:sz w:val="20"/>
                        </w:rPr>
                        <w:t>HQPD</w:t>
                      </w:r>
                      <w:r w:rsidR="008A6BB6">
                        <w:rPr>
                          <w:sz w:val="20"/>
                        </w:rPr>
                        <w:t>.</w:t>
                      </w:r>
                    </w:p>
                    <w:p w14:paraId="5A5FF2FC" w14:textId="447B35CE" w:rsidR="00DF4F96" w:rsidRPr="00596C87" w:rsidRDefault="00B570C5" w:rsidP="0008634B">
                      <w:pPr>
                        <w:pStyle w:val="ListParagraph"/>
                        <w:numPr>
                          <w:ilvl w:val="0"/>
                          <w:numId w:val="27"/>
                        </w:numPr>
                        <w:spacing w:line="240" w:lineRule="auto"/>
                        <w:ind w:left="270" w:hanging="270"/>
                        <w:rPr>
                          <w:sz w:val="20"/>
                        </w:rPr>
                      </w:pPr>
                      <w:r w:rsidRPr="00596C87">
                        <w:rPr>
                          <w:sz w:val="20"/>
                        </w:rPr>
                        <w:t>M</w:t>
                      </w:r>
                      <w:r w:rsidR="008A6BB6">
                        <w:rPr>
                          <w:sz w:val="20"/>
                        </w:rPr>
                        <w:t>ust m</w:t>
                      </w:r>
                      <w:r w:rsidRPr="00596C87">
                        <w:rPr>
                          <w:sz w:val="20"/>
                        </w:rPr>
                        <w:t>eet the specific needs of students enrolled in a private school, and not the school itself.</w:t>
                      </w:r>
                    </w:p>
                    <w:p w14:paraId="2DF99B18" w14:textId="10A66B0A" w:rsidR="00056E07" w:rsidRDefault="00DF4F96" w:rsidP="0008634B">
                      <w:pPr>
                        <w:pStyle w:val="ListParagraph"/>
                        <w:numPr>
                          <w:ilvl w:val="0"/>
                          <w:numId w:val="27"/>
                        </w:numPr>
                        <w:spacing w:line="240" w:lineRule="auto"/>
                        <w:ind w:left="270" w:hanging="270"/>
                        <w:rPr>
                          <w:sz w:val="20"/>
                        </w:rPr>
                      </w:pPr>
                      <w:r w:rsidRPr="00596C87">
                        <w:rPr>
                          <w:sz w:val="20"/>
                        </w:rPr>
                        <w:t>District maintains control of funds: district pays consultants/</w:t>
                      </w:r>
                      <w:r w:rsidR="00137083">
                        <w:rPr>
                          <w:sz w:val="20"/>
                        </w:rPr>
                        <w:t xml:space="preserve"> </w:t>
                      </w:r>
                      <w:r w:rsidRPr="00596C87">
                        <w:rPr>
                          <w:sz w:val="20"/>
                        </w:rPr>
                        <w:t>registrations or reimburses individual educato</w:t>
                      </w:r>
                      <w:r w:rsidR="003A02C2">
                        <w:rPr>
                          <w:sz w:val="20"/>
                        </w:rPr>
                        <w:t>rs for conference registration</w:t>
                      </w:r>
                      <w:r w:rsidR="008A6BB6">
                        <w:rPr>
                          <w:sz w:val="20"/>
                        </w:rPr>
                        <w:t>.</w:t>
                      </w:r>
                    </w:p>
                    <w:p w14:paraId="5BBFB09F" w14:textId="3EA30FEA" w:rsidR="004727F3" w:rsidRPr="0005034B" w:rsidRDefault="00056E07" w:rsidP="0008634B">
                      <w:pPr>
                        <w:pStyle w:val="ListParagraph"/>
                        <w:numPr>
                          <w:ilvl w:val="0"/>
                          <w:numId w:val="27"/>
                        </w:numPr>
                        <w:spacing w:line="240" w:lineRule="auto"/>
                        <w:ind w:left="270" w:hanging="270"/>
                        <w:rPr>
                          <w:sz w:val="20"/>
                        </w:rPr>
                      </w:pPr>
                      <w:r w:rsidRPr="0005034B">
                        <w:rPr>
                          <w:sz w:val="20"/>
                        </w:rPr>
                        <w:t>Districts d</w:t>
                      </w:r>
                      <w:r w:rsidR="00DF4F96" w:rsidRPr="0005034B">
                        <w:rPr>
                          <w:sz w:val="20"/>
                        </w:rPr>
                        <w:t>o n</w:t>
                      </w:r>
                      <w:r w:rsidR="003A02C2">
                        <w:rPr>
                          <w:sz w:val="20"/>
                        </w:rPr>
                        <w:t>ot pay private schools directly</w:t>
                      </w:r>
                      <w:r w:rsidR="008A6BB6">
                        <w:rPr>
                          <w:sz w:val="20"/>
                        </w:rPr>
                        <w:t>.</w:t>
                      </w:r>
                    </w:p>
                  </w:txbxContent>
                </v:textbox>
              </v:shape>
            </w:pict>
          </mc:Fallback>
        </mc:AlternateContent>
      </w:r>
    </w:p>
    <w:sectPr w:rsidR="008A468A" w:rsidRPr="000D4A11" w:rsidSect="00EC790E">
      <w:headerReference w:type="default" r:id="rId15"/>
      <w:footerReference w:type="default" r:id="rId16"/>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48DA0" w14:textId="77777777" w:rsidR="00A4112A" w:rsidRDefault="00A4112A" w:rsidP="002123C2">
      <w:pPr>
        <w:spacing w:after="0" w:line="240" w:lineRule="auto"/>
      </w:pPr>
      <w:r>
        <w:separator/>
      </w:r>
    </w:p>
  </w:endnote>
  <w:endnote w:type="continuationSeparator" w:id="0">
    <w:p w14:paraId="50DE1A87" w14:textId="77777777" w:rsidR="00A4112A" w:rsidRDefault="00A4112A"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D2E0" w14:textId="49A3F92D" w:rsidR="00DF4F96" w:rsidRDefault="00DE6134" w:rsidP="00DE6134">
    <w:pPr>
      <w:pStyle w:val="Footer"/>
      <w:rPr>
        <w:sz w:val="20"/>
        <w:szCs w:val="20"/>
      </w:rPr>
    </w:pPr>
    <w:r w:rsidRPr="00DE6134">
      <w:rPr>
        <w:sz w:val="20"/>
        <w:szCs w:val="20"/>
      </w:rPr>
      <w:t xml:space="preserve">Updated </w:t>
    </w:r>
    <w:r w:rsidR="00970CC1">
      <w:rPr>
        <w:sz w:val="20"/>
        <w:szCs w:val="20"/>
      </w:rPr>
      <w:t>April 2023</w:t>
    </w:r>
  </w:p>
  <w:p w14:paraId="59F4F609" w14:textId="52D7B7D5" w:rsidR="00EC790E" w:rsidRDefault="00EC790E" w:rsidP="00DE6134">
    <w:pPr>
      <w:pStyle w:val="Footer"/>
      <w:rPr>
        <w:rFonts w:cstheme="minorHAnsi"/>
        <w:i/>
        <w:iCs/>
        <w:color w:val="595959" w:themeColor="text1" w:themeTint="A6"/>
        <w:sz w:val="18"/>
        <w:szCs w:val="18"/>
        <w:shd w:val="clear" w:color="auto" w:fill="FFFFFF"/>
      </w:rPr>
    </w:pPr>
    <w:r w:rsidRPr="008E1C10">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38B43E6C" w14:textId="77777777" w:rsidR="00791FE7" w:rsidRPr="00DE6134" w:rsidRDefault="00791FE7" w:rsidP="00DE613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DA43D" w14:textId="77777777" w:rsidR="00A4112A" w:rsidRDefault="00A4112A" w:rsidP="002123C2">
      <w:pPr>
        <w:spacing w:after="0" w:line="240" w:lineRule="auto"/>
      </w:pPr>
      <w:r>
        <w:separator/>
      </w:r>
    </w:p>
  </w:footnote>
  <w:footnote w:type="continuationSeparator" w:id="0">
    <w:p w14:paraId="3A5E4877" w14:textId="77777777" w:rsidR="00A4112A" w:rsidRDefault="00A4112A"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BDDE9"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A0940"/>
    <w:multiLevelType w:val="hybridMultilevel"/>
    <w:tmpl w:val="DB4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882BA6"/>
    <w:multiLevelType w:val="hybridMultilevel"/>
    <w:tmpl w:val="B27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14874"/>
    <w:multiLevelType w:val="hybridMultilevel"/>
    <w:tmpl w:val="14B82606"/>
    <w:lvl w:ilvl="0" w:tplc="093CAD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7"/>
  </w:num>
  <w:num w:numId="4">
    <w:abstractNumId w:val="20"/>
  </w:num>
  <w:num w:numId="5">
    <w:abstractNumId w:val="10"/>
  </w:num>
  <w:num w:numId="6">
    <w:abstractNumId w:val="15"/>
  </w:num>
  <w:num w:numId="7">
    <w:abstractNumId w:val="17"/>
  </w:num>
  <w:num w:numId="8">
    <w:abstractNumId w:val="16"/>
  </w:num>
  <w:num w:numId="9">
    <w:abstractNumId w:val="9"/>
  </w:num>
  <w:num w:numId="10">
    <w:abstractNumId w:val="22"/>
  </w:num>
  <w:num w:numId="11">
    <w:abstractNumId w:val="23"/>
  </w:num>
  <w:num w:numId="12">
    <w:abstractNumId w:val="29"/>
  </w:num>
  <w:num w:numId="13">
    <w:abstractNumId w:val="2"/>
  </w:num>
  <w:num w:numId="14">
    <w:abstractNumId w:val="6"/>
  </w:num>
  <w:num w:numId="15">
    <w:abstractNumId w:val="32"/>
  </w:num>
  <w:num w:numId="16">
    <w:abstractNumId w:val="30"/>
  </w:num>
  <w:num w:numId="17">
    <w:abstractNumId w:val="11"/>
  </w:num>
  <w:num w:numId="18">
    <w:abstractNumId w:val="28"/>
  </w:num>
  <w:num w:numId="19">
    <w:abstractNumId w:val="18"/>
  </w:num>
  <w:num w:numId="20">
    <w:abstractNumId w:val="14"/>
  </w:num>
  <w:num w:numId="21">
    <w:abstractNumId w:val="1"/>
  </w:num>
  <w:num w:numId="22">
    <w:abstractNumId w:val="27"/>
  </w:num>
  <w:num w:numId="23">
    <w:abstractNumId w:val="31"/>
  </w:num>
  <w:num w:numId="24">
    <w:abstractNumId w:val="13"/>
  </w:num>
  <w:num w:numId="25">
    <w:abstractNumId w:val="4"/>
  </w:num>
  <w:num w:numId="26">
    <w:abstractNumId w:val="24"/>
  </w:num>
  <w:num w:numId="27">
    <w:abstractNumId w:val="0"/>
  </w:num>
  <w:num w:numId="28">
    <w:abstractNumId w:val="3"/>
  </w:num>
  <w:num w:numId="29">
    <w:abstractNumId w:val="12"/>
  </w:num>
  <w:num w:numId="30">
    <w:abstractNumId w:val="5"/>
  </w:num>
  <w:num w:numId="31">
    <w:abstractNumId w:val="19"/>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6B02"/>
    <w:rsid w:val="00007BDE"/>
    <w:rsid w:val="000125F3"/>
    <w:rsid w:val="0002190C"/>
    <w:rsid w:val="00032390"/>
    <w:rsid w:val="00043D42"/>
    <w:rsid w:val="0005034B"/>
    <w:rsid w:val="00056C3B"/>
    <w:rsid w:val="00056E07"/>
    <w:rsid w:val="00056FFB"/>
    <w:rsid w:val="00076146"/>
    <w:rsid w:val="0007624F"/>
    <w:rsid w:val="0007729A"/>
    <w:rsid w:val="000808F3"/>
    <w:rsid w:val="0008207E"/>
    <w:rsid w:val="00084041"/>
    <w:rsid w:val="0008634B"/>
    <w:rsid w:val="00086F4E"/>
    <w:rsid w:val="000A1148"/>
    <w:rsid w:val="000A5D6C"/>
    <w:rsid w:val="000A6682"/>
    <w:rsid w:val="000A6A4C"/>
    <w:rsid w:val="000A74D7"/>
    <w:rsid w:val="000B3059"/>
    <w:rsid w:val="000D13F0"/>
    <w:rsid w:val="000D1DAA"/>
    <w:rsid w:val="000D3FCB"/>
    <w:rsid w:val="000D4A11"/>
    <w:rsid w:val="000D4A78"/>
    <w:rsid w:val="000F210C"/>
    <w:rsid w:val="000F6169"/>
    <w:rsid w:val="000F6D88"/>
    <w:rsid w:val="000F7479"/>
    <w:rsid w:val="00104039"/>
    <w:rsid w:val="00104EA9"/>
    <w:rsid w:val="0012247C"/>
    <w:rsid w:val="001257AF"/>
    <w:rsid w:val="00137083"/>
    <w:rsid w:val="00142DB2"/>
    <w:rsid w:val="00144928"/>
    <w:rsid w:val="001513A6"/>
    <w:rsid w:val="001574D3"/>
    <w:rsid w:val="00161728"/>
    <w:rsid w:val="00166240"/>
    <w:rsid w:val="00174313"/>
    <w:rsid w:val="00174E70"/>
    <w:rsid w:val="00175467"/>
    <w:rsid w:val="001860A8"/>
    <w:rsid w:val="00186E2D"/>
    <w:rsid w:val="001A2855"/>
    <w:rsid w:val="001B111D"/>
    <w:rsid w:val="001B5AE3"/>
    <w:rsid w:val="001B7438"/>
    <w:rsid w:val="001C5770"/>
    <w:rsid w:val="001D6DF7"/>
    <w:rsid w:val="001E3706"/>
    <w:rsid w:val="001E4A3B"/>
    <w:rsid w:val="001E7E32"/>
    <w:rsid w:val="001F0C9A"/>
    <w:rsid w:val="001F3EC7"/>
    <w:rsid w:val="00200FAC"/>
    <w:rsid w:val="0020151F"/>
    <w:rsid w:val="00205019"/>
    <w:rsid w:val="0020643D"/>
    <w:rsid w:val="002123C2"/>
    <w:rsid w:val="002251D1"/>
    <w:rsid w:val="002259FC"/>
    <w:rsid w:val="00227D1F"/>
    <w:rsid w:val="00231D56"/>
    <w:rsid w:val="00231DDF"/>
    <w:rsid w:val="00242546"/>
    <w:rsid w:val="002433E6"/>
    <w:rsid w:val="0024610A"/>
    <w:rsid w:val="00247627"/>
    <w:rsid w:val="00253EA8"/>
    <w:rsid w:val="002636CA"/>
    <w:rsid w:val="00267B36"/>
    <w:rsid w:val="00270A58"/>
    <w:rsid w:val="00271597"/>
    <w:rsid w:val="0028324E"/>
    <w:rsid w:val="00294558"/>
    <w:rsid w:val="00294BC2"/>
    <w:rsid w:val="002A0D06"/>
    <w:rsid w:val="002B205C"/>
    <w:rsid w:val="002D39D2"/>
    <w:rsid w:val="002E041D"/>
    <w:rsid w:val="002E075C"/>
    <w:rsid w:val="002E6CE8"/>
    <w:rsid w:val="002F2AC5"/>
    <w:rsid w:val="002F5E9B"/>
    <w:rsid w:val="00301353"/>
    <w:rsid w:val="003049E7"/>
    <w:rsid w:val="003062C9"/>
    <w:rsid w:val="003102F2"/>
    <w:rsid w:val="003135AE"/>
    <w:rsid w:val="003178E1"/>
    <w:rsid w:val="003250D3"/>
    <w:rsid w:val="0033200D"/>
    <w:rsid w:val="00333555"/>
    <w:rsid w:val="0034241C"/>
    <w:rsid w:val="00342FD0"/>
    <w:rsid w:val="003461A7"/>
    <w:rsid w:val="003511BC"/>
    <w:rsid w:val="00356B3D"/>
    <w:rsid w:val="0036578E"/>
    <w:rsid w:val="003660A3"/>
    <w:rsid w:val="00382625"/>
    <w:rsid w:val="00397260"/>
    <w:rsid w:val="003A02C2"/>
    <w:rsid w:val="003A4C70"/>
    <w:rsid w:val="003A4FB0"/>
    <w:rsid w:val="003A6BCA"/>
    <w:rsid w:val="003A7938"/>
    <w:rsid w:val="003B2F2B"/>
    <w:rsid w:val="003B6176"/>
    <w:rsid w:val="003D31F2"/>
    <w:rsid w:val="003F5B64"/>
    <w:rsid w:val="003F66FA"/>
    <w:rsid w:val="004019BB"/>
    <w:rsid w:val="004075DC"/>
    <w:rsid w:val="00407BE0"/>
    <w:rsid w:val="00411DA1"/>
    <w:rsid w:val="00412815"/>
    <w:rsid w:val="0042016C"/>
    <w:rsid w:val="0042154A"/>
    <w:rsid w:val="0042470F"/>
    <w:rsid w:val="0042798F"/>
    <w:rsid w:val="004305CE"/>
    <w:rsid w:val="0043728A"/>
    <w:rsid w:val="00447B42"/>
    <w:rsid w:val="00451061"/>
    <w:rsid w:val="00453C71"/>
    <w:rsid w:val="00454167"/>
    <w:rsid w:val="004727F3"/>
    <w:rsid w:val="00477D32"/>
    <w:rsid w:val="00481F37"/>
    <w:rsid w:val="00482610"/>
    <w:rsid w:val="00485676"/>
    <w:rsid w:val="004A1C4F"/>
    <w:rsid w:val="004A3319"/>
    <w:rsid w:val="004A4AB3"/>
    <w:rsid w:val="004B6498"/>
    <w:rsid w:val="004C3776"/>
    <w:rsid w:val="004C7ED5"/>
    <w:rsid w:val="004D1423"/>
    <w:rsid w:val="004E0E81"/>
    <w:rsid w:val="004E1065"/>
    <w:rsid w:val="004F29A0"/>
    <w:rsid w:val="00510D00"/>
    <w:rsid w:val="005206E9"/>
    <w:rsid w:val="00532791"/>
    <w:rsid w:val="00533551"/>
    <w:rsid w:val="00544235"/>
    <w:rsid w:val="00546B72"/>
    <w:rsid w:val="00547070"/>
    <w:rsid w:val="00547FDF"/>
    <w:rsid w:val="00551669"/>
    <w:rsid w:val="00553323"/>
    <w:rsid w:val="00555745"/>
    <w:rsid w:val="00564973"/>
    <w:rsid w:val="00570588"/>
    <w:rsid w:val="00577430"/>
    <w:rsid w:val="005857BC"/>
    <w:rsid w:val="005863A1"/>
    <w:rsid w:val="00592B55"/>
    <w:rsid w:val="00596234"/>
    <w:rsid w:val="00596C87"/>
    <w:rsid w:val="005973CE"/>
    <w:rsid w:val="005B19DA"/>
    <w:rsid w:val="005C23CD"/>
    <w:rsid w:val="005C6C1D"/>
    <w:rsid w:val="005C7CC9"/>
    <w:rsid w:val="005C7D9C"/>
    <w:rsid w:val="005D29B4"/>
    <w:rsid w:val="005D31FE"/>
    <w:rsid w:val="005D7241"/>
    <w:rsid w:val="005F5ECE"/>
    <w:rsid w:val="00601532"/>
    <w:rsid w:val="00621434"/>
    <w:rsid w:val="00623E03"/>
    <w:rsid w:val="00624057"/>
    <w:rsid w:val="00631AA7"/>
    <w:rsid w:val="0063603F"/>
    <w:rsid w:val="00643D1F"/>
    <w:rsid w:val="006819E3"/>
    <w:rsid w:val="0068601C"/>
    <w:rsid w:val="006A67EF"/>
    <w:rsid w:val="006B390A"/>
    <w:rsid w:val="006C09C0"/>
    <w:rsid w:val="006E04FA"/>
    <w:rsid w:val="006E13B5"/>
    <w:rsid w:val="006E781A"/>
    <w:rsid w:val="006F2BB5"/>
    <w:rsid w:val="007025F1"/>
    <w:rsid w:val="00704FE4"/>
    <w:rsid w:val="007131B9"/>
    <w:rsid w:val="00733320"/>
    <w:rsid w:val="007338F6"/>
    <w:rsid w:val="00735A72"/>
    <w:rsid w:val="00737EEC"/>
    <w:rsid w:val="00743799"/>
    <w:rsid w:val="00743F65"/>
    <w:rsid w:val="00744CE8"/>
    <w:rsid w:val="007470EB"/>
    <w:rsid w:val="00747AF9"/>
    <w:rsid w:val="007614D0"/>
    <w:rsid w:val="00774EB2"/>
    <w:rsid w:val="00783E7A"/>
    <w:rsid w:val="00791FE7"/>
    <w:rsid w:val="007944D2"/>
    <w:rsid w:val="007B2E02"/>
    <w:rsid w:val="007B48A1"/>
    <w:rsid w:val="007C559C"/>
    <w:rsid w:val="007D7A90"/>
    <w:rsid w:val="007E638A"/>
    <w:rsid w:val="008035AF"/>
    <w:rsid w:val="00806391"/>
    <w:rsid w:val="00811F57"/>
    <w:rsid w:val="008135CE"/>
    <w:rsid w:val="00833F0F"/>
    <w:rsid w:val="00844745"/>
    <w:rsid w:val="00845120"/>
    <w:rsid w:val="008530BF"/>
    <w:rsid w:val="00870464"/>
    <w:rsid w:val="00873D07"/>
    <w:rsid w:val="0087528C"/>
    <w:rsid w:val="008A197C"/>
    <w:rsid w:val="008A316B"/>
    <w:rsid w:val="008A468A"/>
    <w:rsid w:val="008A4FB9"/>
    <w:rsid w:val="008A6BB6"/>
    <w:rsid w:val="008C0CF9"/>
    <w:rsid w:val="008D1003"/>
    <w:rsid w:val="008D5EF6"/>
    <w:rsid w:val="008D6D24"/>
    <w:rsid w:val="008D7359"/>
    <w:rsid w:val="008E0075"/>
    <w:rsid w:val="008E1C10"/>
    <w:rsid w:val="00900869"/>
    <w:rsid w:val="00903340"/>
    <w:rsid w:val="00907F9D"/>
    <w:rsid w:val="00910ACA"/>
    <w:rsid w:val="0092051A"/>
    <w:rsid w:val="00924583"/>
    <w:rsid w:val="00926A88"/>
    <w:rsid w:val="0093452A"/>
    <w:rsid w:val="009363EF"/>
    <w:rsid w:val="00940535"/>
    <w:rsid w:val="009421C4"/>
    <w:rsid w:val="00946496"/>
    <w:rsid w:val="009631FB"/>
    <w:rsid w:val="00965002"/>
    <w:rsid w:val="00966D4C"/>
    <w:rsid w:val="00966F5D"/>
    <w:rsid w:val="0097092F"/>
    <w:rsid w:val="00970CC1"/>
    <w:rsid w:val="00971A94"/>
    <w:rsid w:val="00972D90"/>
    <w:rsid w:val="0097445C"/>
    <w:rsid w:val="009904CF"/>
    <w:rsid w:val="0099059B"/>
    <w:rsid w:val="0099300D"/>
    <w:rsid w:val="0099504F"/>
    <w:rsid w:val="009A0CB7"/>
    <w:rsid w:val="009B412E"/>
    <w:rsid w:val="009B741F"/>
    <w:rsid w:val="009C66D1"/>
    <w:rsid w:val="009D072A"/>
    <w:rsid w:val="009D2D48"/>
    <w:rsid w:val="009D5F80"/>
    <w:rsid w:val="009D7A8A"/>
    <w:rsid w:val="009E493C"/>
    <w:rsid w:val="009F29B9"/>
    <w:rsid w:val="009F4B90"/>
    <w:rsid w:val="009F512A"/>
    <w:rsid w:val="00A16A10"/>
    <w:rsid w:val="00A225A7"/>
    <w:rsid w:val="00A26FCC"/>
    <w:rsid w:val="00A30D9E"/>
    <w:rsid w:val="00A362B4"/>
    <w:rsid w:val="00A366EB"/>
    <w:rsid w:val="00A3676A"/>
    <w:rsid w:val="00A4112A"/>
    <w:rsid w:val="00A4263C"/>
    <w:rsid w:val="00A44FFF"/>
    <w:rsid w:val="00A50D93"/>
    <w:rsid w:val="00A51EDC"/>
    <w:rsid w:val="00A759BC"/>
    <w:rsid w:val="00A81DC5"/>
    <w:rsid w:val="00A85A2F"/>
    <w:rsid w:val="00A94E43"/>
    <w:rsid w:val="00AA1D9B"/>
    <w:rsid w:val="00AB05E3"/>
    <w:rsid w:val="00AC17AA"/>
    <w:rsid w:val="00AD1C20"/>
    <w:rsid w:val="00AD5EB7"/>
    <w:rsid w:val="00AF11A7"/>
    <w:rsid w:val="00B00277"/>
    <w:rsid w:val="00B12A87"/>
    <w:rsid w:val="00B13EB9"/>
    <w:rsid w:val="00B15834"/>
    <w:rsid w:val="00B16149"/>
    <w:rsid w:val="00B230DE"/>
    <w:rsid w:val="00B34B51"/>
    <w:rsid w:val="00B350F6"/>
    <w:rsid w:val="00B40191"/>
    <w:rsid w:val="00B4519C"/>
    <w:rsid w:val="00B5042F"/>
    <w:rsid w:val="00B505C5"/>
    <w:rsid w:val="00B5196C"/>
    <w:rsid w:val="00B554F9"/>
    <w:rsid w:val="00B570C5"/>
    <w:rsid w:val="00B66A3B"/>
    <w:rsid w:val="00B73CEB"/>
    <w:rsid w:val="00B7702D"/>
    <w:rsid w:val="00B77C97"/>
    <w:rsid w:val="00B96B60"/>
    <w:rsid w:val="00BA2479"/>
    <w:rsid w:val="00BA5EA3"/>
    <w:rsid w:val="00BB2195"/>
    <w:rsid w:val="00BB21A0"/>
    <w:rsid w:val="00BC54D4"/>
    <w:rsid w:val="00BC58CE"/>
    <w:rsid w:val="00BD0357"/>
    <w:rsid w:val="00BD0978"/>
    <w:rsid w:val="00BD6FD3"/>
    <w:rsid w:val="00BE26C7"/>
    <w:rsid w:val="00BF2AFB"/>
    <w:rsid w:val="00BF4166"/>
    <w:rsid w:val="00C004F4"/>
    <w:rsid w:val="00C02FD1"/>
    <w:rsid w:val="00C11075"/>
    <w:rsid w:val="00C117FB"/>
    <w:rsid w:val="00C2154C"/>
    <w:rsid w:val="00C26AE4"/>
    <w:rsid w:val="00C31011"/>
    <w:rsid w:val="00C56E6F"/>
    <w:rsid w:val="00C64A67"/>
    <w:rsid w:val="00C672AE"/>
    <w:rsid w:val="00C80D4D"/>
    <w:rsid w:val="00C83AE6"/>
    <w:rsid w:val="00C85DEB"/>
    <w:rsid w:val="00C91EAE"/>
    <w:rsid w:val="00C944A9"/>
    <w:rsid w:val="00C94931"/>
    <w:rsid w:val="00CA1899"/>
    <w:rsid w:val="00CA3513"/>
    <w:rsid w:val="00CA4D14"/>
    <w:rsid w:val="00CB2B87"/>
    <w:rsid w:val="00CB56EA"/>
    <w:rsid w:val="00CC71BF"/>
    <w:rsid w:val="00CD049D"/>
    <w:rsid w:val="00CD216B"/>
    <w:rsid w:val="00CE405C"/>
    <w:rsid w:val="00CE6144"/>
    <w:rsid w:val="00CE6D73"/>
    <w:rsid w:val="00CF2E63"/>
    <w:rsid w:val="00CF48CE"/>
    <w:rsid w:val="00CF4C60"/>
    <w:rsid w:val="00CF5678"/>
    <w:rsid w:val="00D0630D"/>
    <w:rsid w:val="00D10F09"/>
    <w:rsid w:val="00D130A8"/>
    <w:rsid w:val="00D20433"/>
    <w:rsid w:val="00D22302"/>
    <w:rsid w:val="00D279FB"/>
    <w:rsid w:val="00D30875"/>
    <w:rsid w:val="00D44A9D"/>
    <w:rsid w:val="00D45339"/>
    <w:rsid w:val="00D462B0"/>
    <w:rsid w:val="00D50D0E"/>
    <w:rsid w:val="00D54287"/>
    <w:rsid w:val="00D659A6"/>
    <w:rsid w:val="00D73ADB"/>
    <w:rsid w:val="00D81055"/>
    <w:rsid w:val="00D86719"/>
    <w:rsid w:val="00D905A0"/>
    <w:rsid w:val="00DA4E55"/>
    <w:rsid w:val="00DA670D"/>
    <w:rsid w:val="00DB1425"/>
    <w:rsid w:val="00DB3F6F"/>
    <w:rsid w:val="00DB4504"/>
    <w:rsid w:val="00DB4B83"/>
    <w:rsid w:val="00DB72D3"/>
    <w:rsid w:val="00DC63FB"/>
    <w:rsid w:val="00DD1CB5"/>
    <w:rsid w:val="00DD5C54"/>
    <w:rsid w:val="00DD5E81"/>
    <w:rsid w:val="00DD7467"/>
    <w:rsid w:val="00DE2279"/>
    <w:rsid w:val="00DE35E2"/>
    <w:rsid w:val="00DE6134"/>
    <w:rsid w:val="00DF4F96"/>
    <w:rsid w:val="00DF551B"/>
    <w:rsid w:val="00E02476"/>
    <w:rsid w:val="00E250E1"/>
    <w:rsid w:val="00E26698"/>
    <w:rsid w:val="00E4096A"/>
    <w:rsid w:val="00E47503"/>
    <w:rsid w:val="00E6581A"/>
    <w:rsid w:val="00E703ED"/>
    <w:rsid w:val="00E70C1D"/>
    <w:rsid w:val="00E7306A"/>
    <w:rsid w:val="00E768BF"/>
    <w:rsid w:val="00EA2172"/>
    <w:rsid w:val="00EB3A99"/>
    <w:rsid w:val="00EC25E8"/>
    <w:rsid w:val="00EC2EAA"/>
    <w:rsid w:val="00EC342F"/>
    <w:rsid w:val="00EC790E"/>
    <w:rsid w:val="00EC7F66"/>
    <w:rsid w:val="00ED00FB"/>
    <w:rsid w:val="00ED57EC"/>
    <w:rsid w:val="00EE3C17"/>
    <w:rsid w:val="00EF11BB"/>
    <w:rsid w:val="00EF550F"/>
    <w:rsid w:val="00EF56DE"/>
    <w:rsid w:val="00EF5AA2"/>
    <w:rsid w:val="00F02FD1"/>
    <w:rsid w:val="00F05108"/>
    <w:rsid w:val="00F114D6"/>
    <w:rsid w:val="00F1496E"/>
    <w:rsid w:val="00F2601C"/>
    <w:rsid w:val="00F2754F"/>
    <w:rsid w:val="00F31FB8"/>
    <w:rsid w:val="00F416E7"/>
    <w:rsid w:val="00F53E9D"/>
    <w:rsid w:val="00F71E79"/>
    <w:rsid w:val="00F7421B"/>
    <w:rsid w:val="00F829BC"/>
    <w:rsid w:val="00F82D1B"/>
    <w:rsid w:val="00F95AB8"/>
    <w:rsid w:val="00FA2E43"/>
    <w:rsid w:val="00FA34A8"/>
    <w:rsid w:val="00FB0D62"/>
    <w:rsid w:val="00FB49C0"/>
    <w:rsid w:val="00FD2069"/>
    <w:rsid w:val="00FE38B4"/>
    <w:rsid w:val="00FE782F"/>
    <w:rsid w:val="00FE7B57"/>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8490D"/>
  <w15:docId w15:val="{BA0B7F65-4B50-4F8D-B85F-BD2C9ABF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974897">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research/reports/2017/12class-size.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essent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DESE-231-72030</_dlc_DocId>
    <_dlc_DocIdUrl xmlns="733efe1c-5bbe-4968-87dc-d400e65c879f">
      <Url>https://sharepoint.doemass.org/ese/webteam/cps/_layouts/DocIdRedir.aspx?ID=DESE-231-72030</Url>
      <Description>DESE-231-72030</Description>
    </_dlc_DocIdUrl>
  </documentManagement>
</p:properties>
</file>

<file path=customXml/itemProps1.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2.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3.xml><?xml version="1.0" encoding="utf-8"?>
<ds:datastoreItem xmlns:ds="http://schemas.openxmlformats.org/officeDocument/2006/customXml" ds:itemID="{6A22B02F-E23D-4FCD-8061-CAC9945FA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1C329-C205-4D2F-89BD-4391E53B101F}">
  <ds:schemaRefs>
    <ds:schemaRef ds:uri="http://schemas.openxmlformats.org/officeDocument/2006/bibliography"/>
  </ds:schemaRefs>
</ds:datastoreItem>
</file>

<file path=customXml/itemProps5.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690</Words>
  <Characters>4428</Characters>
  <Application>Microsoft Office Word</Application>
  <DocSecurity>0</DocSecurity>
  <Lines>147</Lines>
  <Paragraphs>86</Paragraphs>
  <ScaleCrop>false</ScaleCrop>
  <HeadingPairs>
    <vt:vector size="2" baseType="variant">
      <vt:variant>
        <vt:lpstr>Title</vt:lpstr>
      </vt:variant>
      <vt:variant>
        <vt:i4>1</vt:i4>
      </vt:variant>
    </vt:vector>
  </HeadingPairs>
  <TitlesOfParts>
    <vt:vector size="1" baseType="lpstr">
      <vt:lpstr>Title IIA Quick Reference Guide on Allowable and Unallowable Costs</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IIA Quick Reference Guide on Allowable and Unallowable Costs</dc:title>
  <dc:subject/>
  <dc:creator>DESE</dc:creator>
  <cp:lastModifiedBy>Zou, Dong (EOE)</cp:lastModifiedBy>
  <cp:revision>9</cp:revision>
  <cp:lastPrinted>2018-03-08T18:31:00Z</cp:lastPrinted>
  <dcterms:created xsi:type="dcterms:W3CDTF">2023-04-28T13:02:00Z</dcterms:created>
  <dcterms:modified xsi:type="dcterms:W3CDTF">2023-04-28T17:23:00Z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2023 12:00AM</vt:lpwstr>
  </property>
</Properties>
</file>