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ACE" w:rsidRDefault="00B81ACE">
      <w:pPr>
        <w:spacing w:before="120" w:after="120"/>
      </w:pPr>
    </w:p>
    <w:p w:rsidR="00B81ACE" w:rsidRPr="00902665" w:rsidRDefault="00777BBB" w:rsidP="00F140BD">
      <w:pPr>
        <w:pStyle w:val="Heading2"/>
        <w:spacing w:after="0" w:line="240" w:lineRule="auto"/>
      </w:pPr>
      <w:r>
        <w:br/>
      </w:r>
      <w:r w:rsidR="00B81ACE">
        <w:t>Determining Equitable Services</w:t>
      </w:r>
      <w:r w:rsidR="00902665">
        <w:t xml:space="preserve"> for Private Schools</w:t>
      </w:r>
      <w:r w:rsidR="00F140BD">
        <w:rPr>
          <w:rStyle w:val="FootnoteReference"/>
        </w:rPr>
        <w:footnoteReference w:id="1"/>
      </w:r>
    </w:p>
    <w:p w:rsidR="003422BB" w:rsidRPr="00925166" w:rsidRDefault="00902665" w:rsidP="00F140BD">
      <w:pPr>
        <w:pStyle w:val="ListParagraph"/>
        <w:numPr>
          <w:ilvl w:val="0"/>
          <w:numId w:val="55"/>
        </w:numPr>
        <w:spacing w:after="0" w:line="240" w:lineRule="auto"/>
        <w:contextualSpacing w:val="0"/>
        <w:rPr>
          <w:color w:val="1F497D"/>
        </w:rPr>
      </w:pPr>
      <w:r w:rsidRPr="003422BB">
        <w:rPr>
          <w:b/>
        </w:rPr>
        <w:t xml:space="preserve">Changes under the ESSA: </w:t>
      </w:r>
      <w:r w:rsidRPr="00902665">
        <w:t>The federal Elementary and Secondary Education Act (ESEA) as reauthorized by the Every Student Succeeds Act (ESSA) (2015) requires the opportunity for equitable participation of students and educators in private, non-profit elementary and secondary schools (private schools) in its federally funded programs and services. The public school district is required to have "timely and meaningful consultation" with private school officials regarding the participation of private school students and educators in ESSA funded programs and services</w:t>
      </w:r>
      <w:r w:rsidR="00925166">
        <w:t xml:space="preserve"> and to submit the </w:t>
      </w:r>
      <w:hyperlink r:id="rId12" w:history="1">
        <w:r w:rsidR="00925166" w:rsidRPr="00925166">
          <w:rPr>
            <w:rStyle w:val="Hyperlink"/>
            <w:rFonts w:cs="Arial"/>
          </w:rPr>
          <w:t>Affirmation of Consultation and Agreement with Participating Non-Public School Officials</w:t>
        </w:r>
      </w:hyperlink>
      <w:r w:rsidR="00925166" w:rsidRPr="00925166">
        <w:t xml:space="preserve"> </w:t>
      </w:r>
      <w:r w:rsidR="00925166">
        <w:t xml:space="preserve">form as a part of the Title I application. </w:t>
      </w:r>
      <w:r w:rsidRPr="00902665">
        <w:t xml:space="preserve"> </w:t>
      </w:r>
      <w:r w:rsidR="00777BBB">
        <w:br/>
      </w:r>
    </w:p>
    <w:p w:rsidR="003422BB" w:rsidRPr="003E6F32" w:rsidRDefault="00902665" w:rsidP="00B81ACE">
      <w:pPr>
        <w:pStyle w:val="ListParagraph"/>
        <w:numPr>
          <w:ilvl w:val="0"/>
          <w:numId w:val="55"/>
        </w:numPr>
        <w:spacing w:after="0" w:line="240" w:lineRule="auto"/>
        <w:contextualSpacing w:val="0"/>
        <w:rPr>
          <w:b/>
          <w:i/>
          <w:color w:val="1F497D"/>
        </w:rPr>
      </w:pPr>
      <w:r w:rsidRPr="004C012D">
        <w:t xml:space="preserve">The Title II, Part A legislation states that districts must set aside Title II, Part A funds for IIA approved services for private school educators in the district's geographic boundaries. </w:t>
      </w:r>
      <w:r w:rsidR="003422BB">
        <w:t>The</w:t>
      </w:r>
      <w:r w:rsidR="003422BB" w:rsidRPr="00902665">
        <w:t xml:space="preserve"> amount available for private school participation for services</w:t>
      </w:r>
      <w:r w:rsidR="003422BB">
        <w:t xml:space="preserve"> must </w:t>
      </w:r>
      <w:r w:rsidR="003422BB" w:rsidRPr="00902665">
        <w:t>be based on an LEA's 2018 Title IIA allocation, minu</w:t>
      </w:r>
      <w:r w:rsidR="003422BB" w:rsidRPr="000F64FF">
        <w:t xml:space="preserve">s program administration costs. </w:t>
      </w:r>
      <w:r w:rsidRPr="004C012D">
        <w:t xml:space="preserve">Funds reserved for equitable IIA approved services for private school personnel must be equal to the amount spent for public school personnel, on a per-pupil basis. </w:t>
      </w:r>
    </w:p>
    <w:p w:rsidR="003E6F32" w:rsidRPr="005B464B" w:rsidRDefault="003E6F32" w:rsidP="003E6F32">
      <w:pPr>
        <w:pStyle w:val="ListParagraph"/>
        <w:spacing w:after="0" w:line="240" w:lineRule="auto"/>
        <w:contextualSpacing w:val="0"/>
        <w:rPr>
          <w:b/>
          <w:i/>
          <w:color w:val="1F497D"/>
        </w:rPr>
      </w:pPr>
    </w:p>
    <w:p w:rsidR="00902665" w:rsidRDefault="00902665" w:rsidP="00F140BD">
      <w:pPr>
        <w:pStyle w:val="Heading2"/>
        <w:spacing w:after="0"/>
      </w:pPr>
      <w:r>
        <w:t xml:space="preserve">Requirements for Private School Activities </w:t>
      </w:r>
    </w:p>
    <w:p w:rsidR="00902665" w:rsidRPr="004C012D" w:rsidRDefault="00902665" w:rsidP="00F140BD">
      <w:pPr>
        <w:pStyle w:val="ListParagraph"/>
        <w:numPr>
          <w:ilvl w:val="0"/>
          <w:numId w:val="56"/>
        </w:numPr>
        <w:spacing w:after="0" w:line="240" w:lineRule="auto"/>
        <w:contextualSpacing w:val="0"/>
      </w:pPr>
      <w:r w:rsidRPr="004C012D">
        <w:t xml:space="preserve">Any use of Title II, Part A funds for the benefit of private school participants </w:t>
      </w:r>
      <w:r w:rsidRPr="00B6120D">
        <w:rPr>
          <w:b/>
        </w:rPr>
        <w:t>must</w:t>
      </w:r>
      <w:r w:rsidRPr="004C012D">
        <w:t>:</w:t>
      </w:r>
    </w:p>
    <w:p w:rsidR="00902665" w:rsidRPr="004C012D" w:rsidRDefault="00902665" w:rsidP="00902665">
      <w:pPr>
        <w:pStyle w:val="ListParagraph"/>
        <w:numPr>
          <w:ilvl w:val="1"/>
          <w:numId w:val="56"/>
        </w:numPr>
        <w:spacing w:after="0" w:line="240" w:lineRule="auto"/>
        <w:contextualSpacing w:val="0"/>
      </w:pPr>
      <w:r>
        <w:t xml:space="preserve">Meet the </w:t>
      </w:r>
      <w:r>
        <w:rPr>
          <w:b/>
        </w:rPr>
        <w:t>specific needs</w:t>
      </w:r>
      <w:r>
        <w:t xml:space="preserve"> of students enrolled in a private school, and not the school itself. Title II, Part A funds may not be used to meet the needs of a private school or the general needs of the students enrolled in the private school. In some instances, however, a program or activity that primarily benefits a private school’s students (because it addresses specific, rather than general, needs of the students) will also incidentally benefit the school. (34 CFR 76.658.)</w:t>
      </w:r>
    </w:p>
    <w:p w:rsidR="00902665" w:rsidRDefault="00902665" w:rsidP="00902665">
      <w:pPr>
        <w:pStyle w:val="ListParagraph"/>
        <w:numPr>
          <w:ilvl w:val="1"/>
          <w:numId w:val="56"/>
        </w:numPr>
        <w:spacing w:after="0" w:line="240" w:lineRule="auto"/>
        <w:contextualSpacing w:val="0"/>
      </w:pPr>
      <w:r>
        <w:t xml:space="preserve">Ensure that the public agency (e.g., an LEA) responsible for providing equitable services retains control of the funds used to provide such services. In addition, equitable services must be provided by either an employee of the public agency or through a contract by the public agency with an individual, association, agency, or organization. These employees, individuals, associations, agencies, or organizations providing the services must be independent of the private school and any religious organization and the employment or contract must be under the control and supervision of the public agency. </w:t>
      </w:r>
    </w:p>
    <w:p w:rsidR="00067A2D" w:rsidRDefault="00067A2D" w:rsidP="00067A2D">
      <w:pPr>
        <w:spacing w:after="0" w:line="240" w:lineRule="auto"/>
      </w:pPr>
    </w:p>
    <w:p w:rsidR="00067A2D" w:rsidRDefault="005B464B" w:rsidP="00777BBB">
      <w:pPr>
        <w:pStyle w:val="Heading2"/>
        <w:spacing w:after="0" w:line="360" w:lineRule="auto"/>
      </w:pPr>
      <w:r>
        <w:t>Example Formula to Determine Equitable Expenditures for Private Schools</w:t>
      </w:r>
    </w:p>
    <w:tbl>
      <w:tblPr>
        <w:tblStyle w:val="TableGrid"/>
        <w:tblW w:w="0" w:type="auto"/>
        <w:jc w:val="center"/>
        <w:tblLook w:val="04A0"/>
      </w:tblPr>
      <w:tblGrid>
        <w:gridCol w:w="6648"/>
        <w:gridCol w:w="2857"/>
      </w:tblGrid>
      <w:tr w:rsidR="00067A2D" w:rsidTr="00B6120D">
        <w:trPr>
          <w:trHeight w:val="175"/>
          <w:jc w:val="center"/>
        </w:trPr>
        <w:tc>
          <w:tcPr>
            <w:tcW w:w="6648" w:type="dxa"/>
            <w:shd w:val="pct10" w:color="auto" w:fill="auto"/>
          </w:tcPr>
          <w:p w:rsidR="00067A2D" w:rsidRPr="005B464B" w:rsidRDefault="005B464B" w:rsidP="00777BBB">
            <w:pPr>
              <w:spacing w:after="0" w:line="360" w:lineRule="auto"/>
              <w:rPr>
                <w:b/>
              </w:rPr>
            </w:pPr>
            <w:r w:rsidRPr="005B464B">
              <w:rPr>
                <w:b/>
              </w:rPr>
              <w:t xml:space="preserve">A: </w:t>
            </w:r>
            <w:r w:rsidR="00067A2D" w:rsidRPr="005B464B">
              <w:rPr>
                <w:b/>
              </w:rPr>
              <w:t>Enrollment</w:t>
            </w:r>
          </w:p>
        </w:tc>
        <w:tc>
          <w:tcPr>
            <w:tcW w:w="2857" w:type="dxa"/>
            <w:shd w:val="pct10" w:color="auto" w:fill="auto"/>
          </w:tcPr>
          <w:p w:rsidR="00067A2D" w:rsidRDefault="00067A2D" w:rsidP="00777BBB">
            <w:pPr>
              <w:spacing w:after="0" w:line="360" w:lineRule="auto"/>
            </w:pPr>
          </w:p>
        </w:tc>
      </w:tr>
      <w:tr w:rsidR="00067A2D" w:rsidTr="00B6120D">
        <w:trPr>
          <w:trHeight w:val="175"/>
          <w:jc w:val="center"/>
        </w:trPr>
        <w:tc>
          <w:tcPr>
            <w:tcW w:w="6648" w:type="dxa"/>
          </w:tcPr>
          <w:p w:rsidR="00067A2D" w:rsidRDefault="005B464B" w:rsidP="00067A2D">
            <w:pPr>
              <w:spacing w:after="0" w:line="240" w:lineRule="auto"/>
            </w:pPr>
            <w:r>
              <w:t xml:space="preserve">A1: </w:t>
            </w:r>
            <w:r w:rsidR="00067A2D">
              <w:t>LEA (District) Enrollment</w:t>
            </w:r>
          </w:p>
        </w:tc>
        <w:tc>
          <w:tcPr>
            <w:tcW w:w="2857" w:type="dxa"/>
          </w:tcPr>
          <w:p w:rsidR="00067A2D" w:rsidRDefault="00067A2D" w:rsidP="00067A2D">
            <w:pPr>
              <w:spacing w:after="0" w:line="240" w:lineRule="auto"/>
            </w:pPr>
            <w:r>
              <w:t>900</w:t>
            </w:r>
          </w:p>
        </w:tc>
      </w:tr>
      <w:tr w:rsidR="00067A2D" w:rsidTr="00B6120D">
        <w:trPr>
          <w:trHeight w:val="175"/>
          <w:jc w:val="center"/>
        </w:trPr>
        <w:tc>
          <w:tcPr>
            <w:tcW w:w="6648" w:type="dxa"/>
          </w:tcPr>
          <w:p w:rsidR="00067A2D" w:rsidRDefault="00067A2D" w:rsidP="00067A2D">
            <w:pPr>
              <w:spacing w:after="0" w:line="240" w:lineRule="auto"/>
            </w:pPr>
            <w:r>
              <w:t>A2: Participating Private School Enrollment</w:t>
            </w:r>
          </w:p>
        </w:tc>
        <w:tc>
          <w:tcPr>
            <w:tcW w:w="2857" w:type="dxa"/>
          </w:tcPr>
          <w:p w:rsidR="00067A2D" w:rsidRDefault="00067A2D" w:rsidP="00067A2D">
            <w:pPr>
              <w:spacing w:after="0" w:line="240" w:lineRule="auto"/>
            </w:pPr>
            <w:r>
              <w:t>100</w:t>
            </w:r>
          </w:p>
        </w:tc>
      </w:tr>
      <w:tr w:rsidR="00067A2D" w:rsidTr="00B6120D">
        <w:trPr>
          <w:trHeight w:val="175"/>
          <w:jc w:val="center"/>
        </w:trPr>
        <w:tc>
          <w:tcPr>
            <w:tcW w:w="6648" w:type="dxa"/>
            <w:tcBorders>
              <w:bottom w:val="single" w:sz="4" w:space="0" w:color="000000"/>
            </w:tcBorders>
          </w:tcPr>
          <w:p w:rsidR="00067A2D" w:rsidRDefault="00067A2D" w:rsidP="00067A2D">
            <w:pPr>
              <w:spacing w:after="0" w:line="240" w:lineRule="auto"/>
            </w:pPr>
            <w:r>
              <w:t>A3: Total Enrollment</w:t>
            </w:r>
          </w:p>
        </w:tc>
        <w:tc>
          <w:tcPr>
            <w:tcW w:w="2857" w:type="dxa"/>
            <w:tcBorders>
              <w:bottom w:val="single" w:sz="4" w:space="0" w:color="000000"/>
            </w:tcBorders>
          </w:tcPr>
          <w:p w:rsidR="00067A2D" w:rsidRDefault="00067A2D" w:rsidP="00067A2D">
            <w:pPr>
              <w:spacing w:after="0" w:line="240" w:lineRule="auto"/>
            </w:pPr>
            <w:r>
              <w:t>1000</w:t>
            </w:r>
          </w:p>
        </w:tc>
      </w:tr>
      <w:tr w:rsidR="00067A2D" w:rsidTr="00B6120D">
        <w:trPr>
          <w:trHeight w:val="175"/>
          <w:jc w:val="center"/>
        </w:trPr>
        <w:tc>
          <w:tcPr>
            <w:tcW w:w="6648" w:type="dxa"/>
            <w:shd w:val="pct10" w:color="auto" w:fill="auto"/>
          </w:tcPr>
          <w:p w:rsidR="00067A2D" w:rsidRPr="005B464B" w:rsidRDefault="00067A2D" w:rsidP="00067A2D">
            <w:pPr>
              <w:spacing w:after="0" w:line="240" w:lineRule="auto"/>
              <w:rPr>
                <w:b/>
              </w:rPr>
            </w:pPr>
            <w:r w:rsidRPr="005B464B">
              <w:rPr>
                <w:b/>
              </w:rPr>
              <w:t>B. Allocation</w:t>
            </w:r>
          </w:p>
        </w:tc>
        <w:tc>
          <w:tcPr>
            <w:tcW w:w="2857" w:type="dxa"/>
            <w:shd w:val="pct10" w:color="auto" w:fill="auto"/>
          </w:tcPr>
          <w:p w:rsidR="00067A2D" w:rsidRDefault="00067A2D" w:rsidP="00067A2D">
            <w:pPr>
              <w:spacing w:after="0" w:line="240" w:lineRule="auto"/>
            </w:pPr>
          </w:p>
        </w:tc>
      </w:tr>
      <w:tr w:rsidR="00067A2D" w:rsidTr="00B6120D">
        <w:trPr>
          <w:trHeight w:val="175"/>
          <w:jc w:val="center"/>
        </w:trPr>
        <w:tc>
          <w:tcPr>
            <w:tcW w:w="6648" w:type="dxa"/>
          </w:tcPr>
          <w:p w:rsidR="00067A2D" w:rsidRDefault="00067A2D" w:rsidP="00067A2D">
            <w:pPr>
              <w:spacing w:after="0" w:line="240" w:lineRule="auto"/>
            </w:pPr>
            <w:r>
              <w:t>B1: Total LEA Allocation</w:t>
            </w:r>
          </w:p>
        </w:tc>
        <w:tc>
          <w:tcPr>
            <w:tcW w:w="2857" w:type="dxa"/>
          </w:tcPr>
          <w:p w:rsidR="00067A2D" w:rsidRDefault="00067A2D" w:rsidP="00067A2D">
            <w:pPr>
              <w:spacing w:after="0" w:line="240" w:lineRule="auto"/>
            </w:pPr>
            <w:r>
              <w:t>$1,000,000</w:t>
            </w:r>
          </w:p>
        </w:tc>
      </w:tr>
      <w:tr w:rsidR="00067A2D" w:rsidTr="00B6120D">
        <w:trPr>
          <w:trHeight w:val="175"/>
          <w:jc w:val="center"/>
        </w:trPr>
        <w:tc>
          <w:tcPr>
            <w:tcW w:w="6648" w:type="dxa"/>
          </w:tcPr>
          <w:p w:rsidR="00067A2D" w:rsidRDefault="00067A2D" w:rsidP="00925166">
            <w:pPr>
              <w:spacing w:after="0" w:line="240" w:lineRule="auto"/>
            </w:pPr>
            <w:r>
              <w:t xml:space="preserve">B2: </w:t>
            </w:r>
            <w:r w:rsidRPr="00067A2D">
              <w:t xml:space="preserve">Administrative Costs </w:t>
            </w:r>
          </w:p>
        </w:tc>
        <w:tc>
          <w:tcPr>
            <w:tcW w:w="2857" w:type="dxa"/>
          </w:tcPr>
          <w:p w:rsidR="00067A2D" w:rsidRDefault="00925166" w:rsidP="00067A2D">
            <w:pPr>
              <w:spacing w:after="0" w:line="240" w:lineRule="auto"/>
            </w:pPr>
            <w:r w:rsidRPr="00067A2D">
              <w:t>$50,000</w:t>
            </w:r>
          </w:p>
        </w:tc>
      </w:tr>
      <w:tr w:rsidR="00067A2D" w:rsidTr="00B6120D">
        <w:trPr>
          <w:trHeight w:val="350"/>
          <w:jc w:val="center"/>
        </w:trPr>
        <w:tc>
          <w:tcPr>
            <w:tcW w:w="6648" w:type="dxa"/>
            <w:tcBorders>
              <w:bottom w:val="single" w:sz="4" w:space="0" w:color="000000"/>
            </w:tcBorders>
          </w:tcPr>
          <w:p w:rsidR="00067A2D" w:rsidRDefault="00067A2D" w:rsidP="00067A2D">
            <w:pPr>
              <w:spacing w:after="0" w:line="240" w:lineRule="auto"/>
            </w:pPr>
            <w:r>
              <w:t>B3: LEA Allocation Minus Admin Costs</w:t>
            </w:r>
          </w:p>
        </w:tc>
        <w:tc>
          <w:tcPr>
            <w:tcW w:w="2857" w:type="dxa"/>
            <w:tcBorders>
              <w:bottom w:val="single" w:sz="4" w:space="0" w:color="000000"/>
            </w:tcBorders>
          </w:tcPr>
          <w:p w:rsidR="00067A2D" w:rsidRDefault="00925166" w:rsidP="00067A2D">
            <w:pPr>
              <w:spacing w:after="0" w:line="240" w:lineRule="auto"/>
            </w:pPr>
            <w:r>
              <w:t>(</w:t>
            </w:r>
            <w:r w:rsidR="00067A2D">
              <w:t>B1-B2</w:t>
            </w:r>
            <w:r>
              <w:t>)</w:t>
            </w:r>
            <w:r w:rsidR="00067A2D">
              <w:t xml:space="preserve"> $950,000</w:t>
            </w:r>
          </w:p>
        </w:tc>
      </w:tr>
      <w:tr w:rsidR="00067A2D" w:rsidTr="00B6120D">
        <w:trPr>
          <w:trHeight w:val="175"/>
          <w:jc w:val="center"/>
        </w:trPr>
        <w:tc>
          <w:tcPr>
            <w:tcW w:w="6648" w:type="dxa"/>
            <w:shd w:val="pct10" w:color="auto" w:fill="auto"/>
          </w:tcPr>
          <w:p w:rsidR="00067A2D" w:rsidRPr="005B464B" w:rsidRDefault="00067A2D" w:rsidP="00067A2D">
            <w:pPr>
              <w:spacing w:after="0" w:line="240" w:lineRule="auto"/>
              <w:rPr>
                <w:b/>
              </w:rPr>
            </w:pPr>
            <w:r w:rsidRPr="005B464B">
              <w:rPr>
                <w:b/>
              </w:rPr>
              <w:t>C. Per Pupil Rate</w:t>
            </w:r>
          </w:p>
        </w:tc>
        <w:tc>
          <w:tcPr>
            <w:tcW w:w="2857" w:type="dxa"/>
            <w:shd w:val="pct10" w:color="auto" w:fill="auto"/>
          </w:tcPr>
          <w:p w:rsidR="00067A2D" w:rsidRDefault="00067A2D" w:rsidP="00067A2D">
            <w:pPr>
              <w:spacing w:after="0" w:line="240" w:lineRule="auto"/>
            </w:pPr>
          </w:p>
        </w:tc>
      </w:tr>
      <w:tr w:rsidR="00067A2D" w:rsidTr="00B6120D">
        <w:trPr>
          <w:trHeight w:val="350"/>
          <w:jc w:val="center"/>
        </w:trPr>
        <w:tc>
          <w:tcPr>
            <w:tcW w:w="6648" w:type="dxa"/>
          </w:tcPr>
          <w:p w:rsidR="00067A2D" w:rsidRDefault="00067A2D" w:rsidP="00925166">
            <w:pPr>
              <w:spacing w:after="0" w:line="240" w:lineRule="auto"/>
            </w:pPr>
            <w:r>
              <w:t xml:space="preserve">C1: </w:t>
            </w:r>
            <w:r w:rsidR="00925166">
              <w:t xml:space="preserve">Per Pupil Rate </w:t>
            </w:r>
          </w:p>
        </w:tc>
        <w:tc>
          <w:tcPr>
            <w:tcW w:w="2857" w:type="dxa"/>
          </w:tcPr>
          <w:p w:rsidR="00067A2D" w:rsidRDefault="00925166" w:rsidP="00067A2D">
            <w:pPr>
              <w:spacing w:after="0" w:line="240" w:lineRule="auto"/>
            </w:pPr>
            <w:r>
              <w:t xml:space="preserve">(B3 divided by A3) </w:t>
            </w:r>
            <w:r w:rsidR="005B464B">
              <w:t>$950</w:t>
            </w:r>
          </w:p>
        </w:tc>
      </w:tr>
      <w:tr w:rsidR="00067A2D" w:rsidTr="00777BBB">
        <w:trPr>
          <w:trHeight w:val="485"/>
          <w:jc w:val="center"/>
        </w:trPr>
        <w:tc>
          <w:tcPr>
            <w:tcW w:w="6648" w:type="dxa"/>
          </w:tcPr>
          <w:p w:rsidR="00067A2D" w:rsidRDefault="005B464B" w:rsidP="00067A2D">
            <w:pPr>
              <w:spacing w:after="0" w:line="240" w:lineRule="auto"/>
            </w:pPr>
            <w:r w:rsidRPr="005B464B">
              <w:t>Equitable Services Amount LEA must reserve for equitable services for private school teachers and other educational personnel</w:t>
            </w:r>
          </w:p>
        </w:tc>
        <w:tc>
          <w:tcPr>
            <w:tcW w:w="2857" w:type="dxa"/>
          </w:tcPr>
          <w:p w:rsidR="00067A2D" w:rsidRDefault="005B464B" w:rsidP="00777BBB">
            <w:pPr>
              <w:autoSpaceDE w:val="0"/>
              <w:autoSpaceDN w:val="0"/>
              <w:adjustRightInd w:val="0"/>
              <w:spacing w:before="120" w:after="120"/>
            </w:pPr>
            <w:r>
              <w:t>$95,000</w:t>
            </w:r>
          </w:p>
        </w:tc>
      </w:tr>
    </w:tbl>
    <w:p w:rsidR="00B81ACE" w:rsidRDefault="00B81ACE" w:rsidP="00B81ACE">
      <w:pPr>
        <w:autoSpaceDE w:val="0"/>
        <w:autoSpaceDN w:val="0"/>
        <w:adjustRightInd w:val="0"/>
        <w:spacing w:before="120" w:after="120"/>
      </w:pPr>
    </w:p>
    <w:sectPr w:rsidR="00B81ACE" w:rsidSect="00FA3D90">
      <w:headerReference w:type="default" r:id="rId13"/>
      <w:footerReference w:type="default" r:id="rId14"/>
      <w:pgSz w:w="12240" w:h="15840"/>
      <w:pgMar w:top="-1530" w:right="1008" w:bottom="270" w:left="1008" w:header="720" w:footer="5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BCD" w:rsidRDefault="00227BCD" w:rsidP="0066778E">
      <w:r>
        <w:separator/>
      </w:r>
    </w:p>
  </w:endnote>
  <w:endnote w:type="continuationSeparator" w:id="0">
    <w:p w:rsidR="00227BCD" w:rsidRDefault="00227BCD" w:rsidP="006677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790" w:type="dxa"/>
      <w:tblInd w:w="-702" w:type="dxa"/>
      <w:shd w:val="clear" w:color="auto" w:fill="B8CCE4"/>
      <w:tblLook w:val="04A0"/>
    </w:tblPr>
    <w:tblGrid>
      <w:gridCol w:w="11790"/>
    </w:tblGrid>
    <w:tr w:rsidR="005B464B" w:rsidRPr="0007119B" w:rsidTr="0007119B">
      <w:tc>
        <w:tcPr>
          <w:tcW w:w="11790" w:type="dxa"/>
          <w:shd w:val="clear" w:color="auto" w:fill="B8CCE4"/>
        </w:tcPr>
        <w:p w:rsidR="005B464B" w:rsidRPr="00145E7C" w:rsidRDefault="005B464B" w:rsidP="00B6120D">
          <w:pPr>
            <w:pStyle w:val="Footer"/>
            <w:spacing w:before="120" w:after="120"/>
            <w:jc w:val="center"/>
          </w:pPr>
          <w:r w:rsidRPr="00145E7C">
            <w:t>To offer suggestions, pose questions, or receive updates</w:t>
          </w:r>
          <w:r>
            <w:t>,</w:t>
          </w:r>
          <w:r w:rsidRPr="00145E7C">
            <w:t xml:space="preserve"> please email </w:t>
          </w:r>
          <w:hyperlink r:id="rId1" w:history="1">
            <w:r w:rsidR="00B6120D" w:rsidRPr="00724D87">
              <w:rPr>
                <w:rStyle w:val="Hyperlink"/>
                <w:sz w:val="18"/>
                <w:szCs w:val="18"/>
              </w:rPr>
              <w:t>TitleIIAGrants@doe.mass.edu</w:t>
            </w:r>
          </w:hyperlink>
          <w:r w:rsidRPr="00145E7C">
            <w:t>.</w:t>
          </w:r>
        </w:p>
      </w:tc>
    </w:tr>
  </w:tbl>
  <w:p w:rsidR="005B464B" w:rsidRDefault="005B464B" w:rsidP="00906BE3">
    <w:pPr>
      <w:spacing w:before="120" w:after="120"/>
    </w:pPr>
    <w:r>
      <w:t xml:space="preserve">Page </w:t>
    </w:r>
    <w:fldSimple w:instr=" PAGE ">
      <w:r w:rsidR="00DF6DFB">
        <w:rPr>
          <w:noProof/>
        </w:rPr>
        <w:t>1</w:t>
      </w:r>
    </w:fldSimple>
    <w:r>
      <w:t xml:space="preserve"> of </w:t>
    </w:r>
    <w:fldSimple w:instr=" NUMPAGES  ">
      <w:r w:rsidR="00DF6DFB">
        <w:rPr>
          <w:noProof/>
        </w:rPr>
        <w:t>1</w:t>
      </w:r>
    </w:fldSimple>
    <w:r>
      <w:t xml:space="preserve">                                                                                                                                          </w:t>
    </w:r>
    <w:r w:rsidR="00DF6CE7">
      <w:t>July</w:t>
    </w:r>
    <w:r w:rsidR="00B6120D">
      <w:t xml:space="preserve">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BCD" w:rsidRDefault="00227BCD" w:rsidP="0066778E">
      <w:r>
        <w:separator/>
      </w:r>
    </w:p>
  </w:footnote>
  <w:footnote w:type="continuationSeparator" w:id="0">
    <w:p w:rsidR="00227BCD" w:rsidRDefault="00227BCD" w:rsidP="0066778E">
      <w:r>
        <w:continuationSeparator/>
      </w:r>
    </w:p>
  </w:footnote>
  <w:footnote w:id="1">
    <w:p w:rsidR="00F140BD" w:rsidRDefault="00F140BD">
      <w:pPr>
        <w:pStyle w:val="FootnoteText"/>
      </w:pPr>
      <w:r>
        <w:rPr>
          <w:rStyle w:val="FootnoteReference"/>
        </w:rPr>
        <w:footnoteRef/>
      </w:r>
      <w:r>
        <w:t xml:space="preserve"> </w:t>
      </w:r>
      <w:hyperlink r:id="rId1" w:history="1">
        <w:r>
          <w:rPr>
            <w:rStyle w:val="Hyperlink"/>
            <w:rFonts w:cs="Arial"/>
          </w:rPr>
          <w:t>Equitable Services Requirements in ESSA</w:t>
        </w:r>
      </w:hyperlink>
      <w:r>
        <w:t>, US Department of Education, Nov. 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64B" w:rsidRDefault="005B464B" w:rsidP="00B81ACE">
    <w:pPr>
      <w:pStyle w:val="Heading1"/>
      <w:tabs>
        <w:tab w:val="left" w:pos="4140"/>
      </w:tabs>
      <w:spacing w:before="0" w:after="0" w:line="240" w:lineRule="auto"/>
      <w:jc w:val="right"/>
      <w:rPr>
        <w:noProof/>
      </w:rPr>
    </w:pPr>
    <w:r w:rsidRPr="00B81ACE">
      <w:rPr>
        <w:noProof/>
        <w:lang w:eastAsia="zh-CN"/>
      </w:rPr>
      <w:drawing>
        <wp:inline distT="0" distB="0" distL="0" distR="0">
          <wp:extent cx="310265" cy="278790"/>
          <wp:effectExtent l="0" t="0" r="0" b="0"/>
          <wp:docPr id="23" name="Picture 16" descr="Light bulb: Promote educator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ns-02.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0265" cy="278790"/>
                  </a:xfrm>
                  <a:prstGeom prst="rect">
                    <a:avLst/>
                  </a:prstGeom>
                </pic:spPr>
              </pic:pic>
            </a:graphicData>
          </a:graphic>
        </wp:inline>
      </w:drawing>
    </w:r>
    <w:r w:rsidRPr="00B81ACE">
      <w:rPr>
        <w:smallCaps/>
        <w:color w:val="1F497D" w:themeColor="text2"/>
        <w:sz w:val="20"/>
        <w:szCs w:val="20"/>
      </w:rPr>
      <w:t xml:space="preserve"> Educator Development</w:t>
    </w:r>
    <w:r>
      <w:rPr>
        <w:noProof/>
      </w:rPr>
      <w:t xml:space="preserve"> </w:t>
    </w:r>
  </w:p>
  <w:p w:rsidR="005B464B" w:rsidRDefault="005B464B" w:rsidP="00B81ACE">
    <w:pPr>
      <w:pStyle w:val="Heading1"/>
      <w:tabs>
        <w:tab w:val="left" w:pos="4140"/>
      </w:tabs>
      <w:spacing w:before="0" w:after="0" w:line="240" w:lineRule="auto"/>
    </w:pPr>
    <w:r>
      <w:rPr>
        <w:noProof/>
        <w:lang w:eastAsia="zh-CN"/>
      </w:rPr>
      <w:drawing>
        <wp:anchor distT="0" distB="0" distL="114300" distR="114300" simplePos="0" relativeHeight="251657216" behindDoc="0" locked="0" layoutInCell="1" allowOverlap="1">
          <wp:simplePos x="0" y="0"/>
          <wp:positionH relativeFrom="column">
            <wp:posOffset>-257810</wp:posOffset>
          </wp:positionH>
          <wp:positionV relativeFrom="paragraph">
            <wp:posOffset>-255270</wp:posOffset>
          </wp:positionV>
          <wp:extent cx="1099185" cy="520700"/>
          <wp:effectExtent l="19050" t="0" r="5715" b="0"/>
          <wp:wrapSquare wrapText="bothSides"/>
          <wp:docPr id="1"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2"/>
                  <a:srcRect/>
                  <a:stretch>
                    <a:fillRect/>
                  </a:stretch>
                </pic:blipFill>
                <pic:spPr bwMode="auto">
                  <a:xfrm>
                    <a:off x="0" y="0"/>
                    <a:ext cx="1099185" cy="520700"/>
                  </a:xfrm>
                  <a:prstGeom prst="rect">
                    <a:avLst/>
                  </a:prstGeom>
                  <a:noFill/>
                  <a:ln w="9525">
                    <a:noFill/>
                    <a:miter lim="800000"/>
                    <a:headEnd/>
                    <a:tailEnd/>
                  </a:ln>
                </pic:spPr>
              </pic:pic>
            </a:graphicData>
          </a:graphic>
        </wp:anchor>
      </w:drawing>
    </w:r>
  </w:p>
  <w:p w:rsidR="005B464B" w:rsidRPr="00F71E79" w:rsidRDefault="005B464B" w:rsidP="00B6120D">
    <w:pPr>
      <w:pStyle w:val="Heading1"/>
      <w:spacing w:before="0" w:after="0" w:line="240" w:lineRule="auto"/>
      <w:jc w:val="center"/>
    </w:pPr>
    <w:r>
      <w:t xml:space="preserve">Equitable Services to Private Schools </w:t>
    </w:r>
    <w:r>
      <w:br/>
      <w:t>under Title II, Part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7E7F"/>
    <w:multiLevelType w:val="hybridMultilevel"/>
    <w:tmpl w:val="F9224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678F7"/>
    <w:multiLevelType w:val="hybridMultilevel"/>
    <w:tmpl w:val="C9D22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58A2C76"/>
    <w:multiLevelType w:val="hybridMultilevel"/>
    <w:tmpl w:val="BAC00A8A"/>
    <w:lvl w:ilvl="0" w:tplc="0409000F">
      <w:start w:val="1"/>
      <w:numFmt w:val="decimal"/>
      <w:lvlText w:val="%1."/>
      <w:lvlJc w:val="left"/>
      <w:pPr>
        <w:ind w:left="720" w:hanging="360"/>
      </w:pPr>
      <w:rPr>
        <w:rFont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AE135C"/>
    <w:multiLevelType w:val="hybridMultilevel"/>
    <w:tmpl w:val="DB10B7A6"/>
    <w:lvl w:ilvl="0" w:tplc="04090013">
      <w:start w:val="1"/>
      <w:numFmt w:val="bullet"/>
      <w:lvlText w:val=""/>
      <w:lvlJc w:val="left"/>
      <w:pPr>
        <w:ind w:left="360" w:hanging="360"/>
      </w:pPr>
      <w:rPr>
        <w:rFonts w:ascii="Wingdings" w:hAnsi="Wingdings" w:hint="default"/>
        <w:b w:val="0"/>
        <w:i w:val="0"/>
        <w:color w:val="E15D15"/>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D63E1F"/>
    <w:multiLevelType w:val="hybridMultilevel"/>
    <w:tmpl w:val="5608EC0E"/>
    <w:lvl w:ilvl="0" w:tplc="AF70F6EA">
      <w:start w:val="1"/>
      <w:numFmt w:val="bullet"/>
      <w:pStyle w:val="Bullet1"/>
      <w:lvlText w:val=""/>
      <w:lvlJc w:val="left"/>
      <w:pPr>
        <w:ind w:left="360" w:hanging="360"/>
      </w:pPr>
      <w:rPr>
        <w:rFonts w:ascii="Wingdings" w:hAnsi="Wingdings" w:hint="default"/>
        <w:b w:val="0"/>
        <w:i w:val="0"/>
        <w:color w:val="E15D15"/>
        <w:sz w:val="24"/>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6F45D9"/>
    <w:multiLevelType w:val="hybridMultilevel"/>
    <w:tmpl w:val="C1D24168"/>
    <w:lvl w:ilvl="0" w:tplc="04090013">
      <w:start w:val="1"/>
      <w:numFmt w:val="bullet"/>
      <w:lvlText w:val=""/>
      <w:lvlJc w:val="left"/>
      <w:pPr>
        <w:ind w:left="360" w:hanging="360"/>
      </w:pPr>
      <w:rPr>
        <w:rFonts w:ascii="Wingdings" w:hAnsi="Wingdings" w:hint="default"/>
        <w:b w:val="0"/>
        <w:i w:val="0"/>
        <w:color w:val="E15D15"/>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E066DE"/>
    <w:multiLevelType w:val="multilevel"/>
    <w:tmpl w:val="EA5C5D14"/>
    <w:styleLink w:val="Bullet10"/>
    <w:lvl w:ilvl="0">
      <w:start w:val="1"/>
      <w:numFmt w:val="bullet"/>
      <w:lvlText w:val=""/>
      <w:lvlJc w:val="left"/>
      <w:pPr>
        <w:ind w:left="1080" w:hanging="360"/>
      </w:pPr>
      <w:rPr>
        <w:rFonts w:ascii="Wingdings" w:hAnsi="Wingdings" w:hint="default"/>
        <w:b/>
        <w:i w:val="0"/>
        <w:color w:val="E28521"/>
        <w:sz w:val="32"/>
      </w:rPr>
    </w:lvl>
    <w:lvl w:ilvl="1">
      <w:start w:val="1"/>
      <w:numFmt w:val="bullet"/>
      <w:lvlText w:val=""/>
      <w:lvlJc w:val="left"/>
      <w:pPr>
        <w:ind w:left="1440" w:hanging="360"/>
      </w:pPr>
      <w:rPr>
        <w:rFonts w:ascii="Wingdings" w:hAnsi="Wingdings" w:hint="default"/>
        <w:color w:val="E28521"/>
      </w:rPr>
    </w:lvl>
    <w:lvl w:ilvl="2">
      <w:start w:val="1"/>
      <w:numFmt w:val="bullet"/>
      <w:lvlText w:val=""/>
      <w:lvlJc w:val="left"/>
      <w:pPr>
        <w:ind w:left="1800" w:hanging="360"/>
      </w:pPr>
      <w:rPr>
        <w:rFonts w:ascii="Wingdings" w:hAnsi="Wingdings" w:hint="default"/>
        <w:color w:val="E28521"/>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Aria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Arial" w:hint="default"/>
      </w:rPr>
    </w:lvl>
    <w:lvl w:ilvl="8">
      <w:start w:val="1"/>
      <w:numFmt w:val="bullet"/>
      <w:lvlText w:val=""/>
      <w:lvlJc w:val="left"/>
      <w:pPr>
        <w:ind w:left="6120" w:hanging="360"/>
      </w:pPr>
      <w:rPr>
        <w:rFonts w:ascii="Wingdings" w:hAnsi="Wingdings" w:hint="default"/>
      </w:rPr>
    </w:lvl>
  </w:abstractNum>
  <w:abstractNum w:abstractNumId="7">
    <w:nsid w:val="0F1E341E"/>
    <w:multiLevelType w:val="singleLevel"/>
    <w:tmpl w:val="3A8C7E4C"/>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8">
    <w:nsid w:val="15A92205"/>
    <w:multiLevelType w:val="hybridMultilevel"/>
    <w:tmpl w:val="A764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6933E66"/>
    <w:multiLevelType w:val="hybridMultilevel"/>
    <w:tmpl w:val="2B2C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A91EE4"/>
    <w:multiLevelType w:val="hybridMultilevel"/>
    <w:tmpl w:val="9094131C"/>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817FDA"/>
    <w:multiLevelType w:val="hybridMultilevel"/>
    <w:tmpl w:val="39D4C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A987E41"/>
    <w:multiLevelType w:val="hybridMultilevel"/>
    <w:tmpl w:val="D1007320"/>
    <w:lvl w:ilvl="0" w:tplc="35FC5082">
      <w:start w:val="1"/>
      <w:numFmt w:val="bullet"/>
      <w:lvlText w:val=""/>
      <w:lvlJc w:val="left"/>
      <w:pPr>
        <w:tabs>
          <w:tab w:val="num" w:pos="720"/>
        </w:tabs>
        <w:ind w:left="720" w:hanging="360"/>
      </w:pPr>
      <w:rPr>
        <w:rFonts w:ascii="Wingdings 2" w:hAnsi="Wingdings 2" w:hint="default"/>
      </w:rPr>
    </w:lvl>
    <w:lvl w:ilvl="1" w:tplc="1D825D2E" w:tentative="1">
      <w:start w:val="1"/>
      <w:numFmt w:val="bullet"/>
      <w:lvlText w:val=""/>
      <w:lvlJc w:val="left"/>
      <w:pPr>
        <w:tabs>
          <w:tab w:val="num" w:pos="1440"/>
        </w:tabs>
        <w:ind w:left="1440" w:hanging="360"/>
      </w:pPr>
      <w:rPr>
        <w:rFonts w:ascii="Wingdings 2" w:hAnsi="Wingdings 2" w:hint="default"/>
      </w:rPr>
    </w:lvl>
    <w:lvl w:ilvl="2" w:tplc="185E3EF8" w:tentative="1">
      <w:start w:val="1"/>
      <w:numFmt w:val="bullet"/>
      <w:lvlText w:val=""/>
      <w:lvlJc w:val="left"/>
      <w:pPr>
        <w:tabs>
          <w:tab w:val="num" w:pos="2160"/>
        </w:tabs>
        <w:ind w:left="2160" w:hanging="360"/>
      </w:pPr>
      <w:rPr>
        <w:rFonts w:ascii="Wingdings 2" w:hAnsi="Wingdings 2" w:hint="default"/>
      </w:rPr>
    </w:lvl>
    <w:lvl w:ilvl="3" w:tplc="3E245ED4" w:tentative="1">
      <w:start w:val="1"/>
      <w:numFmt w:val="bullet"/>
      <w:lvlText w:val=""/>
      <w:lvlJc w:val="left"/>
      <w:pPr>
        <w:tabs>
          <w:tab w:val="num" w:pos="2880"/>
        </w:tabs>
        <w:ind w:left="2880" w:hanging="360"/>
      </w:pPr>
      <w:rPr>
        <w:rFonts w:ascii="Wingdings 2" w:hAnsi="Wingdings 2" w:hint="default"/>
      </w:rPr>
    </w:lvl>
    <w:lvl w:ilvl="4" w:tplc="735401A8" w:tentative="1">
      <w:start w:val="1"/>
      <w:numFmt w:val="bullet"/>
      <w:lvlText w:val=""/>
      <w:lvlJc w:val="left"/>
      <w:pPr>
        <w:tabs>
          <w:tab w:val="num" w:pos="3600"/>
        </w:tabs>
        <w:ind w:left="3600" w:hanging="360"/>
      </w:pPr>
      <w:rPr>
        <w:rFonts w:ascii="Wingdings 2" w:hAnsi="Wingdings 2" w:hint="default"/>
      </w:rPr>
    </w:lvl>
    <w:lvl w:ilvl="5" w:tplc="EF3679B0" w:tentative="1">
      <w:start w:val="1"/>
      <w:numFmt w:val="bullet"/>
      <w:lvlText w:val=""/>
      <w:lvlJc w:val="left"/>
      <w:pPr>
        <w:tabs>
          <w:tab w:val="num" w:pos="4320"/>
        </w:tabs>
        <w:ind w:left="4320" w:hanging="360"/>
      </w:pPr>
      <w:rPr>
        <w:rFonts w:ascii="Wingdings 2" w:hAnsi="Wingdings 2" w:hint="default"/>
      </w:rPr>
    </w:lvl>
    <w:lvl w:ilvl="6" w:tplc="BC08FBB0" w:tentative="1">
      <w:start w:val="1"/>
      <w:numFmt w:val="bullet"/>
      <w:lvlText w:val=""/>
      <w:lvlJc w:val="left"/>
      <w:pPr>
        <w:tabs>
          <w:tab w:val="num" w:pos="5040"/>
        </w:tabs>
        <w:ind w:left="5040" w:hanging="360"/>
      </w:pPr>
      <w:rPr>
        <w:rFonts w:ascii="Wingdings 2" w:hAnsi="Wingdings 2" w:hint="default"/>
      </w:rPr>
    </w:lvl>
    <w:lvl w:ilvl="7" w:tplc="3C6C68C6" w:tentative="1">
      <w:start w:val="1"/>
      <w:numFmt w:val="bullet"/>
      <w:lvlText w:val=""/>
      <w:lvlJc w:val="left"/>
      <w:pPr>
        <w:tabs>
          <w:tab w:val="num" w:pos="5760"/>
        </w:tabs>
        <w:ind w:left="5760" w:hanging="360"/>
      </w:pPr>
      <w:rPr>
        <w:rFonts w:ascii="Wingdings 2" w:hAnsi="Wingdings 2" w:hint="default"/>
      </w:rPr>
    </w:lvl>
    <w:lvl w:ilvl="8" w:tplc="CB229048" w:tentative="1">
      <w:start w:val="1"/>
      <w:numFmt w:val="bullet"/>
      <w:lvlText w:val=""/>
      <w:lvlJc w:val="left"/>
      <w:pPr>
        <w:tabs>
          <w:tab w:val="num" w:pos="6480"/>
        </w:tabs>
        <w:ind w:left="6480" w:hanging="360"/>
      </w:pPr>
      <w:rPr>
        <w:rFonts w:ascii="Wingdings 2" w:hAnsi="Wingdings 2" w:hint="default"/>
      </w:rPr>
    </w:lvl>
  </w:abstractNum>
  <w:abstractNum w:abstractNumId="14">
    <w:nsid w:val="1D0874B8"/>
    <w:multiLevelType w:val="hybridMultilevel"/>
    <w:tmpl w:val="19B23924"/>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F46127"/>
    <w:multiLevelType w:val="hybridMultilevel"/>
    <w:tmpl w:val="D44AC514"/>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6">
    <w:nsid w:val="217E2144"/>
    <w:multiLevelType w:val="hybridMultilevel"/>
    <w:tmpl w:val="C42EC96A"/>
    <w:lvl w:ilvl="0" w:tplc="77B00DCC">
      <w:start w:val="1"/>
      <w:numFmt w:val="bullet"/>
      <w:lvlText w:val=""/>
      <w:lvlJc w:val="left"/>
      <w:pPr>
        <w:tabs>
          <w:tab w:val="num" w:pos="720"/>
        </w:tabs>
        <w:ind w:left="720" w:hanging="360"/>
      </w:pPr>
      <w:rPr>
        <w:rFonts w:ascii="Wingdings 2" w:hAnsi="Wingdings 2" w:hint="default"/>
      </w:rPr>
    </w:lvl>
    <w:lvl w:ilvl="1" w:tplc="9F840374" w:tentative="1">
      <w:start w:val="1"/>
      <w:numFmt w:val="bullet"/>
      <w:lvlText w:val=""/>
      <w:lvlJc w:val="left"/>
      <w:pPr>
        <w:tabs>
          <w:tab w:val="num" w:pos="1440"/>
        </w:tabs>
        <w:ind w:left="1440" w:hanging="360"/>
      </w:pPr>
      <w:rPr>
        <w:rFonts w:ascii="Wingdings 2" w:hAnsi="Wingdings 2" w:hint="default"/>
      </w:rPr>
    </w:lvl>
    <w:lvl w:ilvl="2" w:tplc="DDE89626" w:tentative="1">
      <w:start w:val="1"/>
      <w:numFmt w:val="bullet"/>
      <w:lvlText w:val=""/>
      <w:lvlJc w:val="left"/>
      <w:pPr>
        <w:tabs>
          <w:tab w:val="num" w:pos="2160"/>
        </w:tabs>
        <w:ind w:left="2160" w:hanging="360"/>
      </w:pPr>
      <w:rPr>
        <w:rFonts w:ascii="Wingdings 2" w:hAnsi="Wingdings 2" w:hint="default"/>
      </w:rPr>
    </w:lvl>
    <w:lvl w:ilvl="3" w:tplc="9FE6A6A4" w:tentative="1">
      <w:start w:val="1"/>
      <w:numFmt w:val="bullet"/>
      <w:lvlText w:val=""/>
      <w:lvlJc w:val="left"/>
      <w:pPr>
        <w:tabs>
          <w:tab w:val="num" w:pos="2880"/>
        </w:tabs>
        <w:ind w:left="2880" w:hanging="360"/>
      </w:pPr>
      <w:rPr>
        <w:rFonts w:ascii="Wingdings 2" w:hAnsi="Wingdings 2" w:hint="default"/>
      </w:rPr>
    </w:lvl>
    <w:lvl w:ilvl="4" w:tplc="6AEE87F4" w:tentative="1">
      <w:start w:val="1"/>
      <w:numFmt w:val="bullet"/>
      <w:lvlText w:val=""/>
      <w:lvlJc w:val="left"/>
      <w:pPr>
        <w:tabs>
          <w:tab w:val="num" w:pos="3600"/>
        </w:tabs>
        <w:ind w:left="3600" w:hanging="360"/>
      </w:pPr>
      <w:rPr>
        <w:rFonts w:ascii="Wingdings 2" w:hAnsi="Wingdings 2" w:hint="default"/>
      </w:rPr>
    </w:lvl>
    <w:lvl w:ilvl="5" w:tplc="237EE4C0" w:tentative="1">
      <w:start w:val="1"/>
      <w:numFmt w:val="bullet"/>
      <w:lvlText w:val=""/>
      <w:lvlJc w:val="left"/>
      <w:pPr>
        <w:tabs>
          <w:tab w:val="num" w:pos="4320"/>
        </w:tabs>
        <w:ind w:left="4320" w:hanging="360"/>
      </w:pPr>
      <w:rPr>
        <w:rFonts w:ascii="Wingdings 2" w:hAnsi="Wingdings 2" w:hint="default"/>
      </w:rPr>
    </w:lvl>
    <w:lvl w:ilvl="6" w:tplc="4732CD38" w:tentative="1">
      <w:start w:val="1"/>
      <w:numFmt w:val="bullet"/>
      <w:lvlText w:val=""/>
      <w:lvlJc w:val="left"/>
      <w:pPr>
        <w:tabs>
          <w:tab w:val="num" w:pos="5040"/>
        </w:tabs>
        <w:ind w:left="5040" w:hanging="360"/>
      </w:pPr>
      <w:rPr>
        <w:rFonts w:ascii="Wingdings 2" w:hAnsi="Wingdings 2" w:hint="default"/>
      </w:rPr>
    </w:lvl>
    <w:lvl w:ilvl="7" w:tplc="8ABCF37C" w:tentative="1">
      <w:start w:val="1"/>
      <w:numFmt w:val="bullet"/>
      <w:lvlText w:val=""/>
      <w:lvlJc w:val="left"/>
      <w:pPr>
        <w:tabs>
          <w:tab w:val="num" w:pos="5760"/>
        </w:tabs>
        <w:ind w:left="5760" w:hanging="360"/>
      </w:pPr>
      <w:rPr>
        <w:rFonts w:ascii="Wingdings 2" w:hAnsi="Wingdings 2" w:hint="default"/>
      </w:rPr>
    </w:lvl>
    <w:lvl w:ilvl="8" w:tplc="601EEFA2" w:tentative="1">
      <w:start w:val="1"/>
      <w:numFmt w:val="bullet"/>
      <w:lvlText w:val=""/>
      <w:lvlJc w:val="left"/>
      <w:pPr>
        <w:tabs>
          <w:tab w:val="num" w:pos="6480"/>
        </w:tabs>
        <w:ind w:left="6480" w:hanging="360"/>
      </w:pPr>
      <w:rPr>
        <w:rFonts w:ascii="Wingdings 2" w:hAnsi="Wingdings 2" w:hint="default"/>
      </w:rPr>
    </w:lvl>
  </w:abstractNum>
  <w:abstractNum w:abstractNumId="17">
    <w:nsid w:val="295C647C"/>
    <w:multiLevelType w:val="hybridMultilevel"/>
    <w:tmpl w:val="EB605470"/>
    <w:lvl w:ilvl="0" w:tplc="A510DE6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FA21D1"/>
    <w:multiLevelType w:val="multilevel"/>
    <w:tmpl w:val="F3EE9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6941B0"/>
    <w:multiLevelType w:val="hybridMultilevel"/>
    <w:tmpl w:val="5250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EE19CF"/>
    <w:multiLevelType w:val="hybridMultilevel"/>
    <w:tmpl w:val="839A14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35D2415"/>
    <w:multiLevelType w:val="hybridMultilevel"/>
    <w:tmpl w:val="EC58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A025F1"/>
    <w:multiLevelType w:val="hybridMultilevel"/>
    <w:tmpl w:val="B576E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FA6260"/>
    <w:multiLevelType w:val="multilevel"/>
    <w:tmpl w:val="B198A4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95106B9"/>
    <w:multiLevelType w:val="hybridMultilevel"/>
    <w:tmpl w:val="0D3E5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9D970F0"/>
    <w:multiLevelType w:val="hybridMultilevel"/>
    <w:tmpl w:val="DC74D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A2010D7"/>
    <w:multiLevelType w:val="hybridMultilevel"/>
    <w:tmpl w:val="9AE6E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CCB05B4"/>
    <w:multiLevelType w:val="hybridMultilevel"/>
    <w:tmpl w:val="FAA2D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197361"/>
    <w:multiLevelType w:val="hybridMultilevel"/>
    <w:tmpl w:val="40CE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715A27"/>
    <w:multiLevelType w:val="hybridMultilevel"/>
    <w:tmpl w:val="A828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C16A4D"/>
    <w:multiLevelType w:val="hybridMultilevel"/>
    <w:tmpl w:val="CE3A13CE"/>
    <w:lvl w:ilvl="0" w:tplc="45EA9288">
      <w:start w:val="1"/>
      <w:numFmt w:val="decimal"/>
      <w:lvlText w:val="%1."/>
      <w:lvlJc w:val="left"/>
      <w:pPr>
        <w:ind w:left="720" w:hanging="360"/>
      </w:pPr>
      <w:rPr>
        <w:rFonts w:ascii="Calibri" w:eastAsia="Calibri"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5333A2"/>
    <w:multiLevelType w:val="hybridMultilevel"/>
    <w:tmpl w:val="C4A8D814"/>
    <w:lvl w:ilvl="0" w:tplc="B674F03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nsid w:val="457B38E4"/>
    <w:multiLevelType w:val="hybridMultilevel"/>
    <w:tmpl w:val="75C8DF9A"/>
    <w:lvl w:ilvl="0" w:tplc="A8AA1C16">
      <w:start w:val="1"/>
      <w:numFmt w:val="bullet"/>
      <w:lvlText w:val=""/>
      <w:lvlJc w:val="left"/>
      <w:pPr>
        <w:tabs>
          <w:tab w:val="num" w:pos="720"/>
        </w:tabs>
        <w:ind w:left="720" w:hanging="360"/>
      </w:pPr>
      <w:rPr>
        <w:rFonts w:ascii="Wingdings 2" w:hAnsi="Wingdings 2" w:hint="default"/>
      </w:rPr>
    </w:lvl>
    <w:lvl w:ilvl="1" w:tplc="F9BC5378" w:tentative="1">
      <w:start w:val="1"/>
      <w:numFmt w:val="bullet"/>
      <w:lvlText w:val=""/>
      <w:lvlJc w:val="left"/>
      <w:pPr>
        <w:tabs>
          <w:tab w:val="num" w:pos="1440"/>
        </w:tabs>
        <w:ind w:left="1440" w:hanging="360"/>
      </w:pPr>
      <w:rPr>
        <w:rFonts w:ascii="Wingdings 2" w:hAnsi="Wingdings 2" w:hint="default"/>
      </w:rPr>
    </w:lvl>
    <w:lvl w:ilvl="2" w:tplc="9AAE7C4C" w:tentative="1">
      <w:start w:val="1"/>
      <w:numFmt w:val="bullet"/>
      <w:lvlText w:val=""/>
      <w:lvlJc w:val="left"/>
      <w:pPr>
        <w:tabs>
          <w:tab w:val="num" w:pos="2160"/>
        </w:tabs>
        <w:ind w:left="2160" w:hanging="360"/>
      </w:pPr>
      <w:rPr>
        <w:rFonts w:ascii="Wingdings 2" w:hAnsi="Wingdings 2" w:hint="default"/>
      </w:rPr>
    </w:lvl>
    <w:lvl w:ilvl="3" w:tplc="FD82F522" w:tentative="1">
      <w:start w:val="1"/>
      <w:numFmt w:val="bullet"/>
      <w:lvlText w:val=""/>
      <w:lvlJc w:val="left"/>
      <w:pPr>
        <w:tabs>
          <w:tab w:val="num" w:pos="2880"/>
        </w:tabs>
        <w:ind w:left="2880" w:hanging="360"/>
      </w:pPr>
      <w:rPr>
        <w:rFonts w:ascii="Wingdings 2" w:hAnsi="Wingdings 2" w:hint="default"/>
      </w:rPr>
    </w:lvl>
    <w:lvl w:ilvl="4" w:tplc="B5D8B0F8" w:tentative="1">
      <w:start w:val="1"/>
      <w:numFmt w:val="bullet"/>
      <w:lvlText w:val=""/>
      <w:lvlJc w:val="left"/>
      <w:pPr>
        <w:tabs>
          <w:tab w:val="num" w:pos="3600"/>
        </w:tabs>
        <w:ind w:left="3600" w:hanging="360"/>
      </w:pPr>
      <w:rPr>
        <w:rFonts w:ascii="Wingdings 2" w:hAnsi="Wingdings 2" w:hint="default"/>
      </w:rPr>
    </w:lvl>
    <w:lvl w:ilvl="5" w:tplc="CFBA87F0" w:tentative="1">
      <w:start w:val="1"/>
      <w:numFmt w:val="bullet"/>
      <w:lvlText w:val=""/>
      <w:lvlJc w:val="left"/>
      <w:pPr>
        <w:tabs>
          <w:tab w:val="num" w:pos="4320"/>
        </w:tabs>
        <w:ind w:left="4320" w:hanging="360"/>
      </w:pPr>
      <w:rPr>
        <w:rFonts w:ascii="Wingdings 2" w:hAnsi="Wingdings 2" w:hint="default"/>
      </w:rPr>
    </w:lvl>
    <w:lvl w:ilvl="6" w:tplc="91D2940E" w:tentative="1">
      <w:start w:val="1"/>
      <w:numFmt w:val="bullet"/>
      <w:lvlText w:val=""/>
      <w:lvlJc w:val="left"/>
      <w:pPr>
        <w:tabs>
          <w:tab w:val="num" w:pos="5040"/>
        </w:tabs>
        <w:ind w:left="5040" w:hanging="360"/>
      </w:pPr>
      <w:rPr>
        <w:rFonts w:ascii="Wingdings 2" w:hAnsi="Wingdings 2" w:hint="default"/>
      </w:rPr>
    </w:lvl>
    <w:lvl w:ilvl="7" w:tplc="77707088" w:tentative="1">
      <w:start w:val="1"/>
      <w:numFmt w:val="bullet"/>
      <w:lvlText w:val=""/>
      <w:lvlJc w:val="left"/>
      <w:pPr>
        <w:tabs>
          <w:tab w:val="num" w:pos="5760"/>
        </w:tabs>
        <w:ind w:left="5760" w:hanging="360"/>
      </w:pPr>
      <w:rPr>
        <w:rFonts w:ascii="Wingdings 2" w:hAnsi="Wingdings 2" w:hint="default"/>
      </w:rPr>
    </w:lvl>
    <w:lvl w:ilvl="8" w:tplc="96DC214A" w:tentative="1">
      <w:start w:val="1"/>
      <w:numFmt w:val="bullet"/>
      <w:lvlText w:val=""/>
      <w:lvlJc w:val="left"/>
      <w:pPr>
        <w:tabs>
          <w:tab w:val="num" w:pos="6480"/>
        </w:tabs>
        <w:ind w:left="6480" w:hanging="360"/>
      </w:pPr>
      <w:rPr>
        <w:rFonts w:ascii="Wingdings 2" w:hAnsi="Wingdings 2" w:hint="default"/>
      </w:rPr>
    </w:lvl>
  </w:abstractNum>
  <w:abstractNum w:abstractNumId="33">
    <w:nsid w:val="491B48AE"/>
    <w:multiLevelType w:val="hybridMultilevel"/>
    <w:tmpl w:val="CF4E905A"/>
    <w:lvl w:ilvl="0" w:tplc="2E54D002">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C8196A"/>
    <w:multiLevelType w:val="hybridMultilevel"/>
    <w:tmpl w:val="3DCA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AE63041"/>
    <w:multiLevelType w:val="hybridMultilevel"/>
    <w:tmpl w:val="CCC63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F2D3DE3"/>
    <w:multiLevelType w:val="hybridMultilevel"/>
    <w:tmpl w:val="D45EAD54"/>
    <w:lvl w:ilvl="0" w:tplc="1BC8465E">
      <w:start w:val="1"/>
      <w:numFmt w:val="bullet"/>
      <w:lvlText w:val=""/>
      <w:lvlJc w:val="left"/>
      <w:pPr>
        <w:tabs>
          <w:tab w:val="num" w:pos="720"/>
        </w:tabs>
        <w:ind w:left="720" w:hanging="360"/>
      </w:pPr>
      <w:rPr>
        <w:rFonts w:ascii="Wingdings 2" w:hAnsi="Wingdings 2" w:hint="default"/>
      </w:rPr>
    </w:lvl>
    <w:lvl w:ilvl="1" w:tplc="DADE315C" w:tentative="1">
      <w:start w:val="1"/>
      <w:numFmt w:val="bullet"/>
      <w:lvlText w:val=""/>
      <w:lvlJc w:val="left"/>
      <w:pPr>
        <w:tabs>
          <w:tab w:val="num" w:pos="1440"/>
        </w:tabs>
        <w:ind w:left="1440" w:hanging="360"/>
      </w:pPr>
      <w:rPr>
        <w:rFonts w:ascii="Wingdings 2" w:hAnsi="Wingdings 2" w:hint="default"/>
      </w:rPr>
    </w:lvl>
    <w:lvl w:ilvl="2" w:tplc="F0E663EE" w:tentative="1">
      <w:start w:val="1"/>
      <w:numFmt w:val="bullet"/>
      <w:lvlText w:val=""/>
      <w:lvlJc w:val="left"/>
      <w:pPr>
        <w:tabs>
          <w:tab w:val="num" w:pos="2160"/>
        </w:tabs>
        <w:ind w:left="2160" w:hanging="360"/>
      </w:pPr>
      <w:rPr>
        <w:rFonts w:ascii="Wingdings 2" w:hAnsi="Wingdings 2" w:hint="default"/>
      </w:rPr>
    </w:lvl>
    <w:lvl w:ilvl="3" w:tplc="1964739E" w:tentative="1">
      <w:start w:val="1"/>
      <w:numFmt w:val="bullet"/>
      <w:lvlText w:val=""/>
      <w:lvlJc w:val="left"/>
      <w:pPr>
        <w:tabs>
          <w:tab w:val="num" w:pos="2880"/>
        </w:tabs>
        <w:ind w:left="2880" w:hanging="360"/>
      </w:pPr>
      <w:rPr>
        <w:rFonts w:ascii="Wingdings 2" w:hAnsi="Wingdings 2" w:hint="default"/>
      </w:rPr>
    </w:lvl>
    <w:lvl w:ilvl="4" w:tplc="148A5806" w:tentative="1">
      <w:start w:val="1"/>
      <w:numFmt w:val="bullet"/>
      <w:lvlText w:val=""/>
      <w:lvlJc w:val="left"/>
      <w:pPr>
        <w:tabs>
          <w:tab w:val="num" w:pos="3600"/>
        </w:tabs>
        <w:ind w:left="3600" w:hanging="360"/>
      </w:pPr>
      <w:rPr>
        <w:rFonts w:ascii="Wingdings 2" w:hAnsi="Wingdings 2" w:hint="default"/>
      </w:rPr>
    </w:lvl>
    <w:lvl w:ilvl="5" w:tplc="2F646912" w:tentative="1">
      <w:start w:val="1"/>
      <w:numFmt w:val="bullet"/>
      <w:lvlText w:val=""/>
      <w:lvlJc w:val="left"/>
      <w:pPr>
        <w:tabs>
          <w:tab w:val="num" w:pos="4320"/>
        </w:tabs>
        <w:ind w:left="4320" w:hanging="360"/>
      </w:pPr>
      <w:rPr>
        <w:rFonts w:ascii="Wingdings 2" w:hAnsi="Wingdings 2" w:hint="default"/>
      </w:rPr>
    </w:lvl>
    <w:lvl w:ilvl="6" w:tplc="62968AC0" w:tentative="1">
      <w:start w:val="1"/>
      <w:numFmt w:val="bullet"/>
      <w:lvlText w:val=""/>
      <w:lvlJc w:val="left"/>
      <w:pPr>
        <w:tabs>
          <w:tab w:val="num" w:pos="5040"/>
        </w:tabs>
        <w:ind w:left="5040" w:hanging="360"/>
      </w:pPr>
      <w:rPr>
        <w:rFonts w:ascii="Wingdings 2" w:hAnsi="Wingdings 2" w:hint="default"/>
      </w:rPr>
    </w:lvl>
    <w:lvl w:ilvl="7" w:tplc="5172DB50" w:tentative="1">
      <w:start w:val="1"/>
      <w:numFmt w:val="bullet"/>
      <w:lvlText w:val=""/>
      <w:lvlJc w:val="left"/>
      <w:pPr>
        <w:tabs>
          <w:tab w:val="num" w:pos="5760"/>
        </w:tabs>
        <w:ind w:left="5760" w:hanging="360"/>
      </w:pPr>
      <w:rPr>
        <w:rFonts w:ascii="Wingdings 2" w:hAnsi="Wingdings 2" w:hint="default"/>
      </w:rPr>
    </w:lvl>
    <w:lvl w:ilvl="8" w:tplc="2A44C0CE" w:tentative="1">
      <w:start w:val="1"/>
      <w:numFmt w:val="bullet"/>
      <w:lvlText w:val=""/>
      <w:lvlJc w:val="left"/>
      <w:pPr>
        <w:tabs>
          <w:tab w:val="num" w:pos="6480"/>
        </w:tabs>
        <w:ind w:left="6480" w:hanging="360"/>
      </w:pPr>
      <w:rPr>
        <w:rFonts w:ascii="Wingdings 2" w:hAnsi="Wingdings 2" w:hint="default"/>
      </w:rPr>
    </w:lvl>
  </w:abstractNum>
  <w:abstractNum w:abstractNumId="37">
    <w:nsid w:val="51457F80"/>
    <w:multiLevelType w:val="hybridMultilevel"/>
    <w:tmpl w:val="13506812"/>
    <w:lvl w:ilvl="0" w:tplc="E1A86D9A">
      <w:start w:val="1"/>
      <w:numFmt w:val="decimal"/>
      <w:lvlText w:val="%1."/>
      <w:lvlJc w:val="left"/>
      <w:pPr>
        <w:ind w:left="360" w:hanging="360"/>
      </w:pPr>
      <w:rPr>
        <w:rFonts w:hint="default"/>
        <w:b w:val="0"/>
        <w:i w:val="0"/>
        <w:color w:val="E15D15"/>
        <w:sz w:val="20"/>
        <w:szCs w:val="20"/>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5A02969"/>
    <w:multiLevelType w:val="multilevel"/>
    <w:tmpl w:val="EA5C5D14"/>
    <w:numStyleLink w:val="Bullet10"/>
  </w:abstractNum>
  <w:abstractNum w:abstractNumId="39">
    <w:nsid w:val="591E1E03"/>
    <w:multiLevelType w:val="hybridMultilevel"/>
    <w:tmpl w:val="0812EBF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nsid w:val="59EA238D"/>
    <w:multiLevelType w:val="multilevel"/>
    <w:tmpl w:val="2D7AF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BA6397C"/>
    <w:multiLevelType w:val="hybridMultilevel"/>
    <w:tmpl w:val="20AE389E"/>
    <w:lvl w:ilvl="0" w:tplc="04090013">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D8A4D7C"/>
    <w:multiLevelType w:val="hybridMultilevel"/>
    <w:tmpl w:val="B30A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69513D"/>
    <w:multiLevelType w:val="hybridMultilevel"/>
    <w:tmpl w:val="CBBE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0535BC"/>
    <w:multiLevelType w:val="hybridMultilevel"/>
    <w:tmpl w:val="10FA9588"/>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CA6584C"/>
    <w:multiLevelType w:val="hybridMultilevel"/>
    <w:tmpl w:val="502CF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F3A48A0"/>
    <w:multiLevelType w:val="hybridMultilevel"/>
    <w:tmpl w:val="BF662DB6"/>
    <w:lvl w:ilvl="0" w:tplc="0409000D">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7">
    <w:nsid w:val="71C3165E"/>
    <w:multiLevelType w:val="hybridMultilevel"/>
    <w:tmpl w:val="8116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9"/>
  </w:num>
  <w:num w:numId="4">
    <w:abstractNumId w:val="30"/>
  </w:num>
  <w:num w:numId="5">
    <w:abstractNumId w:val="14"/>
  </w:num>
  <w:num w:numId="6">
    <w:abstractNumId w:val="24"/>
  </w:num>
  <w:num w:numId="7">
    <w:abstractNumId w:val="26"/>
  </w:num>
  <w:num w:numId="8">
    <w:abstractNumId w:val="25"/>
  </w:num>
  <w:num w:numId="9">
    <w:abstractNumId w:val="12"/>
  </w:num>
  <w:num w:numId="10">
    <w:abstractNumId w:val="34"/>
  </w:num>
  <w:num w:numId="11">
    <w:abstractNumId w:val="35"/>
  </w:num>
  <w:num w:numId="12">
    <w:abstractNumId w:val="45"/>
  </w:num>
  <w:num w:numId="13">
    <w:abstractNumId w:val="4"/>
  </w:num>
  <w:num w:numId="14">
    <w:abstractNumId w:val="13"/>
  </w:num>
  <w:num w:numId="15">
    <w:abstractNumId w:val="36"/>
  </w:num>
  <w:num w:numId="16">
    <w:abstractNumId w:val="16"/>
  </w:num>
  <w:num w:numId="17">
    <w:abstractNumId w:val="32"/>
  </w:num>
  <w:num w:numId="18">
    <w:abstractNumId w:val="3"/>
  </w:num>
  <w:num w:numId="19">
    <w:abstractNumId w:val="5"/>
  </w:num>
  <w:num w:numId="20">
    <w:abstractNumId w:val="41"/>
  </w:num>
  <w:num w:numId="21">
    <w:abstractNumId w:val="18"/>
  </w:num>
  <w:num w:numId="22">
    <w:abstractNumId w:val="39"/>
  </w:num>
  <w:num w:numId="23">
    <w:abstractNumId w:val="33"/>
  </w:num>
  <w:num w:numId="24">
    <w:abstractNumId w:val="6"/>
  </w:num>
  <w:num w:numId="25">
    <w:abstractNumId w:val="38"/>
    <w:lvlOverride w:ilvl="0">
      <w:lvl w:ilvl="0">
        <w:start w:val="1"/>
        <w:numFmt w:val="bullet"/>
        <w:lvlText w:val=""/>
        <w:lvlJc w:val="left"/>
        <w:pPr>
          <w:ind w:left="1080" w:hanging="360"/>
        </w:pPr>
        <w:rPr>
          <w:rFonts w:ascii="Wingdings" w:hAnsi="Wingdings" w:hint="default"/>
          <w:b/>
          <w:i w:val="0"/>
          <w:color w:val="E28521"/>
          <w:sz w:val="24"/>
          <w:szCs w:val="24"/>
        </w:rPr>
      </w:lvl>
    </w:lvlOverride>
  </w:num>
  <w:num w:numId="26">
    <w:abstractNumId w:val="44"/>
  </w:num>
  <w:num w:numId="27">
    <w:abstractNumId w:val="37"/>
  </w:num>
  <w:num w:numId="28">
    <w:abstractNumId w:val="2"/>
  </w:num>
  <w:num w:numId="29">
    <w:abstractNumId w:val="47"/>
  </w:num>
  <w:num w:numId="30">
    <w:abstractNumId w:val="7"/>
    <w:lvlOverride w:ilvl="0">
      <w:startOverride w:val="1"/>
    </w:lvlOverride>
  </w:num>
  <w:num w:numId="31">
    <w:abstractNumId w:val="7"/>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2">
    <w:abstractNumId w:val="7"/>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3">
    <w:abstractNumId w:val="7"/>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4">
    <w:abstractNumId w:val="7"/>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5">
    <w:abstractNumId w:val="7"/>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6">
    <w:abstractNumId w:val="7"/>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7">
    <w:abstractNumId w:val="7"/>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8">
    <w:abstractNumId w:val="7"/>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9">
    <w:abstractNumId w:val="40"/>
  </w:num>
  <w:num w:numId="40">
    <w:abstractNumId w:val="43"/>
  </w:num>
  <w:num w:numId="41">
    <w:abstractNumId w:val="42"/>
  </w:num>
  <w:num w:numId="42">
    <w:abstractNumId w:val="17"/>
  </w:num>
  <w:num w:numId="43">
    <w:abstractNumId w:val="29"/>
  </w:num>
  <w:num w:numId="44">
    <w:abstractNumId w:val="23"/>
  </w:num>
  <w:num w:numId="45">
    <w:abstractNumId w:val="22"/>
  </w:num>
  <w:num w:numId="46">
    <w:abstractNumId w:val="46"/>
  </w:num>
  <w:num w:numId="47">
    <w:abstractNumId w:val="0"/>
  </w:num>
  <w:num w:numId="48">
    <w:abstractNumId w:val="27"/>
  </w:num>
  <w:num w:numId="49">
    <w:abstractNumId w:val="19"/>
  </w:num>
  <w:num w:numId="50">
    <w:abstractNumId w:val="10"/>
  </w:num>
  <w:num w:numId="51">
    <w:abstractNumId w:val="8"/>
  </w:num>
  <w:num w:numId="52">
    <w:abstractNumId w:val="28"/>
  </w:num>
  <w:num w:numId="53">
    <w:abstractNumId w:val="21"/>
  </w:num>
  <w:num w:numId="54">
    <w:abstractNumId w:val="15"/>
  </w:num>
  <w:num w:numId="55">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46082"/>
  </w:hdrShapeDefaults>
  <w:footnotePr>
    <w:footnote w:id="-1"/>
    <w:footnote w:id="0"/>
  </w:footnotePr>
  <w:endnotePr>
    <w:endnote w:id="-1"/>
    <w:endnote w:id="0"/>
  </w:endnotePr>
  <w:compat/>
  <w:rsids>
    <w:rsidRoot w:val="002123C2"/>
    <w:rsid w:val="00006B02"/>
    <w:rsid w:val="00007BDE"/>
    <w:rsid w:val="000125F3"/>
    <w:rsid w:val="00012D87"/>
    <w:rsid w:val="00013617"/>
    <w:rsid w:val="00014D0E"/>
    <w:rsid w:val="000177C6"/>
    <w:rsid w:val="0002190C"/>
    <w:rsid w:val="00022A7A"/>
    <w:rsid w:val="00023E63"/>
    <w:rsid w:val="000277FE"/>
    <w:rsid w:val="00032390"/>
    <w:rsid w:val="000347BB"/>
    <w:rsid w:val="00043D42"/>
    <w:rsid w:val="000448B6"/>
    <w:rsid w:val="00051091"/>
    <w:rsid w:val="0005321B"/>
    <w:rsid w:val="00056FFB"/>
    <w:rsid w:val="0006045C"/>
    <w:rsid w:val="00067A2D"/>
    <w:rsid w:val="00071160"/>
    <w:rsid w:val="0007119B"/>
    <w:rsid w:val="00076146"/>
    <w:rsid w:val="0007624F"/>
    <w:rsid w:val="000808F3"/>
    <w:rsid w:val="0008207E"/>
    <w:rsid w:val="00086F4E"/>
    <w:rsid w:val="00094A0D"/>
    <w:rsid w:val="00096868"/>
    <w:rsid w:val="000A5D6C"/>
    <w:rsid w:val="000A74D7"/>
    <w:rsid w:val="000B235B"/>
    <w:rsid w:val="000C2A1C"/>
    <w:rsid w:val="000D0598"/>
    <w:rsid w:val="000D1DAA"/>
    <w:rsid w:val="000D3FCB"/>
    <w:rsid w:val="000D4A78"/>
    <w:rsid w:val="000D57AC"/>
    <w:rsid w:val="000D67F0"/>
    <w:rsid w:val="000F1E14"/>
    <w:rsid w:val="000F6D88"/>
    <w:rsid w:val="0011666A"/>
    <w:rsid w:val="00117A6F"/>
    <w:rsid w:val="0012247C"/>
    <w:rsid w:val="00122D1F"/>
    <w:rsid w:val="00122E64"/>
    <w:rsid w:val="001257AF"/>
    <w:rsid w:val="0013094A"/>
    <w:rsid w:val="00137B85"/>
    <w:rsid w:val="001472F4"/>
    <w:rsid w:val="00156D4A"/>
    <w:rsid w:val="001574D3"/>
    <w:rsid w:val="00163532"/>
    <w:rsid w:val="00166240"/>
    <w:rsid w:val="001675B8"/>
    <w:rsid w:val="00174313"/>
    <w:rsid w:val="00174E70"/>
    <w:rsid w:val="001773D9"/>
    <w:rsid w:val="00182410"/>
    <w:rsid w:val="001860A8"/>
    <w:rsid w:val="001923D6"/>
    <w:rsid w:val="00192EC1"/>
    <w:rsid w:val="001950A9"/>
    <w:rsid w:val="00197D99"/>
    <w:rsid w:val="001A0F70"/>
    <w:rsid w:val="001A3E83"/>
    <w:rsid w:val="001B07DB"/>
    <w:rsid w:val="001B111D"/>
    <w:rsid w:val="001B743E"/>
    <w:rsid w:val="001C03B7"/>
    <w:rsid w:val="001C1AD6"/>
    <w:rsid w:val="001D35F3"/>
    <w:rsid w:val="001E0CF4"/>
    <w:rsid w:val="001E4A3B"/>
    <w:rsid w:val="001E6FD1"/>
    <w:rsid w:val="001F0C9A"/>
    <w:rsid w:val="001F3EC7"/>
    <w:rsid w:val="001F510A"/>
    <w:rsid w:val="00200FAC"/>
    <w:rsid w:val="0020151F"/>
    <w:rsid w:val="002024F2"/>
    <w:rsid w:val="00202DAB"/>
    <w:rsid w:val="0020643D"/>
    <w:rsid w:val="002119C2"/>
    <w:rsid w:val="002123C2"/>
    <w:rsid w:val="002259FC"/>
    <w:rsid w:val="00227B13"/>
    <w:rsid w:val="00227BCD"/>
    <w:rsid w:val="00231D56"/>
    <w:rsid w:val="00231DDF"/>
    <w:rsid w:val="002415C7"/>
    <w:rsid w:val="0024610A"/>
    <w:rsid w:val="00250849"/>
    <w:rsid w:val="002536F4"/>
    <w:rsid w:val="0025452A"/>
    <w:rsid w:val="00262F24"/>
    <w:rsid w:val="002636CA"/>
    <w:rsid w:val="00266A4B"/>
    <w:rsid w:val="00266AC2"/>
    <w:rsid w:val="00267B36"/>
    <w:rsid w:val="00270A58"/>
    <w:rsid w:val="0027347B"/>
    <w:rsid w:val="00282429"/>
    <w:rsid w:val="00294558"/>
    <w:rsid w:val="0029687D"/>
    <w:rsid w:val="002A0D06"/>
    <w:rsid w:val="002A296E"/>
    <w:rsid w:val="002A58B5"/>
    <w:rsid w:val="002A6869"/>
    <w:rsid w:val="002A7B8A"/>
    <w:rsid w:val="002B18FB"/>
    <w:rsid w:val="002B55DA"/>
    <w:rsid w:val="002B6AF4"/>
    <w:rsid w:val="002C0400"/>
    <w:rsid w:val="002C4C7C"/>
    <w:rsid w:val="002C5B1F"/>
    <w:rsid w:val="002C73ED"/>
    <w:rsid w:val="002D39D2"/>
    <w:rsid w:val="002E041D"/>
    <w:rsid w:val="002E1294"/>
    <w:rsid w:val="002E23FA"/>
    <w:rsid w:val="002E4406"/>
    <w:rsid w:val="002E4C81"/>
    <w:rsid w:val="002E6CE8"/>
    <w:rsid w:val="002F2AC5"/>
    <w:rsid w:val="002F3E71"/>
    <w:rsid w:val="002F5012"/>
    <w:rsid w:val="002F5236"/>
    <w:rsid w:val="00301353"/>
    <w:rsid w:val="00301D6B"/>
    <w:rsid w:val="00306011"/>
    <w:rsid w:val="003102F2"/>
    <w:rsid w:val="003135AE"/>
    <w:rsid w:val="00314424"/>
    <w:rsid w:val="003157EE"/>
    <w:rsid w:val="003248C2"/>
    <w:rsid w:val="003250D3"/>
    <w:rsid w:val="0033200D"/>
    <w:rsid w:val="00336E5F"/>
    <w:rsid w:val="003401A2"/>
    <w:rsid w:val="003422BB"/>
    <w:rsid w:val="0034241C"/>
    <w:rsid w:val="00342FD0"/>
    <w:rsid w:val="00356B3D"/>
    <w:rsid w:val="00365B9F"/>
    <w:rsid w:val="003660A3"/>
    <w:rsid w:val="003705CF"/>
    <w:rsid w:val="00372DB8"/>
    <w:rsid w:val="00381697"/>
    <w:rsid w:val="00382625"/>
    <w:rsid w:val="00385D65"/>
    <w:rsid w:val="00393351"/>
    <w:rsid w:val="00397260"/>
    <w:rsid w:val="00397B69"/>
    <w:rsid w:val="003A3765"/>
    <w:rsid w:val="003A4FB0"/>
    <w:rsid w:val="003A6BCA"/>
    <w:rsid w:val="003A7938"/>
    <w:rsid w:val="003B2F2B"/>
    <w:rsid w:val="003B37AD"/>
    <w:rsid w:val="003B42A2"/>
    <w:rsid w:val="003D0363"/>
    <w:rsid w:val="003D31F2"/>
    <w:rsid w:val="003E6F32"/>
    <w:rsid w:val="003E6FE2"/>
    <w:rsid w:val="003E7224"/>
    <w:rsid w:val="003F1136"/>
    <w:rsid w:val="003F47BF"/>
    <w:rsid w:val="003F5D74"/>
    <w:rsid w:val="003F66FA"/>
    <w:rsid w:val="004007DC"/>
    <w:rsid w:val="004019BB"/>
    <w:rsid w:val="00407BE0"/>
    <w:rsid w:val="0042016C"/>
    <w:rsid w:val="0042470F"/>
    <w:rsid w:val="00424C73"/>
    <w:rsid w:val="004305CE"/>
    <w:rsid w:val="00436DFC"/>
    <w:rsid w:val="0043728A"/>
    <w:rsid w:val="00437888"/>
    <w:rsid w:val="00442BF6"/>
    <w:rsid w:val="004445C7"/>
    <w:rsid w:val="0044546B"/>
    <w:rsid w:val="00451061"/>
    <w:rsid w:val="004530B5"/>
    <w:rsid w:val="00477D32"/>
    <w:rsid w:val="00482610"/>
    <w:rsid w:val="00485676"/>
    <w:rsid w:val="0049288F"/>
    <w:rsid w:val="00493F42"/>
    <w:rsid w:val="004946FC"/>
    <w:rsid w:val="004A4AB3"/>
    <w:rsid w:val="004B6498"/>
    <w:rsid w:val="004C3567"/>
    <w:rsid w:val="004C78BA"/>
    <w:rsid w:val="004C7ED5"/>
    <w:rsid w:val="004D2F1C"/>
    <w:rsid w:val="004E1065"/>
    <w:rsid w:val="004F25EE"/>
    <w:rsid w:val="004F29A0"/>
    <w:rsid w:val="004F5536"/>
    <w:rsid w:val="00507D31"/>
    <w:rsid w:val="0051206A"/>
    <w:rsid w:val="00520603"/>
    <w:rsid w:val="005206E9"/>
    <w:rsid w:val="00524C27"/>
    <w:rsid w:val="00524F03"/>
    <w:rsid w:val="00532791"/>
    <w:rsid w:val="00533551"/>
    <w:rsid w:val="005370CB"/>
    <w:rsid w:val="00542139"/>
    <w:rsid w:val="00544235"/>
    <w:rsid w:val="00546B72"/>
    <w:rsid w:val="00547FDF"/>
    <w:rsid w:val="0055465E"/>
    <w:rsid w:val="00555745"/>
    <w:rsid w:val="00564973"/>
    <w:rsid w:val="00565B1E"/>
    <w:rsid w:val="00570588"/>
    <w:rsid w:val="00575ACA"/>
    <w:rsid w:val="00577430"/>
    <w:rsid w:val="00577FD6"/>
    <w:rsid w:val="00580AEE"/>
    <w:rsid w:val="005857BC"/>
    <w:rsid w:val="00592B55"/>
    <w:rsid w:val="00592F4D"/>
    <w:rsid w:val="00596BA3"/>
    <w:rsid w:val="00597FA5"/>
    <w:rsid w:val="005B1016"/>
    <w:rsid w:val="005B464B"/>
    <w:rsid w:val="005B55F3"/>
    <w:rsid w:val="005C003D"/>
    <w:rsid w:val="005C23CD"/>
    <w:rsid w:val="005C5F50"/>
    <w:rsid w:val="005C6C1D"/>
    <w:rsid w:val="005C7D9C"/>
    <w:rsid w:val="005D29B4"/>
    <w:rsid w:val="005D31FE"/>
    <w:rsid w:val="005F2DDD"/>
    <w:rsid w:val="005F4230"/>
    <w:rsid w:val="00601532"/>
    <w:rsid w:val="00617B8A"/>
    <w:rsid w:val="00620AED"/>
    <w:rsid w:val="00621434"/>
    <w:rsid w:val="00623E03"/>
    <w:rsid w:val="00631AA7"/>
    <w:rsid w:val="00631E03"/>
    <w:rsid w:val="00632B4D"/>
    <w:rsid w:val="00635756"/>
    <w:rsid w:val="0063603F"/>
    <w:rsid w:val="00642C6A"/>
    <w:rsid w:val="00643D1F"/>
    <w:rsid w:val="006449A8"/>
    <w:rsid w:val="00644E76"/>
    <w:rsid w:val="00645ACD"/>
    <w:rsid w:val="0064770C"/>
    <w:rsid w:val="00664F4B"/>
    <w:rsid w:val="0066778E"/>
    <w:rsid w:val="006677A0"/>
    <w:rsid w:val="006819E3"/>
    <w:rsid w:val="0068601C"/>
    <w:rsid w:val="006911D3"/>
    <w:rsid w:val="0069759A"/>
    <w:rsid w:val="006A0A54"/>
    <w:rsid w:val="006B326F"/>
    <w:rsid w:val="006B476C"/>
    <w:rsid w:val="006B6EEB"/>
    <w:rsid w:val="006C0869"/>
    <w:rsid w:val="006D1928"/>
    <w:rsid w:val="006E13B5"/>
    <w:rsid w:val="006E32C0"/>
    <w:rsid w:val="006E5851"/>
    <w:rsid w:val="006E781A"/>
    <w:rsid w:val="007025F1"/>
    <w:rsid w:val="0070303B"/>
    <w:rsid w:val="007131B9"/>
    <w:rsid w:val="00713669"/>
    <w:rsid w:val="00714A82"/>
    <w:rsid w:val="00716E2E"/>
    <w:rsid w:val="00717A36"/>
    <w:rsid w:val="00724904"/>
    <w:rsid w:val="0073283E"/>
    <w:rsid w:val="007338F6"/>
    <w:rsid w:val="00735A72"/>
    <w:rsid w:val="007439BE"/>
    <w:rsid w:val="00743F65"/>
    <w:rsid w:val="00744CE8"/>
    <w:rsid w:val="007470EB"/>
    <w:rsid w:val="00747AF9"/>
    <w:rsid w:val="0075181F"/>
    <w:rsid w:val="00751A84"/>
    <w:rsid w:val="00757C22"/>
    <w:rsid w:val="007618EA"/>
    <w:rsid w:val="00761957"/>
    <w:rsid w:val="00762210"/>
    <w:rsid w:val="00763CF5"/>
    <w:rsid w:val="007665AA"/>
    <w:rsid w:val="00770EAB"/>
    <w:rsid w:val="00772317"/>
    <w:rsid w:val="00774EB2"/>
    <w:rsid w:val="00775BAE"/>
    <w:rsid w:val="00777BBB"/>
    <w:rsid w:val="00782682"/>
    <w:rsid w:val="00783E7A"/>
    <w:rsid w:val="007944D2"/>
    <w:rsid w:val="007A7A7B"/>
    <w:rsid w:val="007B1E37"/>
    <w:rsid w:val="007B2E02"/>
    <w:rsid w:val="007B48A1"/>
    <w:rsid w:val="007C3D78"/>
    <w:rsid w:val="007C559C"/>
    <w:rsid w:val="007C61FA"/>
    <w:rsid w:val="007D7FFD"/>
    <w:rsid w:val="007E0DEF"/>
    <w:rsid w:val="007E1B60"/>
    <w:rsid w:val="007E45C2"/>
    <w:rsid w:val="007E4AE7"/>
    <w:rsid w:val="007E638A"/>
    <w:rsid w:val="007F6022"/>
    <w:rsid w:val="00806391"/>
    <w:rsid w:val="00812144"/>
    <w:rsid w:val="008135CE"/>
    <w:rsid w:val="00815C62"/>
    <w:rsid w:val="00816BF3"/>
    <w:rsid w:val="008250DD"/>
    <w:rsid w:val="00833F0F"/>
    <w:rsid w:val="0083427B"/>
    <w:rsid w:val="00835376"/>
    <w:rsid w:val="00844745"/>
    <w:rsid w:val="00845120"/>
    <w:rsid w:val="00846467"/>
    <w:rsid w:val="00852E58"/>
    <w:rsid w:val="008530BF"/>
    <w:rsid w:val="00854C6C"/>
    <w:rsid w:val="00857344"/>
    <w:rsid w:val="00875116"/>
    <w:rsid w:val="00882BED"/>
    <w:rsid w:val="00887366"/>
    <w:rsid w:val="00891CBB"/>
    <w:rsid w:val="008941BA"/>
    <w:rsid w:val="00895038"/>
    <w:rsid w:val="008A0FAB"/>
    <w:rsid w:val="008A197C"/>
    <w:rsid w:val="008A79A7"/>
    <w:rsid w:val="008B31FE"/>
    <w:rsid w:val="008B4FF6"/>
    <w:rsid w:val="008C0CF9"/>
    <w:rsid w:val="008C77DF"/>
    <w:rsid w:val="008D1003"/>
    <w:rsid w:val="008D382A"/>
    <w:rsid w:val="008D65D4"/>
    <w:rsid w:val="008D7227"/>
    <w:rsid w:val="008E15A3"/>
    <w:rsid w:val="008E7D15"/>
    <w:rsid w:val="008F5E55"/>
    <w:rsid w:val="00901232"/>
    <w:rsid w:val="00902665"/>
    <w:rsid w:val="00903340"/>
    <w:rsid w:val="00904BC7"/>
    <w:rsid w:val="00906BE3"/>
    <w:rsid w:val="00907D3E"/>
    <w:rsid w:val="00913603"/>
    <w:rsid w:val="00925166"/>
    <w:rsid w:val="009266F7"/>
    <w:rsid w:val="00930B97"/>
    <w:rsid w:val="009363EF"/>
    <w:rsid w:val="00940535"/>
    <w:rsid w:val="009421C4"/>
    <w:rsid w:val="00945020"/>
    <w:rsid w:val="00953961"/>
    <w:rsid w:val="00956649"/>
    <w:rsid w:val="00966D4C"/>
    <w:rsid w:val="00971A94"/>
    <w:rsid w:val="00973AA5"/>
    <w:rsid w:val="0097445C"/>
    <w:rsid w:val="00975AA0"/>
    <w:rsid w:val="00986459"/>
    <w:rsid w:val="0099059B"/>
    <w:rsid w:val="00990A47"/>
    <w:rsid w:val="0099262B"/>
    <w:rsid w:val="0099300D"/>
    <w:rsid w:val="0099504F"/>
    <w:rsid w:val="009970C6"/>
    <w:rsid w:val="009A0CB7"/>
    <w:rsid w:val="009A607B"/>
    <w:rsid w:val="009B45DA"/>
    <w:rsid w:val="009B5AA7"/>
    <w:rsid w:val="009B741F"/>
    <w:rsid w:val="009C3C20"/>
    <w:rsid w:val="009D26C6"/>
    <w:rsid w:val="009D28DD"/>
    <w:rsid w:val="009D2D48"/>
    <w:rsid w:val="009D5E96"/>
    <w:rsid w:val="009D5F80"/>
    <w:rsid w:val="009E18CA"/>
    <w:rsid w:val="009E1EFC"/>
    <w:rsid w:val="009E493C"/>
    <w:rsid w:val="009F045A"/>
    <w:rsid w:val="009F29B9"/>
    <w:rsid w:val="009F3965"/>
    <w:rsid w:val="009F43BA"/>
    <w:rsid w:val="009F4B90"/>
    <w:rsid w:val="009F65B5"/>
    <w:rsid w:val="00A05EBC"/>
    <w:rsid w:val="00A1142A"/>
    <w:rsid w:val="00A15E25"/>
    <w:rsid w:val="00A16A10"/>
    <w:rsid w:val="00A177AC"/>
    <w:rsid w:val="00A225A7"/>
    <w:rsid w:val="00A26FCC"/>
    <w:rsid w:val="00A335D1"/>
    <w:rsid w:val="00A362B4"/>
    <w:rsid w:val="00A366EB"/>
    <w:rsid w:val="00A3775D"/>
    <w:rsid w:val="00A4107D"/>
    <w:rsid w:val="00A4112B"/>
    <w:rsid w:val="00A4263C"/>
    <w:rsid w:val="00A438FA"/>
    <w:rsid w:val="00A44FFF"/>
    <w:rsid w:val="00A45317"/>
    <w:rsid w:val="00A50D93"/>
    <w:rsid w:val="00A53311"/>
    <w:rsid w:val="00A61397"/>
    <w:rsid w:val="00A64BA1"/>
    <w:rsid w:val="00A72463"/>
    <w:rsid w:val="00A73313"/>
    <w:rsid w:val="00A75696"/>
    <w:rsid w:val="00A94E43"/>
    <w:rsid w:val="00AA7E2C"/>
    <w:rsid w:val="00AB05E3"/>
    <w:rsid w:val="00AB59EF"/>
    <w:rsid w:val="00AC437E"/>
    <w:rsid w:val="00AC4CFE"/>
    <w:rsid w:val="00AD2595"/>
    <w:rsid w:val="00AD4FD9"/>
    <w:rsid w:val="00AE3D31"/>
    <w:rsid w:val="00AE4A24"/>
    <w:rsid w:val="00AE77F2"/>
    <w:rsid w:val="00AE7880"/>
    <w:rsid w:val="00AF11A7"/>
    <w:rsid w:val="00B0457B"/>
    <w:rsid w:val="00B061E9"/>
    <w:rsid w:val="00B21497"/>
    <w:rsid w:val="00B229CC"/>
    <w:rsid w:val="00B230DE"/>
    <w:rsid w:val="00B236F8"/>
    <w:rsid w:val="00B26B09"/>
    <w:rsid w:val="00B31C53"/>
    <w:rsid w:val="00B35D9B"/>
    <w:rsid w:val="00B40191"/>
    <w:rsid w:val="00B449F8"/>
    <w:rsid w:val="00B4519C"/>
    <w:rsid w:val="00B5042F"/>
    <w:rsid w:val="00B5196C"/>
    <w:rsid w:val="00B554F9"/>
    <w:rsid w:val="00B6120D"/>
    <w:rsid w:val="00B63932"/>
    <w:rsid w:val="00B73CEB"/>
    <w:rsid w:val="00B7702D"/>
    <w:rsid w:val="00B77C97"/>
    <w:rsid w:val="00B802AE"/>
    <w:rsid w:val="00B81ACE"/>
    <w:rsid w:val="00B96B60"/>
    <w:rsid w:val="00BA57C2"/>
    <w:rsid w:val="00BA5EA3"/>
    <w:rsid w:val="00BA6E70"/>
    <w:rsid w:val="00BB2195"/>
    <w:rsid w:val="00BB21A0"/>
    <w:rsid w:val="00BC54D4"/>
    <w:rsid w:val="00BC58CE"/>
    <w:rsid w:val="00BC71C0"/>
    <w:rsid w:val="00BD0357"/>
    <w:rsid w:val="00BD6FD3"/>
    <w:rsid w:val="00BD72EF"/>
    <w:rsid w:val="00BD7C74"/>
    <w:rsid w:val="00BE1BD8"/>
    <w:rsid w:val="00BE26C7"/>
    <w:rsid w:val="00BE7B76"/>
    <w:rsid w:val="00BF2AFB"/>
    <w:rsid w:val="00BF3A9B"/>
    <w:rsid w:val="00BF4166"/>
    <w:rsid w:val="00C029A8"/>
    <w:rsid w:val="00C11075"/>
    <w:rsid w:val="00C117FB"/>
    <w:rsid w:val="00C23C39"/>
    <w:rsid w:val="00C26AE4"/>
    <w:rsid w:val="00C31011"/>
    <w:rsid w:val="00C34EAD"/>
    <w:rsid w:val="00C4008B"/>
    <w:rsid w:val="00C4101C"/>
    <w:rsid w:val="00C514AA"/>
    <w:rsid w:val="00C56A5D"/>
    <w:rsid w:val="00C56E6F"/>
    <w:rsid w:val="00C67172"/>
    <w:rsid w:val="00C80D4D"/>
    <w:rsid w:val="00C83AE6"/>
    <w:rsid w:val="00C85DEB"/>
    <w:rsid w:val="00C86787"/>
    <w:rsid w:val="00C86947"/>
    <w:rsid w:val="00C86D2C"/>
    <w:rsid w:val="00C944A9"/>
    <w:rsid w:val="00C94931"/>
    <w:rsid w:val="00CA2244"/>
    <w:rsid w:val="00CA4D14"/>
    <w:rsid w:val="00CB2B87"/>
    <w:rsid w:val="00CC2088"/>
    <w:rsid w:val="00CC44E6"/>
    <w:rsid w:val="00CC71BF"/>
    <w:rsid w:val="00CD049D"/>
    <w:rsid w:val="00CD216B"/>
    <w:rsid w:val="00CD6E1B"/>
    <w:rsid w:val="00CD7718"/>
    <w:rsid w:val="00CE405C"/>
    <w:rsid w:val="00CE6144"/>
    <w:rsid w:val="00CE6297"/>
    <w:rsid w:val="00CF0EF0"/>
    <w:rsid w:val="00CF4832"/>
    <w:rsid w:val="00CF48CE"/>
    <w:rsid w:val="00CF4C60"/>
    <w:rsid w:val="00CF5678"/>
    <w:rsid w:val="00D0630D"/>
    <w:rsid w:val="00D130A8"/>
    <w:rsid w:val="00D20433"/>
    <w:rsid w:val="00D22302"/>
    <w:rsid w:val="00D279FB"/>
    <w:rsid w:val="00D44A9D"/>
    <w:rsid w:val="00D54287"/>
    <w:rsid w:val="00D56B7F"/>
    <w:rsid w:val="00D659A6"/>
    <w:rsid w:val="00D77DB2"/>
    <w:rsid w:val="00D81055"/>
    <w:rsid w:val="00D86719"/>
    <w:rsid w:val="00D86C22"/>
    <w:rsid w:val="00D875E0"/>
    <w:rsid w:val="00D91EA9"/>
    <w:rsid w:val="00D96123"/>
    <w:rsid w:val="00DA25BE"/>
    <w:rsid w:val="00DA2886"/>
    <w:rsid w:val="00DA670D"/>
    <w:rsid w:val="00DB1286"/>
    <w:rsid w:val="00DB231A"/>
    <w:rsid w:val="00DB4504"/>
    <w:rsid w:val="00DB4B83"/>
    <w:rsid w:val="00DB72D3"/>
    <w:rsid w:val="00DC63FB"/>
    <w:rsid w:val="00DC6D00"/>
    <w:rsid w:val="00DD1CB5"/>
    <w:rsid w:val="00DD2A04"/>
    <w:rsid w:val="00DD4182"/>
    <w:rsid w:val="00DD5E81"/>
    <w:rsid w:val="00DD7467"/>
    <w:rsid w:val="00DE1A62"/>
    <w:rsid w:val="00DE1AF5"/>
    <w:rsid w:val="00DE2279"/>
    <w:rsid w:val="00DE35E2"/>
    <w:rsid w:val="00DE6D3C"/>
    <w:rsid w:val="00DF2657"/>
    <w:rsid w:val="00DF3428"/>
    <w:rsid w:val="00DF551B"/>
    <w:rsid w:val="00DF6CE7"/>
    <w:rsid w:val="00DF6DFB"/>
    <w:rsid w:val="00E02476"/>
    <w:rsid w:val="00E03AF1"/>
    <w:rsid w:val="00E077BF"/>
    <w:rsid w:val="00E12EF0"/>
    <w:rsid w:val="00E13436"/>
    <w:rsid w:val="00E13B85"/>
    <w:rsid w:val="00E154AB"/>
    <w:rsid w:val="00E250E1"/>
    <w:rsid w:val="00E26698"/>
    <w:rsid w:val="00E3637F"/>
    <w:rsid w:val="00E4096A"/>
    <w:rsid w:val="00E40A72"/>
    <w:rsid w:val="00E42E60"/>
    <w:rsid w:val="00E703ED"/>
    <w:rsid w:val="00E70C1D"/>
    <w:rsid w:val="00E7306A"/>
    <w:rsid w:val="00E75B4B"/>
    <w:rsid w:val="00E768BF"/>
    <w:rsid w:val="00EA5B56"/>
    <w:rsid w:val="00EB3A99"/>
    <w:rsid w:val="00EC2EAA"/>
    <w:rsid w:val="00EC342F"/>
    <w:rsid w:val="00EC52F4"/>
    <w:rsid w:val="00ED00FB"/>
    <w:rsid w:val="00ED0A88"/>
    <w:rsid w:val="00ED57EC"/>
    <w:rsid w:val="00ED70FE"/>
    <w:rsid w:val="00ED79B0"/>
    <w:rsid w:val="00EE32DF"/>
    <w:rsid w:val="00EE3C17"/>
    <w:rsid w:val="00EE5A8F"/>
    <w:rsid w:val="00EF0FD2"/>
    <w:rsid w:val="00EF11BB"/>
    <w:rsid w:val="00EF56DE"/>
    <w:rsid w:val="00F01814"/>
    <w:rsid w:val="00F01DEB"/>
    <w:rsid w:val="00F03569"/>
    <w:rsid w:val="00F114D6"/>
    <w:rsid w:val="00F140BD"/>
    <w:rsid w:val="00F1496E"/>
    <w:rsid w:val="00F26A7E"/>
    <w:rsid w:val="00F2754F"/>
    <w:rsid w:val="00F27F3F"/>
    <w:rsid w:val="00F33133"/>
    <w:rsid w:val="00F34227"/>
    <w:rsid w:val="00F34E3A"/>
    <w:rsid w:val="00F40920"/>
    <w:rsid w:val="00F450DF"/>
    <w:rsid w:val="00F5011A"/>
    <w:rsid w:val="00F65D8B"/>
    <w:rsid w:val="00F71618"/>
    <w:rsid w:val="00F71E79"/>
    <w:rsid w:val="00F95AB8"/>
    <w:rsid w:val="00FA2E43"/>
    <w:rsid w:val="00FA31D0"/>
    <w:rsid w:val="00FA3D90"/>
    <w:rsid w:val="00FB0D62"/>
    <w:rsid w:val="00FB1F72"/>
    <w:rsid w:val="00FB2E50"/>
    <w:rsid w:val="00FB39F6"/>
    <w:rsid w:val="00FB4ADA"/>
    <w:rsid w:val="00FC3B4E"/>
    <w:rsid w:val="00FC41B9"/>
    <w:rsid w:val="00FC4898"/>
    <w:rsid w:val="00FC5398"/>
    <w:rsid w:val="00FD3250"/>
    <w:rsid w:val="00FD5FC7"/>
    <w:rsid w:val="00FD6D96"/>
    <w:rsid w:val="00FE7B57"/>
    <w:rsid w:val="00FF7AF9"/>
    <w:rsid w:val="00FF7CB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78E"/>
    <w:pPr>
      <w:spacing w:after="200" w:line="276" w:lineRule="auto"/>
    </w:pPr>
    <w:rPr>
      <w:rFonts w:ascii="Arial" w:hAnsi="Arial" w:cs="Arial"/>
    </w:rPr>
  </w:style>
  <w:style w:type="paragraph" w:styleId="Heading1">
    <w:name w:val="heading 1"/>
    <w:basedOn w:val="Normal"/>
    <w:next w:val="Normal"/>
    <w:link w:val="Heading1Char"/>
    <w:qFormat/>
    <w:rsid w:val="002123C2"/>
    <w:pPr>
      <w:keepNext/>
      <w:keepLines/>
      <w:spacing w:before="160" w:after="160"/>
      <w:outlineLvl w:val="0"/>
    </w:pPr>
    <w:rPr>
      <w:rFonts w:eastAsia="Times New Roman" w:cs="Times New Roman"/>
      <w:b/>
      <w:bCs/>
      <w:color w:val="365F91"/>
      <w:sz w:val="32"/>
      <w:szCs w:val="28"/>
    </w:rPr>
  </w:style>
  <w:style w:type="paragraph" w:styleId="Heading2">
    <w:name w:val="heading 2"/>
    <w:basedOn w:val="Normal"/>
    <w:next w:val="Normal"/>
    <w:link w:val="Heading2Char"/>
    <w:uiPriority w:val="9"/>
    <w:unhideWhenUsed/>
    <w:qFormat/>
    <w:rsid w:val="00724904"/>
    <w:pPr>
      <w:spacing w:after="120"/>
      <w:outlineLvl w:val="1"/>
    </w:pPr>
    <w:rPr>
      <w:rFonts w:cs="Times New Roman"/>
      <w:b/>
      <w:color w:val="E15D15"/>
      <w:sz w:val="28"/>
      <w:szCs w:val="28"/>
    </w:rPr>
  </w:style>
  <w:style w:type="paragraph" w:styleId="Heading3">
    <w:name w:val="heading 3"/>
    <w:basedOn w:val="Normal"/>
    <w:next w:val="Normal"/>
    <w:link w:val="Heading3Char"/>
    <w:unhideWhenUsed/>
    <w:qFormat/>
    <w:rsid w:val="002123C2"/>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096868"/>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rPr>
      <w:sz w:val="22"/>
      <w:szCs w:val="22"/>
    </w:rPr>
  </w:style>
  <w:style w:type="paragraph" w:styleId="Caption">
    <w:name w:val="caption"/>
    <w:basedOn w:val="Normal"/>
    <w:next w:val="Normal"/>
    <w:uiPriority w:val="35"/>
    <w:unhideWhenUsed/>
    <w:qFormat/>
    <w:rsid w:val="002123C2"/>
    <w:pPr>
      <w:spacing w:line="240" w:lineRule="auto"/>
    </w:pPr>
    <w:rPr>
      <w:b/>
      <w:bCs/>
      <w:color w:val="4F81BD"/>
      <w:sz w:val="18"/>
      <w:szCs w:val="18"/>
    </w:rPr>
  </w:style>
  <w:style w:type="paragraph" w:styleId="Header">
    <w:name w:val="header"/>
    <w:basedOn w:val="Normal"/>
    <w:link w:val="HeaderChar"/>
    <w:uiPriority w:val="99"/>
    <w:semiHidden/>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2123C2"/>
    <w:rPr>
      <w:rFonts w:ascii="Arial" w:eastAsia="Times New Roman" w:hAnsi="Arial" w:cs="Times New Roman"/>
      <w:b/>
      <w:bCs/>
      <w:color w:val="365F91"/>
      <w:sz w:val="32"/>
      <w:szCs w:val="28"/>
    </w:rPr>
  </w:style>
  <w:style w:type="character" w:customStyle="1" w:styleId="Heading3Char">
    <w:name w:val="Heading 3 Char"/>
    <w:basedOn w:val="DefaultParagraphFont"/>
    <w:link w:val="Heading3"/>
    <w:rsid w:val="002123C2"/>
    <w:rPr>
      <w:rFonts w:ascii="Cambria" w:eastAsia="Times New Roman" w:hAnsi="Cambria" w:cs="Times New Roman"/>
      <w:b/>
      <w:bCs/>
      <w:color w:val="4F81BD"/>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u w:val="single"/>
    </w:rPr>
  </w:style>
  <w:style w:type="paragraph" w:customStyle="1" w:styleId="Bullet">
    <w:name w:val="Bullet"/>
    <w:basedOn w:val="NormalWeb"/>
    <w:link w:val="BulletChar"/>
    <w:qFormat/>
    <w:rsid w:val="006E781A"/>
    <w:pPr>
      <w:numPr>
        <w:numId w:val="3"/>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hAnsi="Arial" w:cs="Arial"/>
      <w:sz w:val="20"/>
      <w:szCs w:val="20"/>
    </w:rPr>
  </w:style>
  <w:style w:type="table" w:styleId="TableGrid">
    <w:name w:val="Table Grid"/>
    <w:basedOn w:val="TableNormal"/>
    <w:uiPriority w:val="59"/>
    <w:rsid w:val="00C944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4519C"/>
    <w:rPr>
      <w:sz w:val="16"/>
      <w:szCs w:val="16"/>
    </w:rPr>
  </w:style>
  <w:style w:type="paragraph" w:styleId="CommentText">
    <w:name w:val="annotation text"/>
    <w:basedOn w:val="Normal"/>
    <w:link w:val="CommentTextChar"/>
    <w:uiPriority w:val="99"/>
    <w:semiHidden/>
    <w:unhideWhenUsed/>
    <w:rsid w:val="00B4519C"/>
    <w:pPr>
      <w:spacing w:line="240" w:lineRule="auto"/>
    </w:pPr>
  </w:style>
  <w:style w:type="character" w:customStyle="1" w:styleId="CommentTextChar">
    <w:name w:val="Comment Text Char"/>
    <w:basedOn w:val="DefaultParagraphFont"/>
    <w:link w:val="CommentText"/>
    <w:uiPriority w:val="99"/>
    <w:semiHidden/>
    <w:rsid w:val="00B4519C"/>
    <w:rPr>
      <w:sz w:val="20"/>
      <w:szCs w:val="20"/>
    </w:rPr>
  </w:style>
  <w:style w:type="paragraph" w:styleId="CommentSubject">
    <w:name w:val="annotation subject"/>
    <w:basedOn w:val="CommentText"/>
    <w:next w:val="CommentText"/>
    <w:link w:val="CommentSubjectChar"/>
    <w:uiPriority w:val="99"/>
    <w:semiHidden/>
    <w:unhideWhenUsed/>
    <w:rsid w:val="00B4519C"/>
    <w:rPr>
      <w:b/>
      <w:bCs/>
    </w:rPr>
  </w:style>
  <w:style w:type="character" w:customStyle="1" w:styleId="CommentSubjectChar">
    <w:name w:val="Comment Subject Char"/>
    <w:basedOn w:val="CommentTextChar"/>
    <w:link w:val="CommentSubject"/>
    <w:uiPriority w:val="99"/>
    <w:semiHidden/>
    <w:rsid w:val="00B4519C"/>
    <w:rPr>
      <w:b/>
      <w:bCs/>
    </w:rPr>
  </w:style>
  <w:style w:type="paragraph" w:customStyle="1" w:styleId="Bullet1">
    <w:name w:val="Bullet 1"/>
    <w:basedOn w:val="Normal"/>
    <w:link w:val="Bullet1Char"/>
    <w:qFormat/>
    <w:rsid w:val="007131B9"/>
    <w:pPr>
      <w:numPr>
        <w:numId w:val="13"/>
      </w:numPr>
      <w:spacing w:before="160" w:after="160"/>
    </w:pPr>
    <w:rPr>
      <w:rFonts w:cs="Times New Roman"/>
    </w:rPr>
  </w:style>
  <w:style w:type="paragraph" w:styleId="FootnoteText">
    <w:name w:val="footnote text"/>
    <w:basedOn w:val="Normal"/>
    <w:link w:val="FootnoteTextChar"/>
    <w:uiPriority w:val="99"/>
    <w:semiHidden/>
    <w:unhideWhenUsed/>
    <w:rsid w:val="00E703ED"/>
    <w:pPr>
      <w:spacing w:after="0" w:line="240" w:lineRule="auto"/>
    </w:pPr>
  </w:style>
  <w:style w:type="character" w:customStyle="1" w:styleId="FootnoteTextChar">
    <w:name w:val="Footnote Text Char"/>
    <w:basedOn w:val="DefaultParagraphFont"/>
    <w:link w:val="FootnoteText"/>
    <w:uiPriority w:val="99"/>
    <w:semiHidden/>
    <w:rsid w:val="00E703ED"/>
    <w:rPr>
      <w:sz w:val="20"/>
      <w:szCs w:val="20"/>
    </w:rPr>
  </w:style>
  <w:style w:type="character" w:styleId="FootnoteReference">
    <w:name w:val="footnote reference"/>
    <w:rsid w:val="00E703ED"/>
    <w:rPr>
      <w:rFonts w:cs="Times New Roman"/>
      <w:vertAlign w:val="superscript"/>
    </w:rPr>
  </w:style>
  <w:style w:type="paragraph" w:styleId="Revision">
    <w:name w:val="Revision"/>
    <w:hidden/>
    <w:uiPriority w:val="99"/>
    <w:semiHidden/>
    <w:rsid w:val="00E250E1"/>
    <w:rPr>
      <w:sz w:val="22"/>
      <w:szCs w:val="22"/>
    </w:rPr>
  </w:style>
  <w:style w:type="character" w:customStyle="1" w:styleId="Heading2Char">
    <w:name w:val="Heading 2 Char"/>
    <w:basedOn w:val="DefaultParagraphFont"/>
    <w:link w:val="Heading2"/>
    <w:uiPriority w:val="9"/>
    <w:rsid w:val="00724904"/>
    <w:rPr>
      <w:rFonts w:ascii="Arial" w:eastAsia="Calibri" w:hAnsi="Arial" w:cs="Times New Roman"/>
      <w:b/>
      <w:color w:val="E15D15"/>
      <w:sz w:val="28"/>
      <w:szCs w:val="28"/>
    </w:rPr>
  </w:style>
  <w:style w:type="numbering" w:customStyle="1" w:styleId="Bullet10">
    <w:name w:val="Bullet1"/>
    <w:uiPriority w:val="99"/>
    <w:rsid w:val="001C03B7"/>
    <w:pPr>
      <w:numPr>
        <w:numId w:val="24"/>
      </w:numPr>
    </w:pPr>
  </w:style>
  <w:style w:type="character" w:customStyle="1" w:styleId="Bullet1Char">
    <w:name w:val="Bullet 1 Char"/>
    <w:link w:val="Bullet1"/>
    <w:rsid w:val="001C03B7"/>
    <w:rPr>
      <w:rFonts w:ascii="Arial" w:eastAsia="Calibri" w:hAnsi="Arial" w:cs="Arial"/>
      <w:sz w:val="20"/>
      <w:szCs w:val="20"/>
    </w:rPr>
  </w:style>
  <w:style w:type="character" w:styleId="Emphasis">
    <w:name w:val="Emphasis"/>
    <w:uiPriority w:val="20"/>
    <w:qFormat/>
    <w:rsid w:val="000F1E14"/>
    <w:rPr>
      <w:b/>
    </w:rPr>
  </w:style>
  <w:style w:type="character" w:customStyle="1" w:styleId="apple-converted-space">
    <w:name w:val="apple-converted-space"/>
    <w:basedOn w:val="DefaultParagraphFont"/>
    <w:rsid w:val="00907D3E"/>
  </w:style>
  <w:style w:type="table" w:customStyle="1" w:styleId="TableGrid1">
    <w:name w:val="Table Grid1"/>
    <w:basedOn w:val="TableNormal"/>
    <w:next w:val="TableGrid"/>
    <w:uiPriority w:val="59"/>
    <w:rsid w:val="00C51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7439BE"/>
  </w:style>
  <w:style w:type="character" w:customStyle="1" w:styleId="EndnoteTextChar">
    <w:name w:val="Endnote Text Char"/>
    <w:basedOn w:val="DefaultParagraphFont"/>
    <w:link w:val="EndnoteText"/>
    <w:uiPriority w:val="99"/>
    <w:semiHidden/>
    <w:rsid w:val="007439BE"/>
    <w:rPr>
      <w:rFonts w:ascii="Arial" w:hAnsi="Arial" w:cs="Arial"/>
    </w:rPr>
  </w:style>
  <w:style w:type="character" w:styleId="EndnoteReference">
    <w:name w:val="endnote reference"/>
    <w:basedOn w:val="DefaultParagraphFont"/>
    <w:uiPriority w:val="99"/>
    <w:semiHidden/>
    <w:unhideWhenUsed/>
    <w:rsid w:val="007439BE"/>
    <w:rPr>
      <w:vertAlign w:val="superscript"/>
    </w:rPr>
  </w:style>
  <w:style w:type="character" w:customStyle="1" w:styleId="Heading4Char">
    <w:name w:val="Heading 4 Char"/>
    <w:basedOn w:val="DefaultParagraphFont"/>
    <w:link w:val="Heading4"/>
    <w:uiPriority w:val="9"/>
    <w:rsid w:val="00096868"/>
    <w:rPr>
      <w:rFonts w:ascii="Cambria" w:eastAsia="Times New Roman" w:hAnsi="Cambria" w:cs="Times New Roman"/>
      <w:b/>
      <w:bCs/>
      <w:i/>
      <w:iCs/>
      <w:color w:val="4F81BD"/>
    </w:rPr>
  </w:style>
</w:styles>
</file>

<file path=word/webSettings.xml><?xml version="1.0" encoding="utf-8"?>
<w:webSettings xmlns:r="http://schemas.openxmlformats.org/officeDocument/2006/relationships" xmlns:w="http://schemas.openxmlformats.org/wordprocessingml/2006/main">
  <w:divs>
    <w:div w:id="82729584">
      <w:bodyDiv w:val="1"/>
      <w:marLeft w:val="0"/>
      <w:marRight w:val="0"/>
      <w:marTop w:val="0"/>
      <w:marBottom w:val="0"/>
      <w:divBdr>
        <w:top w:val="none" w:sz="0" w:space="0" w:color="auto"/>
        <w:left w:val="none" w:sz="0" w:space="0" w:color="auto"/>
        <w:bottom w:val="none" w:sz="0" w:space="0" w:color="auto"/>
        <w:right w:val="none" w:sz="0" w:space="0" w:color="auto"/>
      </w:divBdr>
    </w:div>
    <w:div w:id="92896545">
      <w:bodyDiv w:val="1"/>
      <w:marLeft w:val="0"/>
      <w:marRight w:val="0"/>
      <w:marTop w:val="0"/>
      <w:marBottom w:val="0"/>
      <w:divBdr>
        <w:top w:val="none" w:sz="0" w:space="0" w:color="auto"/>
        <w:left w:val="none" w:sz="0" w:space="0" w:color="auto"/>
        <w:bottom w:val="none" w:sz="0" w:space="0" w:color="auto"/>
        <w:right w:val="none" w:sz="0" w:space="0" w:color="auto"/>
      </w:divBdr>
      <w:divsChild>
        <w:div w:id="1677147888">
          <w:marLeft w:val="600"/>
          <w:marRight w:val="0"/>
          <w:marTop w:val="0"/>
          <w:marBottom w:val="0"/>
          <w:divBdr>
            <w:top w:val="none" w:sz="0" w:space="0" w:color="auto"/>
            <w:left w:val="none" w:sz="0" w:space="0" w:color="auto"/>
            <w:bottom w:val="none" w:sz="0" w:space="0" w:color="auto"/>
            <w:right w:val="none" w:sz="0" w:space="0" w:color="auto"/>
          </w:divBdr>
          <w:divsChild>
            <w:div w:id="109786033">
              <w:marLeft w:val="0"/>
              <w:marRight w:val="0"/>
              <w:marTop w:val="30"/>
              <w:marBottom w:val="60"/>
              <w:divBdr>
                <w:top w:val="none" w:sz="0" w:space="0" w:color="auto"/>
                <w:left w:val="none" w:sz="0" w:space="0" w:color="auto"/>
                <w:bottom w:val="none" w:sz="0" w:space="0" w:color="auto"/>
                <w:right w:val="none" w:sz="0" w:space="0" w:color="auto"/>
              </w:divBdr>
            </w:div>
            <w:div w:id="175509187">
              <w:marLeft w:val="0"/>
              <w:marRight w:val="0"/>
              <w:marTop w:val="30"/>
              <w:marBottom w:val="60"/>
              <w:divBdr>
                <w:top w:val="none" w:sz="0" w:space="0" w:color="auto"/>
                <w:left w:val="none" w:sz="0" w:space="0" w:color="auto"/>
                <w:bottom w:val="none" w:sz="0" w:space="0" w:color="auto"/>
                <w:right w:val="none" w:sz="0" w:space="0" w:color="auto"/>
              </w:divBdr>
            </w:div>
            <w:div w:id="354424424">
              <w:marLeft w:val="0"/>
              <w:marRight w:val="0"/>
              <w:marTop w:val="30"/>
              <w:marBottom w:val="60"/>
              <w:divBdr>
                <w:top w:val="none" w:sz="0" w:space="0" w:color="auto"/>
                <w:left w:val="none" w:sz="0" w:space="0" w:color="auto"/>
                <w:bottom w:val="none" w:sz="0" w:space="0" w:color="auto"/>
                <w:right w:val="none" w:sz="0" w:space="0" w:color="auto"/>
              </w:divBdr>
            </w:div>
            <w:div w:id="372773122">
              <w:marLeft w:val="0"/>
              <w:marRight w:val="0"/>
              <w:marTop w:val="30"/>
              <w:marBottom w:val="60"/>
              <w:divBdr>
                <w:top w:val="none" w:sz="0" w:space="0" w:color="auto"/>
                <w:left w:val="none" w:sz="0" w:space="0" w:color="auto"/>
                <w:bottom w:val="none" w:sz="0" w:space="0" w:color="auto"/>
                <w:right w:val="none" w:sz="0" w:space="0" w:color="auto"/>
              </w:divBdr>
            </w:div>
            <w:div w:id="577249082">
              <w:marLeft w:val="0"/>
              <w:marRight w:val="0"/>
              <w:marTop w:val="30"/>
              <w:marBottom w:val="60"/>
              <w:divBdr>
                <w:top w:val="none" w:sz="0" w:space="0" w:color="auto"/>
                <w:left w:val="none" w:sz="0" w:space="0" w:color="auto"/>
                <w:bottom w:val="none" w:sz="0" w:space="0" w:color="auto"/>
                <w:right w:val="none" w:sz="0" w:space="0" w:color="auto"/>
              </w:divBdr>
            </w:div>
            <w:div w:id="837424555">
              <w:marLeft w:val="0"/>
              <w:marRight w:val="0"/>
              <w:marTop w:val="30"/>
              <w:marBottom w:val="60"/>
              <w:divBdr>
                <w:top w:val="none" w:sz="0" w:space="0" w:color="auto"/>
                <w:left w:val="none" w:sz="0" w:space="0" w:color="auto"/>
                <w:bottom w:val="none" w:sz="0" w:space="0" w:color="auto"/>
                <w:right w:val="none" w:sz="0" w:space="0" w:color="auto"/>
              </w:divBdr>
            </w:div>
            <w:div w:id="1188372456">
              <w:marLeft w:val="0"/>
              <w:marRight w:val="0"/>
              <w:marTop w:val="30"/>
              <w:marBottom w:val="60"/>
              <w:divBdr>
                <w:top w:val="none" w:sz="0" w:space="0" w:color="auto"/>
                <w:left w:val="none" w:sz="0" w:space="0" w:color="auto"/>
                <w:bottom w:val="none" w:sz="0" w:space="0" w:color="auto"/>
                <w:right w:val="none" w:sz="0" w:space="0" w:color="auto"/>
              </w:divBdr>
            </w:div>
            <w:div w:id="1629628948">
              <w:marLeft w:val="0"/>
              <w:marRight w:val="0"/>
              <w:marTop w:val="30"/>
              <w:marBottom w:val="60"/>
              <w:divBdr>
                <w:top w:val="none" w:sz="0" w:space="0" w:color="auto"/>
                <w:left w:val="none" w:sz="0" w:space="0" w:color="auto"/>
                <w:bottom w:val="none" w:sz="0" w:space="0" w:color="auto"/>
                <w:right w:val="none" w:sz="0" w:space="0" w:color="auto"/>
              </w:divBdr>
            </w:div>
            <w:div w:id="1636713305">
              <w:marLeft w:val="0"/>
              <w:marRight w:val="0"/>
              <w:marTop w:val="30"/>
              <w:marBottom w:val="60"/>
              <w:divBdr>
                <w:top w:val="none" w:sz="0" w:space="0" w:color="auto"/>
                <w:left w:val="none" w:sz="0" w:space="0" w:color="auto"/>
                <w:bottom w:val="none" w:sz="0" w:space="0" w:color="auto"/>
                <w:right w:val="none" w:sz="0" w:space="0" w:color="auto"/>
              </w:divBdr>
            </w:div>
            <w:div w:id="1965575410">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 w:id="166214896">
      <w:bodyDiv w:val="1"/>
      <w:marLeft w:val="0"/>
      <w:marRight w:val="0"/>
      <w:marTop w:val="0"/>
      <w:marBottom w:val="0"/>
      <w:divBdr>
        <w:top w:val="none" w:sz="0" w:space="0" w:color="auto"/>
        <w:left w:val="none" w:sz="0" w:space="0" w:color="auto"/>
        <w:bottom w:val="none" w:sz="0" w:space="0" w:color="auto"/>
        <w:right w:val="none" w:sz="0" w:space="0" w:color="auto"/>
      </w:divBdr>
      <w:divsChild>
        <w:div w:id="379138805">
          <w:marLeft w:val="0"/>
          <w:marRight w:val="0"/>
          <w:marTop w:val="24"/>
          <w:marBottom w:val="48"/>
          <w:divBdr>
            <w:top w:val="none" w:sz="0" w:space="0" w:color="auto"/>
            <w:left w:val="none" w:sz="0" w:space="0" w:color="auto"/>
            <w:bottom w:val="none" w:sz="0" w:space="0" w:color="auto"/>
            <w:right w:val="none" w:sz="0" w:space="0" w:color="auto"/>
          </w:divBdr>
        </w:div>
        <w:div w:id="1715498826">
          <w:marLeft w:val="0"/>
          <w:marRight w:val="0"/>
          <w:marTop w:val="24"/>
          <w:marBottom w:val="48"/>
          <w:divBdr>
            <w:top w:val="none" w:sz="0" w:space="0" w:color="auto"/>
            <w:left w:val="none" w:sz="0" w:space="0" w:color="auto"/>
            <w:bottom w:val="none" w:sz="0" w:space="0" w:color="auto"/>
            <w:right w:val="none" w:sz="0" w:space="0" w:color="auto"/>
          </w:divBdr>
        </w:div>
      </w:divsChild>
    </w:div>
    <w:div w:id="221602528">
      <w:bodyDiv w:val="1"/>
      <w:marLeft w:val="0"/>
      <w:marRight w:val="0"/>
      <w:marTop w:val="0"/>
      <w:marBottom w:val="0"/>
      <w:divBdr>
        <w:top w:val="none" w:sz="0" w:space="0" w:color="auto"/>
        <w:left w:val="none" w:sz="0" w:space="0" w:color="auto"/>
        <w:bottom w:val="none" w:sz="0" w:space="0" w:color="auto"/>
        <w:right w:val="none" w:sz="0" w:space="0" w:color="auto"/>
      </w:divBdr>
    </w:div>
    <w:div w:id="382288194">
      <w:bodyDiv w:val="1"/>
      <w:marLeft w:val="0"/>
      <w:marRight w:val="0"/>
      <w:marTop w:val="0"/>
      <w:marBottom w:val="0"/>
      <w:divBdr>
        <w:top w:val="none" w:sz="0" w:space="0" w:color="auto"/>
        <w:left w:val="none" w:sz="0" w:space="0" w:color="auto"/>
        <w:bottom w:val="none" w:sz="0" w:space="0" w:color="auto"/>
        <w:right w:val="none" w:sz="0" w:space="0" w:color="auto"/>
      </w:divBdr>
    </w:div>
    <w:div w:id="549927636">
      <w:bodyDiv w:val="1"/>
      <w:marLeft w:val="0"/>
      <w:marRight w:val="0"/>
      <w:marTop w:val="0"/>
      <w:marBottom w:val="0"/>
      <w:divBdr>
        <w:top w:val="none" w:sz="0" w:space="0" w:color="auto"/>
        <w:left w:val="none" w:sz="0" w:space="0" w:color="auto"/>
        <w:bottom w:val="none" w:sz="0" w:space="0" w:color="auto"/>
        <w:right w:val="none" w:sz="0" w:space="0" w:color="auto"/>
      </w:divBdr>
      <w:divsChild>
        <w:div w:id="874583633">
          <w:marLeft w:val="0"/>
          <w:marRight w:val="0"/>
          <w:marTop w:val="24"/>
          <w:marBottom w:val="48"/>
          <w:divBdr>
            <w:top w:val="none" w:sz="0" w:space="0" w:color="auto"/>
            <w:left w:val="none" w:sz="0" w:space="0" w:color="auto"/>
            <w:bottom w:val="none" w:sz="0" w:space="0" w:color="auto"/>
            <w:right w:val="none" w:sz="0" w:space="0" w:color="auto"/>
          </w:divBdr>
        </w:div>
        <w:div w:id="1673486794">
          <w:marLeft w:val="0"/>
          <w:marRight w:val="0"/>
          <w:marTop w:val="24"/>
          <w:marBottom w:val="48"/>
          <w:divBdr>
            <w:top w:val="none" w:sz="0" w:space="0" w:color="auto"/>
            <w:left w:val="none" w:sz="0" w:space="0" w:color="auto"/>
            <w:bottom w:val="none" w:sz="0" w:space="0" w:color="auto"/>
            <w:right w:val="none" w:sz="0" w:space="0" w:color="auto"/>
          </w:divBdr>
        </w:div>
      </w:divsChild>
    </w:div>
    <w:div w:id="555363555">
      <w:bodyDiv w:val="1"/>
      <w:marLeft w:val="0"/>
      <w:marRight w:val="0"/>
      <w:marTop w:val="0"/>
      <w:marBottom w:val="0"/>
      <w:divBdr>
        <w:top w:val="none" w:sz="0" w:space="0" w:color="auto"/>
        <w:left w:val="none" w:sz="0" w:space="0" w:color="auto"/>
        <w:bottom w:val="none" w:sz="0" w:space="0" w:color="auto"/>
        <w:right w:val="none" w:sz="0" w:space="0" w:color="auto"/>
      </w:divBdr>
      <w:divsChild>
        <w:div w:id="152067683">
          <w:marLeft w:val="0"/>
          <w:marRight w:val="0"/>
          <w:marTop w:val="30"/>
          <w:marBottom w:val="60"/>
          <w:divBdr>
            <w:top w:val="none" w:sz="0" w:space="0" w:color="auto"/>
            <w:left w:val="none" w:sz="0" w:space="0" w:color="auto"/>
            <w:bottom w:val="none" w:sz="0" w:space="0" w:color="auto"/>
            <w:right w:val="none" w:sz="0" w:space="0" w:color="auto"/>
          </w:divBdr>
        </w:div>
        <w:div w:id="492843612">
          <w:marLeft w:val="0"/>
          <w:marRight w:val="0"/>
          <w:marTop w:val="30"/>
          <w:marBottom w:val="60"/>
          <w:divBdr>
            <w:top w:val="none" w:sz="0" w:space="0" w:color="auto"/>
            <w:left w:val="none" w:sz="0" w:space="0" w:color="auto"/>
            <w:bottom w:val="none" w:sz="0" w:space="0" w:color="auto"/>
            <w:right w:val="none" w:sz="0" w:space="0" w:color="auto"/>
          </w:divBdr>
        </w:div>
        <w:div w:id="1884173083">
          <w:marLeft w:val="0"/>
          <w:marRight w:val="0"/>
          <w:marTop w:val="30"/>
          <w:marBottom w:val="60"/>
          <w:divBdr>
            <w:top w:val="none" w:sz="0" w:space="0" w:color="auto"/>
            <w:left w:val="none" w:sz="0" w:space="0" w:color="auto"/>
            <w:bottom w:val="none" w:sz="0" w:space="0" w:color="auto"/>
            <w:right w:val="none" w:sz="0" w:space="0" w:color="auto"/>
          </w:divBdr>
        </w:div>
      </w:divsChild>
    </w:div>
    <w:div w:id="646857112">
      <w:bodyDiv w:val="1"/>
      <w:marLeft w:val="0"/>
      <w:marRight w:val="0"/>
      <w:marTop w:val="0"/>
      <w:marBottom w:val="0"/>
      <w:divBdr>
        <w:top w:val="none" w:sz="0" w:space="0" w:color="auto"/>
        <w:left w:val="none" w:sz="0" w:space="0" w:color="auto"/>
        <w:bottom w:val="none" w:sz="0" w:space="0" w:color="auto"/>
        <w:right w:val="none" w:sz="0" w:space="0" w:color="auto"/>
      </w:divBdr>
      <w:divsChild>
        <w:div w:id="1142432104">
          <w:marLeft w:val="547"/>
          <w:marRight w:val="0"/>
          <w:marTop w:val="0"/>
          <w:marBottom w:val="0"/>
          <w:divBdr>
            <w:top w:val="none" w:sz="0" w:space="0" w:color="auto"/>
            <w:left w:val="none" w:sz="0" w:space="0" w:color="auto"/>
            <w:bottom w:val="none" w:sz="0" w:space="0" w:color="auto"/>
            <w:right w:val="none" w:sz="0" w:space="0" w:color="auto"/>
          </w:divBdr>
        </w:div>
      </w:divsChild>
    </w:div>
    <w:div w:id="670983490">
      <w:bodyDiv w:val="1"/>
      <w:marLeft w:val="0"/>
      <w:marRight w:val="0"/>
      <w:marTop w:val="0"/>
      <w:marBottom w:val="0"/>
      <w:divBdr>
        <w:top w:val="none" w:sz="0" w:space="0" w:color="auto"/>
        <w:left w:val="none" w:sz="0" w:space="0" w:color="auto"/>
        <w:bottom w:val="none" w:sz="0" w:space="0" w:color="auto"/>
        <w:right w:val="none" w:sz="0" w:space="0" w:color="auto"/>
      </w:divBdr>
    </w:div>
    <w:div w:id="844591672">
      <w:bodyDiv w:val="1"/>
      <w:marLeft w:val="0"/>
      <w:marRight w:val="0"/>
      <w:marTop w:val="0"/>
      <w:marBottom w:val="0"/>
      <w:divBdr>
        <w:top w:val="none" w:sz="0" w:space="0" w:color="auto"/>
        <w:left w:val="none" w:sz="0" w:space="0" w:color="auto"/>
        <w:bottom w:val="none" w:sz="0" w:space="0" w:color="auto"/>
        <w:right w:val="none" w:sz="0" w:space="0" w:color="auto"/>
      </w:divBdr>
      <w:divsChild>
        <w:div w:id="1194078856">
          <w:marLeft w:val="547"/>
          <w:marRight w:val="0"/>
          <w:marTop w:val="0"/>
          <w:marBottom w:val="0"/>
          <w:divBdr>
            <w:top w:val="none" w:sz="0" w:space="0" w:color="auto"/>
            <w:left w:val="none" w:sz="0" w:space="0" w:color="auto"/>
            <w:bottom w:val="none" w:sz="0" w:space="0" w:color="auto"/>
            <w:right w:val="none" w:sz="0" w:space="0" w:color="auto"/>
          </w:divBdr>
        </w:div>
      </w:divsChild>
    </w:div>
    <w:div w:id="1127508478">
      <w:bodyDiv w:val="1"/>
      <w:marLeft w:val="0"/>
      <w:marRight w:val="0"/>
      <w:marTop w:val="0"/>
      <w:marBottom w:val="0"/>
      <w:divBdr>
        <w:top w:val="none" w:sz="0" w:space="0" w:color="auto"/>
        <w:left w:val="none" w:sz="0" w:space="0" w:color="auto"/>
        <w:bottom w:val="none" w:sz="0" w:space="0" w:color="auto"/>
        <w:right w:val="none" w:sz="0" w:space="0" w:color="auto"/>
      </w:divBdr>
      <w:divsChild>
        <w:div w:id="189955360">
          <w:marLeft w:val="547"/>
          <w:marRight w:val="0"/>
          <w:marTop w:val="0"/>
          <w:marBottom w:val="0"/>
          <w:divBdr>
            <w:top w:val="none" w:sz="0" w:space="0" w:color="auto"/>
            <w:left w:val="none" w:sz="0" w:space="0" w:color="auto"/>
            <w:bottom w:val="none" w:sz="0" w:space="0" w:color="auto"/>
            <w:right w:val="none" w:sz="0" w:space="0" w:color="auto"/>
          </w:divBdr>
        </w:div>
        <w:div w:id="737048780">
          <w:marLeft w:val="1166"/>
          <w:marRight w:val="0"/>
          <w:marTop w:val="0"/>
          <w:marBottom w:val="0"/>
          <w:divBdr>
            <w:top w:val="none" w:sz="0" w:space="0" w:color="auto"/>
            <w:left w:val="none" w:sz="0" w:space="0" w:color="auto"/>
            <w:bottom w:val="none" w:sz="0" w:space="0" w:color="auto"/>
            <w:right w:val="none" w:sz="0" w:space="0" w:color="auto"/>
          </w:divBdr>
        </w:div>
        <w:div w:id="881286322">
          <w:marLeft w:val="1800"/>
          <w:marRight w:val="0"/>
          <w:marTop w:val="0"/>
          <w:marBottom w:val="0"/>
          <w:divBdr>
            <w:top w:val="none" w:sz="0" w:space="0" w:color="auto"/>
            <w:left w:val="none" w:sz="0" w:space="0" w:color="auto"/>
            <w:bottom w:val="none" w:sz="0" w:space="0" w:color="auto"/>
            <w:right w:val="none" w:sz="0" w:space="0" w:color="auto"/>
          </w:divBdr>
        </w:div>
        <w:div w:id="1280261040">
          <w:marLeft w:val="1800"/>
          <w:marRight w:val="0"/>
          <w:marTop w:val="0"/>
          <w:marBottom w:val="0"/>
          <w:divBdr>
            <w:top w:val="none" w:sz="0" w:space="0" w:color="auto"/>
            <w:left w:val="none" w:sz="0" w:space="0" w:color="auto"/>
            <w:bottom w:val="none" w:sz="0" w:space="0" w:color="auto"/>
            <w:right w:val="none" w:sz="0" w:space="0" w:color="auto"/>
          </w:divBdr>
        </w:div>
        <w:div w:id="1520926165">
          <w:marLeft w:val="1800"/>
          <w:marRight w:val="0"/>
          <w:marTop w:val="0"/>
          <w:marBottom w:val="0"/>
          <w:divBdr>
            <w:top w:val="none" w:sz="0" w:space="0" w:color="auto"/>
            <w:left w:val="none" w:sz="0" w:space="0" w:color="auto"/>
            <w:bottom w:val="none" w:sz="0" w:space="0" w:color="auto"/>
            <w:right w:val="none" w:sz="0" w:space="0" w:color="auto"/>
          </w:divBdr>
        </w:div>
        <w:div w:id="1577742241">
          <w:marLeft w:val="1166"/>
          <w:marRight w:val="0"/>
          <w:marTop w:val="0"/>
          <w:marBottom w:val="0"/>
          <w:divBdr>
            <w:top w:val="none" w:sz="0" w:space="0" w:color="auto"/>
            <w:left w:val="none" w:sz="0" w:space="0" w:color="auto"/>
            <w:bottom w:val="none" w:sz="0" w:space="0" w:color="auto"/>
            <w:right w:val="none" w:sz="0" w:space="0" w:color="auto"/>
          </w:divBdr>
        </w:div>
        <w:div w:id="1934244719">
          <w:marLeft w:val="1800"/>
          <w:marRight w:val="0"/>
          <w:marTop w:val="0"/>
          <w:marBottom w:val="0"/>
          <w:divBdr>
            <w:top w:val="none" w:sz="0" w:space="0" w:color="auto"/>
            <w:left w:val="none" w:sz="0" w:space="0" w:color="auto"/>
            <w:bottom w:val="none" w:sz="0" w:space="0" w:color="auto"/>
            <w:right w:val="none" w:sz="0" w:space="0" w:color="auto"/>
          </w:divBdr>
        </w:div>
      </w:divsChild>
    </w:div>
    <w:div w:id="1424641473">
      <w:bodyDiv w:val="1"/>
      <w:marLeft w:val="0"/>
      <w:marRight w:val="0"/>
      <w:marTop w:val="0"/>
      <w:marBottom w:val="0"/>
      <w:divBdr>
        <w:top w:val="none" w:sz="0" w:space="0" w:color="auto"/>
        <w:left w:val="none" w:sz="0" w:space="0" w:color="auto"/>
        <w:bottom w:val="none" w:sz="0" w:space="0" w:color="auto"/>
        <w:right w:val="none" w:sz="0" w:space="0" w:color="auto"/>
      </w:divBdr>
      <w:divsChild>
        <w:div w:id="45103267">
          <w:marLeft w:val="0"/>
          <w:marRight w:val="0"/>
          <w:marTop w:val="30"/>
          <w:marBottom w:val="60"/>
          <w:divBdr>
            <w:top w:val="none" w:sz="0" w:space="0" w:color="auto"/>
            <w:left w:val="none" w:sz="0" w:space="0" w:color="auto"/>
            <w:bottom w:val="none" w:sz="0" w:space="0" w:color="auto"/>
            <w:right w:val="none" w:sz="0" w:space="0" w:color="auto"/>
          </w:divBdr>
        </w:div>
        <w:div w:id="1638145862">
          <w:marLeft w:val="0"/>
          <w:marRight w:val="0"/>
          <w:marTop w:val="30"/>
          <w:marBottom w:val="60"/>
          <w:divBdr>
            <w:top w:val="none" w:sz="0" w:space="0" w:color="auto"/>
            <w:left w:val="none" w:sz="0" w:space="0" w:color="auto"/>
            <w:bottom w:val="none" w:sz="0" w:space="0" w:color="auto"/>
            <w:right w:val="none" w:sz="0" w:space="0" w:color="auto"/>
          </w:divBdr>
        </w:div>
        <w:div w:id="1983659663">
          <w:marLeft w:val="0"/>
          <w:marRight w:val="0"/>
          <w:marTop w:val="30"/>
          <w:marBottom w:val="60"/>
          <w:divBdr>
            <w:top w:val="none" w:sz="0" w:space="0" w:color="auto"/>
            <w:left w:val="none" w:sz="0" w:space="0" w:color="auto"/>
            <w:bottom w:val="none" w:sz="0" w:space="0" w:color="auto"/>
            <w:right w:val="none" w:sz="0" w:space="0" w:color="auto"/>
          </w:divBdr>
        </w:div>
      </w:divsChild>
    </w:div>
    <w:div w:id="1448164339">
      <w:bodyDiv w:val="1"/>
      <w:marLeft w:val="0"/>
      <w:marRight w:val="0"/>
      <w:marTop w:val="0"/>
      <w:marBottom w:val="0"/>
      <w:divBdr>
        <w:top w:val="none" w:sz="0" w:space="0" w:color="auto"/>
        <w:left w:val="none" w:sz="0" w:space="0" w:color="auto"/>
        <w:bottom w:val="none" w:sz="0" w:space="0" w:color="auto"/>
        <w:right w:val="none" w:sz="0" w:space="0" w:color="auto"/>
      </w:divBdr>
    </w:div>
    <w:div w:id="1467355552">
      <w:bodyDiv w:val="1"/>
      <w:marLeft w:val="0"/>
      <w:marRight w:val="0"/>
      <w:marTop w:val="0"/>
      <w:marBottom w:val="0"/>
      <w:divBdr>
        <w:top w:val="none" w:sz="0" w:space="0" w:color="auto"/>
        <w:left w:val="none" w:sz="0" w:space="0" w:color="auto"/>
        <w:bottom w:val="none" w:sz="0" w:space="0" w:color="auto"/>
        <w:right w:val="none" w:sz="0" w:space="0" w:color="auto"/>
      </w:divBdr>
    </w:div>
    <w:div w:id="1480076855">
      <w:bodyDiv w:val="1"/>
      <w:marLeft w:val="0"/>
      <w:marRight w:val="0"/>
      <w:marTop w:val="0"/>
      <w:marBottom w:val="0"/>
      <w:divBdr>
        <w:top w:val="none" w:sz="0" w:space="0" w:color="auto"/>
        <w:left w:val="none" w:sz="0" w:space="0" w:color="auto"/>
        <w:bottom w:val="none" w:sz="0" w:space="0" w:color="auto"/>
        <w:right w:val="none" w:sz="0" w:space="0" w:color="auto"/>
      </w:divBdr>
      <w:divsChild>
        <w:div w:id="136338684">
          <w:marLeft w:val="547"/>
          <w:marRight w:val="0"/>
          <w:marTop w:val="134"/>
          <w:marBottom w:val="0"/>
          <w:divBdr>
            <w:top w:val="none" w:sz="0" w:space="0" w:color="auto"/>
            <w:left w:val="none" w:sz="0" w:space="0" w:color="auto"/>
            <w:bottom w:val="none" w:sz="0" w:space="0" w:color="auto"/>
            <w:right w:val="none" w:sz="0" w:space="0" w:color="auto"/>
          </w:divBdr>
        </w:div>
        <w:div w:id="170341686">
          <w:marLeft w:val="547"/>
          <w:marRight w:val="0"/>
          <w:marTop w:val="134"/>
          <w:marBottom w:val="0"/>
          <w:divBdr>
            <w:top w:val="none" w:sz="0" w:space="0" w:color="auto"/>
            <w:left w:val="none" w:sz="0" w:space="0" w:color="auto"/>
            <w:bottom w:val="none" w:sz="0" w:space="0" w:color="auto"/>
            <w:right w:val="none" w:sz="0" w:space="0" w:color="auto"/>
          </w:divBdr>
        </w:div>
        <w:div w:id="1383555859">
          <w:marLeft w:val="547"/>
          <w:marRight w:val="0"/>
          <w:marTop w:val="134"/>
          <w:marBottom w:val="0"/>
          <w:divBdr>
            <w:top w:val="none" w:sz="0" w:space="0" w:color="auto"/>
            <w:left w:val="none" w:sz="0" w:space="0" w:color="auto"/>
            <w:bottom w:val="none" w:sz="0" w:space="0" w:color="auto"/>
            <w:right w:val="none" w:sz="0" w:space="0" w:color="auto"/>
          </w:divBdr>
        </w:div>
        <w:div w:id="1661880818">
          <w:marLeft w:val="547"/>
          <w:marRight w:val="0"/>
          <w:marTop w:val="134"/>
          <w:marBottom w:val="0"/>
          <w:divBdr>
            <w:top w:val="none" w:sz="0" w:space="0" w:color="auto"/>
            <w:left w:val="none" w:sz="0" w:space="0" w:color="auto"/>
            <w:bottom w:val="none" w:sz="0" w:space="0" w:color="auto"/>
            <w:right w:val="none" w:sz="0" w:space="0" w:color="auto"/>
          </w:divBdr>
        </w:div>
      </w:divsChild>
    </w:div>
    <w:div w:id="1518079753">
      <w:bodyDiv w:val="1"/>
      <w:marLeft w:val="0"/>
      <w:marRight w:val="0"/>
      <w:marTop w:val="0"/>
      <w:marBottom w:val="0"/>
      <w:divBdr>
        <w:top w:val="none" w:sz="0" w:space="0" w:color="auto"/>
        <w:left w:val="none" w:sz="0" w:space="0" w:color="auto"/>
        <w:bottom w:val="none" w:sz="0" w:space="0" w:color="auto"/>
        <w:right w:val="none" w:sz="0" w:space="0" w:color="auto"/>
      </w:divBdr>
    </w:div>
    <w:div w:id="1533690961">
      <w:bodyDiv w:val="1"/>
      <w:marLeft w:val="0"/>
      <w:marRight w:val="0"/>
      <w:marTop w:val="0"/>
      <w:marBottom w:val="0"/>
      <w:divBdr>
        <w:top w:val="none" w:sz="0" w:space="0" w:color="auto"/>
        <w:left w:val="none" w:sz="0" w:space="0" w:color="auto"/>
        <w:bottom w:val="none" w:sz="0" w:space="0" w:color="auto"/>
        <w:right w:val="none" w:sz="0" w:space="0" w:color="auto"/>
      </w:divBdr>
      <w:divsChild>
        <w:div w:id="329211926">
          <w:marLeft w:val="1800"/>
          <w:marRight w:val="0"/>
          <w:marTop w:val="0"/>
          <w:marBottom w:val="0"/>
          <w:divBdr>
            <w:top w:val="none" w:sz="0" w:space="0" w:color="auto"/>
            <w:left w:val="none" w:sz="0" w:space="0" w:color="auto"/>
            <w:bottom w:val="none" w:sz="0" w:space="0" w:color="auto"/>
            <w:right w:val="none" w:sz="0" w:space="0" w:color="auto"/>
          </w:divBdr>
        </w:div>
        <w:div w:id="775516676">
          <w:marLeft w:val="1166"/>
          <w:marRight w:val="0"/>
          <w:marTop w:val="0"/>
          <w:marBottom w:val="0"/>
          <w:divBdr>
            <w:top w:val="none" w:sz="0" w:space="0" w:color="auto"/>
            <w:left w:val="none" w:sz="0" w:space="0" w:color="auto"/>
            <w:bottom w:val="none" w:sz="0" w:space="0" w:color="auto"/>
            <w:right w:val="none" w:sz="0" w:space="0" w:color="auto"/>
          </w:divBdr>
        </w:div>
        <w:div w:id="800850016">
          <w:marLeft w:val="1800"/>
          <w:marRight w:val="0"/>
          <w:marTop w:val="0"/>
          <w:marBottom w:val="0"/>
          <w:divBdr>
            <w:top w:val="none" w:sz="0" w:space="0" w:color="auto"/>
            <w:left w:val="none" w:sz="0" w:space="0" w:color="auto"/>
            <w:bottom w:val="none" w:sz="0" w:space="0" w:color="auto"/>
            <w:right w:val="none" w:sz="0" w:space="0" w:color="auto"/>
          </w:divBdr>
        </w:div>
        <w:div w:id="1056317573">
          <w:marLeft w:val="1166"/>
          <w:marRight w:val="0"/>
          <w:marTop w:val="0"/>
          <w:marBottom w:val="0"/>
          <w:divBdr>
            <w:top w:val="none" w:sz="0" w:space="0" w:color="auto"/>
            <w:left w:val="none" w:sz="0" w:space="0" w:color="auto"/>
            <w:bottom w:val="none" w:sz="0" w:space="0" w:color="auto"/>
            <w:right w:val="none" w:sz="0" w:space="0" w:color="auto"/>
          </w:divBdr>
        </w:div>
        <w:div w:id="1254700637">
          <w:marLeft w:val="1800"/>
          <w:marRight w:val="0"/>
          <w:marTop w:val="0"/>
          <w:marBottom w:val="0"/>
          <w:divBdr>
            <w:top w:val="none" w:sz="0" w:space="0" w:color="auto"/>
            <w:left w:val="none" w:sz="0" w:space="0" w:color="auto"/>
            <w:bottom w:val="none" w:sz="0" w:space="0" w:color="auto"/>
            <w:right w:val="none" w:sz="0" w:space="0" w:color="auto"/>
          </w:divBdr>
        </w:div>
        <w:div w:id="1814638500">
          <w:marLeft w:val="1800"/>
          <w:marRight w:val="0"/>
          <w:marTop w:val="0"/>
          <w:marBottom w:val="0"/>
          <w:divBdr>
            <w:top w:val="none" w:sz="0" w:space="0" w:color="auto"/>
            <w:left w:val="none" w:sz="0" w:space="0" w:color="auto"/>
            <w:bottom w:val="none" w:sz="0" w:space="0" w:color="auto"/>
            <w:right w:val="none" w:sz="0" w:space="0" w:color="auto"/>
          </w:divBdr>
        </w:div>
        <w:div w:id="1941639020">
          <w:marLeft w:val="547"/>
          <w:marRight w:val="0"/>
          <w:marTop w:val="0"/>
          <w:marBottom w:val="0"/>
          <w:divBdr>
            <w:top w:val="none" w:sz="0" w:space="0" w:color="auto"/>
            <w:left w:val="none" w:sz="0" w:space="0" w:color="auto"/>
            <w:bottom w:val="none" w:sz="0" w:space="0" w:color="auto"/>
            <w:right w:val="none" w:sz="0" w:space="0" w:color="auto"/>
          </w:divBdr>
        </w:div>
      </w:divsChild>
    </w:div>
    <w:div w:id="2097164809">
      <w:bodyDiv w:val="1"/>
      <w:marLeft w:val="0"/>
      <w:marRight w:val="0"/>
      <w:marTop w:val="0"/>
      <w:marBottom w:val="0"/>
      <w:divBdr>
        <w:top w:val="none" w:sz="0" w:space="0" w:color="auto"/>
        <w:left w:val="none" w:sz="0" w:space="0" w:color="auto"/>
        <w:bottom w:val="none" w:sz="0" w:space="0" w:color="auto"/>
        <w:right w:val="none" w:sz="0" w:space="0" w:color="auto"/>
      </w:divBdr>
      <w:divsChild>
        <w:div w:id="1178618762">
          <w:marLeft w:val="0"/>
          <w:marRight w:val="0"/>
          <w:marTop w:val="30"/>
          <w:marBottom w:val="60"/>
          <w:divBdr>
            <w:top w:val="none" w:sz="0" w:space="0" w:color="auto"/>
            <w:left w:val="none" w:sz="0" w:space="0" w:color="auto"/>
            <w:bottom w:val="none" w:sz="0" w:space="0" w:color="auto"/>
            <w:right w:val="none" w:sz="0" w:space="0" w:color="auto"/>
          </w:divBdr>
        </w:div>
        <w:div w:id="1519662020">
          <w:marLeft w:val="0"/>
          <w:marRight w:val="0"/>
          <w:marTop w:val="30"/>
          <w:marBottom w:val="60"/>
          <w:divBdr>
            <w:top w:val="none" w:sz="0" w:space="0" w:color="auto"/>
            <w:left w:val="none" w:sz="0" w:space="0" w:color="auto"/>
            <w:bottom w:val="none" w:sz="0" w:space="0" w:color="auto"/>
            <w:right w:val="none" w:sz="0" w:space="0" w:color="auto"/>
          </w:divBdr>
        </w:div>
        <w:div w:id="2053380543">
          <w:marLeft w:val="0"/>
          <w:marRight w:val="0"/>
          <w:marTop w:val="30"/>
          <w:marBottom w:val="60"/>
          <w:divBdr>
            <w:top w:val="none" w:sz="0" w:space="0" w:color="auto"/>
            <w:left w:val="none" w:sz="0" w:space="0" w:color="auto"/>
            <w:bottom w:val="none" w:sz="0" w:space="0" w:color="auto"/>
            <w:right w:val="none" w:sz="0" w:space="0" w:color="auto"/>
          </w:divBdr>
        </w:div>
      </w:divsChild>
    </w:div>
    <w:div w:id="2101178590">
      <w:bodyDiv w:val="1"/>
      <w:marLeft w:val="0"/>
      <w:marRight w:val="0"/>
      <w:marTop w:val="0"/>
      <w:marBottom w:val="0"/>
      <w:divBdr>
        <w:top w:val="none" w:sz="0" w:space="0" w:color="auto"/>
        <w:left w:val="none" w:sz="0" w:space="0" w:color="auto"/>
        <w:bottom w:val="none" w:sz="0" w:space="0" w:color="auto"/>
        <w:right w:val="none" w:sz="0" w:space="0" w:color="auto"/>
      </w:divBdr>
      <w:divsChild>
        <w:div w:id="240876060">
          <w:marLeft w:val="547"/>
          <w:marRight w:val="0"/>
          <w:marTop w:val="134"/>
          <w:marBottom w:val="0"/>
          <w:divBdr>
            <w:top w:val="none" w:sz="0" w:space="0" w:color="auto"/>
            <w:left w:val="none" w:sz="0" w:space="0" w:color="auto"/>
            <w:bottom w:val="none" w:sz="0" w:space="0" w:color="auto"/>
            <w:right w:val="none" w:sz="0" w:space="0" w:color="auto"/>
          </w:divBdr>
        </w:div>
        <w:div w:id="887959915">
          <w:marLeft w:val="547"/>
          <w:marRight w:val="0"/>
          <w:marTop w:val="134"/>
          <w:marBottom w:val="0"/>
          <w:divBdr>
            <w:top w:val="none" w:sz="0" w:space="0" w:color="auto"/>
            <w:left w:val="none" w:sz="0" w:space="0" w:color="auto"/>
            <w:bottom w:val="none" w:sz="0" w:space="0" w:color="auto"/>
            <w:right w:val="none" w:sz="0" w:space="0" w:color="auto"/>
          </w:divBdr>
        </w:div>
        <w:div w:id="1157574101">
          <w:marLeft w:val="547"/>
          <w:marRight w:val="0"/>
          <w:marTop w:val="134"/>
          <w:marBottom w:val="0"/>
          <w:divBdr>
            <w:top w:val="none" w:sz="0" w:space="0" w:color="auto"/>
            <w:left w:val="none" w:sz="0" w:space="0" w:color="auto"/>
            <w:bottom w:val="none" w:sz="0" w:space="0" w:color="auto"/>
            <w:right w:val="none" w:sz="0" w:space="0" w:color="auto"/>
          </w:divBdr>
        </w:div>
        <w:div w:id="132431841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ass.gov/edu/government/departments-and-boards/ese/programs/accountability/financial-support/title-i-and-other-federal-support-programs/essa-every-student-succeeds-act/non-public-private-school-equitable-srvcs-under-essa.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itleIIAGrants@doe.mass.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2.ed.gov/policy/elsec/leg/essa/essaguidance160477.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DESE-231-34673</_dlc_DocId>
    <_dlc_DocIdUrl xmlns="733efe1c-5bbe-4968-87dc-d400e65c879f">
      <Url>https://sharepoint.doemass.org/ese/webteam/cps/_layouts/DocIdRedir.aspx?ID=DESE-231-34673</Url>
      <Description>DESE-231-34673</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FD9C6-3E5B-4458-959A-F6B8323BB4D6}">
  <ds:schemaRefs>
    <ds:schemaRef ds:uri="http://schemas.microsoft.com/office/2006/metadata/propertie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F8E0189-FC33-4E63-A56E-3B87A9C29207}">
  <ds:schemaRefs>
    <ds:schemaRef ds:uri="http://schemas.microsoft.com/sharepoint/v3/contenttype/forms"/>
  </ds:schemaRefs>
</ds:datastoreItem>
</file>

<file path=customXml/itemProps3.xml><?xml version="1.0" encoding="utf-8"?>
<ds:datastoreItem xmlns:ds="http://schemas.openxmlformats.org/officeDocument/2006/customXml" ds:itemID="{39E01224-5FC7-4D4C-B507-4A47F5896D19}">
  <ds:schemaRefs>
    <ds:schemaRef ds:uri="http://schemas.microsoft.com/sharepoint/events"/>
  </ds:schemaRefs>
</ds:datastoreItem>
</file>

<file path=customXml/itemProps4.xml><?xml version="1.0" encoding="utf-8"?>
<ds:datastoreItem xmlns:ds="http://schemas.openxmlformats.org/officeDocument/2006/customXml" ds:itemID="{A4056FD2-9C25-45C4-A3D5-0A194FD54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A37CCD-A5FB-4598-A075-95F50BA94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FY2018 Fund Code 140 Title IIA Quick Reference Guide Private Schools</vt:lpstr>
    </vt:vector>
  </TitlesOfParts>
  <Company/>
  <LinksUpToDate>false</LinksUpToDate>
  <CharactersWithSpaces>3288</CharactersWithSpaces>
  <SharedDoc>false</SharedDoc>
  <HLinks>
    <vt:vector size="78" baseType="variant">
      <vt:variant>
        <vt:i4>5898261</vt:i4>
      </vt:variant>
      <vt:variant>
        <vt:i4>33</vt:i4>
      </vt:variant>
      <vt:variant>
        <vt:i4>0</vt:i4>
      </vt:variant>
      <vt:variant>
        <vt:i4>5</vt:i4>
      </vt:variant>
      <vt:variant>
        <vt:lpwstr>http://www.doe.mass.edu/edeval/resources/QRG-AlternativePathways.pdf</vt:lpwstr>
      </vt:variant>
      <vt:variant>
        <vt:lpwstr/>
      </vt:variant>
      <vt:variant>
        <vt:i4>3735608</vt:i4>
      </vt:variant>
      <vt:variant>
        <vt:i4>30</vt:i4>
      </vt:variant>
      <vt:variant>
        <vt:i4>0</vt:i4>
      </vt:variant>
      <vt:variant>
        <vt:i4>5</vt:i4>
      </vt:variant>
      <vt:variant>
        <vt:lpwstr>http://www.doe.mass.edu/edprep/cap/guidelines.pdf</vt:lpwstr>
      </vt:variant>
      <vt:variant>
        <vt:lpwstr>page=46</vt:lpwstr>
      </vt:variant>
      <vt:variant>
        <vt:i4>6815795</vt:i4>
      </vt:variant>
      <vt:variant>
        <vt:i4>27</vt:i4>
      </vt:variant>
      <vt:variant>
        <vt:i4>0</vt:i4>
      </vt:variant>
      <vt:variant>
        <vt:i4>5</vt:i4>
      </vt:variant>
      <vt:variant>
        <vt:lpwstr>https://www.youtube.com/watch?v=tIWiRYUvX8Y</vt:lpwstr>
      </vt:variant>
      <vt:variant>
        <vt:lpwstr/>
      </vt:variant>
      <vt:variant>
        <vt:i4>5570574</vt:i4>
      </vt:variant>
      <vt:variant>
        <vt:i4>24</vt:i4>
      </vt:variant>
      <vt:variant>
        <vt:i4>0</vt:i4>
      </vt:variant>
      <vt:variant>
        <vt:i4>5</vt:i4>
      </vt:variant>
      <vt:variant>
        <vt:lpwstr>http://www.doe.mass.edu/edeval/resources/implementation/CollectionToolkit.pdf</vt:lpwstr>
      </vt:variant>
      <vt:variant>
        <vt:lpwstr/>
      </vt:variant>
      <vt:variant>
        <vt:i4>65551</vt:i4>
      </vt:variant>
      <vt:variant>
        <vt:i4>21</vt:i4>
      </vt:variant>
      <vt:variant>
        <vt:i4>0</vt:i4>
      </vt:variant>
      <vt:variant>
        <vt:i4>5</vt:i4>
      </vt:variant>
      <vt:variant>
        <vt:lpwstr>http://www.doe.mass.edu/edeval/communications/newsletter/2014-08.pdf</vt:lpwstr>
      </vt:variant>
      <vt:variant>
        <vt:lpwstr/>
      </vt:variant>
      <vt:variant>
        <vt:i4>786527</vt:i4>
      </vt:variant>
      <vt:variant>
        <vt:i4>18</vt:i4>
      </vt:variant>
      <vt:variant>
        <vt:i4>0</vt:i4>
      </vt:variant>
      <vt:variant>
        <vt:i4>5</vt:i4>
      </vt:variant>
      <vt:variant>
        <vt:lpwstr>http://www.weymouthschools.org/sites/weymouthps/files/u3396/evaluation_evidence_suggestions.pdf</vt:lpwstr>
      </vt:variant>
      <vt:variant>
        <vt:lpwstr/>
      </vt:variant>
      <vt:variant>
        <vt:i4>2621564</vt:i4>
      </vt:variant>
      <vt:variant>
        <vt:i4>15</vt:i4>
      </vt:variant>
      <vt:variant>
        <vt:i4>0</vt:i4>
      </vt:variant>
      <vt:variant>
        <vt:i4>5</vt:i4>
      </vt:variant>
      <vt:variant>
        <vt:lpwstr>http://www.bostonpublicschools.org/Page/416</vt:lpwstr>
      </vt:variant>
      <vt:variant>
        <vt:lpwstr/>
      </vt:variant>
      <vt:variant>
        <vt:i4>3342387</vt:i4>
      </vt:variant>
      <vt:variant>
        <vt:i4>12</vt:i4>
      </vt:variant>
      <vt:variant>
        <vt:i4>0</vt:i4>
      </vt:variant>
      <vt:variant>
        <vt:i4>5</vt:i4>
      </vt:variant>
      <vt:variant>
        <vt:lpwstr>http://www.doe.mass.edu/edeval/resources/QRG-5StepCycle.pdf</vt:lpwstr>
      </vt:variant>
      <vt:variant>
        <vt:lpwstr/>
      </vt:variant>
      <vt:variant>
        <vt:i4>14</vt:i4>
      </vt:variant>
      <vt:variant>
        <vt:i4>9</vt:i4>
      </vt:variant>
      <vt:variant>
        <vt:i4>0</vt:i4>
      </vt:variant>
      <vt:variant>
        <vt:i4>5</vt:i4>
      </vt:variant>
      <vt:variant>
        <vt:lpwstr>http://www.doe.mass.edu/edeval/resources/pln/OnTrack-EvaluatorCapacity.pdf</vt:lpwstr>
      </vt:variant>
      <vt:variant>
        <vt:lpwstr>page=17</vt:lpwstr>
      </vt:variant>
      <vt:variant>
        <vt:i4>4259851</vt:i4>
      </vt:variant>
      <vt:variant>
        <vt:i4>6</vt:i4>
      </vt:variant>
      <vt:variant>
        <vt:i4>0</vt:i4>
      </vt:variant>
      <vt:variant>
        <vt:i4>5</vt:i4>
      </vt:variant>
      <vt:variant>
        <vt:lpwstr>http://www.doe.mass.edu/edeval/resources/rubrics/</vt:lpwstr>
      </vt:variant>
      <vt:variant>
        <vt:lpwstr/>
      </vt:variant>
      <vt:variant>
        <vt:i4>2031711</vt:i4>
      </vt:variant>
      <vt:variant>
        <vt:i4>3</vt:i4>
      </vt:variant>
      <vt:variant>
        <vt:i4>0</vt:i4>
      </vt:variant>
      <vt:variant>
        <vt:i4>5</vt:i4>
      </vt:variant>
      <vt:variant>
        <vt:lpwstr>http://www.doe.mass.edu/lawsregs/603cmr35.html?section=06</vt:lpwstr>
      </vt:variant>
      <vt:variant>
        <vt:lpwstr/>
      </vt:variant>
      <vt:variant>
        <vt:i4>2949216</vt:i4>
      </vt:variant>
      <vt:variant>
        <vt:i4>0</vt:i4>
      </vt:variant>
      <vt:variant>
        <vt:i4>0</vt:i4>
      </vt:variant>
      <vt:variant>
        <vt:i4>5</vt:i4>
      </vt:variant>
      <vt:variant>
        <vt:lpwstr>http://www.doe.mass.edu/edeval/resources/QRG-Framework.pdf</vt:lpwstr>
      </vt:variant>
      <vt:variant>
        <vt:lpwstr/>
      </vt:variant>
      <vt:variant>
        <vt:i4>1376354</vt:i4>
      </vt:variant>
      <vt:variant>
        <vt:i4>0</vt:i4>
      </vt:variant>
      <vt:variant>
        <vt:i4>0</vt:i4>
      </vt:variant>
      <vt:variant>
        <vt:i4>5</vt:i4>
      </vt:variant>
      <vt:variant>
        <vt:lpwstr>mailto:EducatorEvaluation@doe.mass.edu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140 Title IIA Quick Reference Guide Private Schools</dc:title>
  <dc:creator>ESE</dc:creator>
  <cp:lastModifiedBy>dzou</cp:lastModifiedBy>
  <cp:revision>6</cp:revision>
  <cp:lastPrinted>2015-04-13T18:55:00Z</cp:lastPrinted>
  <dcterms:created xsi:type="dcterms:W3CDTF">2017-07-05T19:05:00Z</dcterms:created>
  <dcterms:modified xsi:type="dcterms:W3CDTF">2017-07-13T14:33:00Z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13 2017</vt:lpwstr>
  </property>
</Properties>
</file>