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08" w:rsidRDefault="00AA1308" w:rsidP="00AA1308">
      <w:pPr>
        <w:spacing w:after="0" w:line="240" w:lineRule="auto"/>
        <w:rPr>
          <w:b/>
        </w:rPr>
      </w:pPr>
      <w:bookmarkStart w:id="0" w:name="_GoBack"/>
      <w:bookmarkEnd w:id="0"/>
    </w:p>
    <w:p w:rsidR="00A83B5D" w:rsidRDefault="00A83B5D">
      <w:r>
        <w:t xml:space="preserve">The Massachusetts Department of Elementary and Secondary Education (ESE) has selected the UMass Donahue Institute (UMDI) to conduct both state-level and local evaluation activities for the Massachusetts Math and Science Partnership (MMSP) grants. </w:t>
      </w:r>
      <w:r w:rsidR="00ED1140">
        <w:t>This document</w:t>
      </w:r>
      <w:r>
        <w:t xml:space="preserve"> provides partnership grantees with an overview of UMDI’</w:t>
      </w:r>
      <w:r w:rsidR="0048283D">
        <w:t>s approach to that work</w:t>
      </w:r>
      <w:r w:rsidR="00DC2EAF">
        <w:t xml:space="preserve">. </w:t>
      </w:r>
    </w:p>
    <w:p w:rsidR="000E69EF" w:rsidRPr="000E69EF" w:rsidRDefault="000E69EF" w:rsidP="000E69EF">
      <w:pPr>
        <w:pStyle w:val="Heading2"/>
      </w:pPr>
      <w:r w:rsidRPr="000E69EF">
        <w:t>Evaluation Goals</w:t>
      </w:r>
      <w:r w:rsidR="00097D62">
        <w:t xml:space="preserve"> and Research Questions</w:t>
      </w:r>
    </w:p>
    <w:p w:rsidR="003942AE" w:rsidRDefault="003942AE" w:rsidP="00097D62">
      <w:pPr>
        <w:spacing w:after="120" w:line="240" w:lineRule="auto"/>
      </w:pPr>
      <w:r>
        <w:t xml:space="preserve">The statewide and local evaluations will be guided by the following evaluation goals and research questions. </w:t>
      </w:r>
    </w:p>
    <w:p w:rsidR="00097D62" w:rsidRDefault="00097D62" w:rsidP="00DC2CC1">
      <w:pPr>
        <w:pStyle w:val="ListParagraph"/>
        <w:numPr>
          <w:ilvl w:val="0"/>
          <w:numId w:val="12"/>
        </w:numPr>
        <w:spacing w:after="120"/>
        <w:contextualSpacing w:val="0"/>
      </w:pPr>
      <w:r>
        <w:t>Facilitate partnership’s annual federal reporting and provide ESE with a statewide report of the data required for federal reporting.</w:t>
      </w:r>
    </w:p>
    <w:p w:rsidR="00EB1946" w:rsidRDefault="00EB1946" w:rsidP="00DC2CC1">
      <w:pPr>
        <w:pStyle w:val="ListParagraph"/>
        <w:numPr>
          <w:ilvl w:val="0"/>
          <w:numId w:val="12"/>
        </w:numPr>
        <w:spacing w:after="60"/>
        <w:contextualSpacing w:val="0"/>
      </w:pPr>
      <w:r>
        <w:t>Provide ESE and partnerships with timely formative feedback to support program implementation and refinement.</w:t>
      </w:r>
    </w:p>
    <w:p w:rsidR="00097D62" w:rsidRDefault="00D12E87" w:rsidP="00DC2CC1">
      <w:pPr>
        <w:pStyle w:val="ListParagraph"/>
        <w:numPr>
          <w:ilvl w:val="1"/>
          <w:numId w:val="12"/>
        </w:numPr>
        <w:spacing w:after="60"/>
        <w:contextualSpacing w:val="0"/>
      </w:pPr>
      <w:r>
        <w:t>Do participating educators perceive MMSP courses and follow-up activities to be of high quality and relevant to their work? To what extent do they report effects on their classroom practice?</w:t>
      </w:r>
      <w:r w:rsidR="001A70D6">
        <w:t xml:space="preserve"> If partnerships are falling short of these goals, </w:t>
      </w:r>
      <w:r w:rsidR="00745EB7">
        <w:t>in what ways</w:t>
      </w:r>
      <w:r w:rsidR="001A70D6">
        <w:t xml:space="preserve"> could their effectiveness be improved?</w:t>
      </w:r>
    </w:p>
    <w:p w:rsidR="00D12E87" w:rsidRDefault="00D12E87" w:rsidP="00DC2CC1">
      <w:pPr>
        <w:pStyle w:val="ListParagraph"/>
        <w:numPr>
          <w:ilvl w:val="1"/>
          <w:numId w:val="12"/>
        </w:numPr>
        <w:spacing w:after="60"/>
        <w:contextualSpacing w:val="0"/>
      </w:pPr>
      <w:r>
        <w:t>What aspects of each partnership (relationships among partners, roles and responsibilities, structures and processes) are working well? What are the opportunities for improvement?</w:t>
      </w:r>
    </w:p>
    <w:p w:rsidR="00781F0C" w:rsidRDefault="00781F0C" w:rsidP="00DC2CC1">
      <w:pPr>
        <w:pStyle w:val="ListParagraph"/>
        <w:numPr>
          <w:ilvl w:val="1"/>
          <w:numId w:val="12"/>
        </w:numPr>
        <w:spacing w:after="60"/>
        <w:contextualSpacing w:val="0"/>
      </w:pPr>
      <w:r>
        <w:t>To what extent are</w:t>
      </w:r>
      <w:r w:rsidR="000E5C5E">
        <w:t xml:space="preserve"> new</w:t>
      </w:r>
      <w:r>
        <w:t xml:space="preserve"> </w:t>
      </w:r>
      <w:r w:rsidR="000E5C5E" w:rsidRPr="000E5C5E">
        <w:rPr>
          <w:b/>
        </w:rPr>
        <w:t>Student Growth Measures</w:t>
      </w:r>
      <w:r>
        <w:t xml:space="preserve"> helping partnerships to effectively focus their MMSP projects? What challenges are partnerships facing in selecting, developing and piloting those measures in support of MMSP?</w:t>
      </w:r>
    </w:p>
    <w:p w:rsidR="00781F0C" w:rsidRDefault="00D12E87" w:rsidP="00DC2CC1">
      <w:pPr>
        <w:pStyle w:val="ListParagraph"/>
        <w:numPr>
          <w:ilvl w:val="1"/>
          <w:numId w:val="12"/>
        </w:numPr>
        <w:spacing w:after="120"/>
        <w:contextualSpacing w:val="0"/>
      </w:pPr>
      <w:r>
        <w:t>In what ways is ESE effectively supporting partnerships? What additional resources and supports would be helpful?</w:t>
      </w:r>
    </w:p>
    <w:p w:rsidR="00EB1946" w:rsidRDefault="00DC2CC1" w:rsidP="003942AE">
      <w:pPr>
        <w:pStyle w:val="ListParagraph"/>
        <w:numPr>
          <w:ilvl w:val="0"/>
          <w:numId w:val="12"/>
        </w:numPr>
        <w:spacing w:after="120"/>
        <w:contextualSpacing w:val="0"/>
      </w:pPr>
      <w:r>
        <w:t>A</w:t>
      </w:r>
      <w:r w:rsidR="00EB1946">
        <w:t>ssess statewide and partnership progress toward achievement of the program’s articulated goals.</w:t>
      </w:r>
    </w:p>
    <w:p w:rsidR="00D12E87" w:rsidRDefault="00D12E87" w:rsidP="009C3B22">
      <w:pPr>
        <w:pStyle w:val="ListParagraph"/>
        <w:numPr>
          <w:ilvl w:val="1"/>
          <w:numId w:val="12"/>
        </w:numPr>
        <w:spacing w:after="60"/>
        <w:contextualSpacing w:val="0"/>
      </w:pPr>
      <w:r>
        <w:t>To what extent are MMSP courses being integrated into the regular in-service course offerings of higher education partners? Is that integration sustained over time?</w:t>
      </w:r>
      <w:r w:rsidR="001A70D6">
        <w:t xml:space="preserve"> If partnerships are falling short on this goal, what are the barriers to successful integration?</w:t>
      </w:r>
    </w:p>
    <w:p w:rsidR="00D12E87" w:rsidRDefault="00781F0C" w:rsidP="009C3B22">
      <w:pPr>
        <w:pStyle w:val="ListParagraph"/>
        <w:numPr>
          <w:ilvl w:val="1"/>
          <w:numId w:val="12"/>
        </w:numPr>
        <w:spacing w:after="60"/>
        <w:contextualSpacing w:val="0"/>
      </w:pPr>
      <w:r>
        <w:t xml:space="preserve">What progress have partnerships made in selecting, developing and piloting </w:t>
      </w:r>
      <w:r w:rsidR="000E5C5E">
        <w:t>measures that assess</w:t>
      </w:r>
      <w:r>
        <w:t xml:space="preserve"> student </w:t>
      </w:r>
      <w:r w:rsidRPr="000E5C5E">
        <w:rPr>
          <w:i/>
        </w:rPr>
        <w:t>growth</w:t>
      </w:r>
      <w:r>
        <w:t xml:space="preserve"> relative to subject matter standards? In what ways are they integrated into the work of the partnerships? Do participating educators find those measures to be instructionally useful? </w:t>
      </w:r>
    </w:p>
    <w:p w:rsidR="00781F0C" w:rsidRDefault="00745EB7" w:rsidP="009C3B22">
      <w:pPr>
        <w:pStyle w:val="ListParagraph"/>
        <w:numPr>
          <w:ilvl w:val="1"/>
          <w:numId w:val="12"/>
        </w:numPr>
        <w:spacing w:after="60"/>
        <w:contextualSpacing w:val="0"/>
      </w:pPr>
      <w:r>
        <w:t xml:space="preserve">Are MMSP professional development initiatives being implemented in accordance with the Massachusetts Standards for Professional Development? </w:t>
      </w:r>
      <w:r w:rsidR="00781F0C">
        <w:t>How many STEM teachers in partner school districts are participating in MMSP professional development? To what extent do p</w:t>
      </w:r>
      <w:r w:rsidR="001A70D6">
        <w:t>articipants demonstrate advancement</w:t>
      </w:r>
      <w:r w:rsidR="00781F0C">
        <w:t xml:space="preserve"> in their knowledge of subject matter standards, disciplinary practices, and student learning?</w:t>
      </w:r>
    </w:p>
    <w:p w:rsidR="001A70D6" w:rsidRDefault="001A70D6" w:rsidP="009C3B22">
      <w:pPr>
        <w:pStyle w:val="ListParagraph"/>
        <w:numPr>
          <w:ilvl w:val="1"/>
          <w:numId w:val="12"/>
        </w:numPr>
        <w:spacing w:after="120"/>
        <w:contextualSpacing w:val="0"/>
      </w:pPr>
      <w:r>
        <w:lastRenderedPageBreak/>
        <w:t>To what extent are partner districts integrating MMSP professional development with their district and school STEM improvement initiatives? Is that integration sustained over time? If districts are falling short on this goal, what are the barriers to successful integration?</w:t>
      </w:r>
    </w:p>
    <w:p w:rsidR="00EB1946" w:rsidRDefault="00097D62" w:rsidP="00EB1946">
      <w:pPr>
        <w:pStyle w:val="ListParagraph"/>
        <w:numPr>
          <w:ilvl w:val="0"/>
          <w:numId w:val="12"/>
        </w:numPr>
      </w:pPr>
      <w:r>
        <w:t>Track</w:t>
      </w:r>
      <w:r w:rsidR="00EB1946">
        <w:t xml:space="preserve"> changes in the achievement of </w:t>
      </w:r>
      <w:r w:rsidR="00EB1946" w:rsidRPr="00F7374A">
        <w:t>students</w:t>
      </w:r>
      <w:r w:rsidR="00A83B5D">
        <w:t xml:space="preserve"> </w:t>
      </w:r>
      <w:r w:rsidR="00EB1946">
        <w:t>taught by MMSP participants.</w:t>
      </w:r>
      <w:r w:rsidR="00EB1946" w:rsidRPr="00EB1946">
        <w:t xml:space="preserve"> </w:t>
      </w:r>
    </w:p>
    <w:p w:rsidR="009C3B22" w:rsidRDefault="009C3B22" w:rsidP="009C3B22">
      <w:pPr>
        <w:pStyle w:val="ListParagraph"/>
        <w:numPr>
          <w:ilvl w:val="1"/>
          <w:numId w:val="12"/>
        </w:numPr>
        <w:spacing w:after="60"/>
        <w:contextualSpacing w:val="0"/>
      </w:pPr>
      <w:r>
        <w:t xml:space="preserve">To what extent are </w:t>
      </w:r>
      <w:r w:rsidR="000E5C5E">
        <w:t xml:space="preserve">student growth measures </w:t>
      </w:r>
      <w:r>
        <w:t xml:space="preserve">showing </w:t>
      </w:r>
      <w:r w:rsidR="000E5C5E">
        <w:t>changes</w:t>
      </w:r>
      <w:r>
        <w:t xml:space="preserve"> in achievement</w:t>
      </w:r>
      <w:r w:rsidR="00A81E3F">
        <w:t xml:space="preserve"> among middle school students with teachers participating in MMSP</w:t>
      </w:r>
      <w:r>
        <w:t>?</w:t>
      </w:r>
    </w:p>
    <w:p w:rsidR="009C3B22" w:rsidRDefault="009C3B22" w:rsidP="009C3B22">
      <w:pPr>
        <w:pStyle w:val="ListParagraph"/>
        <w:numPr>
          <w:ilvl w:val="1"/>
          <w:numId w:val="12"/>
        </w:numPr>
        <w:spacing w:after="60"/>
        <w:contextualSpacing w:val="0"/>
      </w:pPr>
      <w:r>
        <w:t>Are there correlations between the level of teacher participation (number of courses), impact on teacher knowledge and skills (pre/post assessment) and student growth?</w:t>
      </w:r>
    </w:p>
    <w:p w:rsidR="009C3B22" w:rsidRDefault="00A81E3F" w:rsidP="009C3B22">
      <w:pPr>
        <w:pStyle w:val="ListParagraph"/>
        <w:numPr>
          <w:ilvl w:val="1"/>
          <w:numId w:val="12"/>
        </w:numPr>
        <w:spacing w:after="60"/>
        <w:contextualSpacing w:val="0"/>
      </w:pPr>
      <w:r>
        <w:t xml:space="preserve">Are there correlations between student achievement as demonstrated by the selected </w:t>
      </w:r>
      <w:r w:rsidR="000E5C5E">
        <w:t>growth measures</w:t>
      </w:r>
      <w:r>
        <w:t xml:space="preserve"> and results of statewide assessments? </w:t>
      </w:r>
    </w:p>
    <w:p w:rsidR="000E69EF" w:rsidRDefault="00357416" w:rsidP="00A83B5D">
      <w:pPr>
        <w:pStyle w:val="Heading2"/>
      </w:pPr>
      <w:r>
        <w:t xml:space="preserve">Methods and </w:t>
      </w:r>
      <w:r w:rsidR="000E69EF">
        <w:t xml:space="preserve">Data Sources </w:t>
      </w:r>
    </w:p>
    <w:p w:rsidR="003942AE" w:rsidRPr="003942AE" w:rsidRDefault="003942AE" w:rsidP="003942AE">
      <w:r>
        <w:t>Statewide and local evaluations will utilize a common approach and structure drawing on a core data</w:t>
      </w:r>
      <w:r w:rsidR="00724C74">
        <w:t xml:space="preserve"> sources</w:t>
      </w:r>
      <w:r>
        <w:t xml:space="preserve"> </w:t>
      </w:r>
      <w:r w:rsidR="0003445C">
        <w:t>described</w:t>
      </w:r>
      <w:r>
        <w:t xml:space="preserve"> in more detail below.  </w:t>
      </w:r>
      <w:r w:rsidR="0048283D">
        <w:t>If desired, p</w:t>
      </w:r>
      <w:r>
        <w:t xml:space="preserve">artnerships </w:t>
      </w:r>
      <w:r w:rsidR="0048283D">
        <w:t>may</w:t>
      </w:r>
      <w:r>
        <w:t xml:space="preserve"> receive customized support </w:t>
      </w:r>
      <w:r w:rsidR="00724C74">
        <w:t xml:space="preserve">in relation to developing course-specific pre/post content knowledge assessments and analyzing their selected </w:t>
      </w:r>
      <w:r w:rsidR="00F56C6C">
        <w:t>student growth measures</w:t>
      </w:r>
      <w:r w:rsidR="00724C74">
        <w:t xml:space="preserve">.  </w:t>
      </w:r>
    </w:p>
    <w:p w:rsidR="000E69EF" w:rsidRDefault="00E314FA" w:rsidP="00E314FA">
      <w:pPr>
        <w:spacing w:after="0"/>
        <w:rPr>
          <w:b/>
        </w:rPr>
      </w:pPr>
      <w:r w:rsidRPr="00E314FA">
        <w:rPr>
          <w:b/>
        </w:rPr>
        <w:t>End-of-course report packages</w:t>
      </w:r>
    </w:p>
    <w:p w:rsidR="00E314FA" w:rsidRDefault="00E314FA" w:rsidP="003A40D6">
      <w:pPr>
        <w:rPr>
          <w:rFonts w:ascii="Calibri" w:eastAsia="Calibri" w:hAnsi="Calibri" w:cs="Times New Roman"/>
        </w:rPr>
      </w:pPr>
      <w:r>
        <w:t xml:space="preserve">Over the years, </w:t>
      </w:r>
      <w:r>
        <w:rPr>
          <w:rFonts w:ascii="Calibri" w:eastAsia="Calibri" w:hAnsi="Calibri" w:cs="Times New Roman"/>
        </w:rPr>
        <w:t xml:space="preserve">UMDI and ESE have established an ongoing reporting system for all partnerships, consisting primarily of end-of-course summary report packages. Those report packages include: </w:t>
      </w:r>
      <w:r w:rsidRPr="000E6AB4">
        <w:rPr>
          <w:rFonts w:ascii="Calibri" w:eastAsia="Calibri" w:hAnsi="Calibri" w:cs="Times New Roman"/>
          <w:b/>
        </w:rPr>
        <w:t>course enrollment and completion rates;</w:t>
      </w:r>
      <w:r w:rsidR="0003445C" w:rsidRPr="000E6AB4">
        <w:rPr>
          <w:rFonts w:ascii="Calibri" w:eastAsia="Calibri" w:hAnsi="Calibri" w:cs="Times New Roman"/>
          <w:b/>
        </w:rPr>
        <w:t xml:space="preserve"> email addresses for all enrollees;</w:t>
      </w:r>
      <w:r w:rsidRPr="000E6AB4">
        <w:rPr>
          <w:rFonts w:ascii="Calibri" w:eastAsia="Calibri" w:hAnsi="Calibri" w:cs="Times New Roman"/>
          <w:b/>
        </w:rPr>
        <w:t xml:space="preserve"> individual pre/post-results of the required participant content knowledge assessment; and completed </w:t>
      </w:r>
      <w:r w:rsidR="0048283D">
        <w:rPr>
          <w:rFonts w:ascii="Calibri" w:eastAsia="Calibri" w:hAnsi="Calibri" w:cs="Times New Roman"/>
          <w:b/>
        </w:rPr>
        <w:t>end of course</w:t>
      </w:r>
      <w:r w:rsidRPr="000E6AB4">
        <w:rPr>
          <w:rFonts w:ascii="Calibri" w:eastAsia="Calibri" w:hAnsi="Calibri" w:cs="Times New Roman"/>
          <w:b/>
        </w:rPr>
        <w:t xml:space="preserve"> surveys.</w:t>
      </w:r>
      <w:r>
        <w:rPr>
          <w:rFonts w:ascii="Calibri" w:eastAsia="Calibri" w:hAnsi="Calibri" w:cs="Times New Roman"/>
        </w:rPr>
        <w:t xml:space="preserve"> In cases where partnerships are providing data on individual participants (pre/post-results and the </w:t>
      </w:r>
      <w:r w:rsidR="0048283D">
        <w:rPr>
          <w:rFonts w:ascii="Calibri" w:eastAsia="Calibri" w:hAnsi="Calibri" w:cs="Times New Roman"/>
        </w:rPr>
        <w:t>course</w:t>
      </w:r>
      <w:r>
        <w:rPr>
          <w:rFonts w:ascii="Calibri" w:eastAsia="Calibri" w:hAnsi="Calibri" w:cs="Times New Roman"/>
        </w:rPr>
        <w:t xml:space="preserve"> surveys) those data </w:t>
      </w:r>
      <w:r w:rsidR="00724C74">
        <w:rPr>
          <w:rFonts w:ascii="Calibri" w:eastAsia="Calibri" w:hAnsi="Calibri" w:cs="Times New Roman"/>
        </w:rPr>
        <w:t>are</w:t>
      </w:r>
      <w:r>
        <w:rPr>
          <w:rFonts w:ascii="Calibri" w:eastAsia="Calibri" w:hAnsi="Calibri" w:cs="Times New Roman"/>
        </w:rPr>
        <w:t xml:space="preserve"> collected using a prescribed individual coding system which allows data to be linked </w:t>
      </w:r>
      <w:r w:rsidRPr="003A40D6">
        <w:t>anonymously</w:t>
      </w:r>
      <w:r>
        <w:rPr>
          <w:rFonts w:ascii="Calibri" w:eastAsia="Calibri" w:hAnsi="Calibri" w:cs="Times New Roman"/>
        </w:rPr>
        <w:t xml:space="preserve"> across various instruments and program years.</w:t>
      </w:r>
    </w:p>
    <w:p w:rsidR="00FF0620" w:rsidRDefault="00FF0620" w:rsidP="003A40D6">
      <w:pPr>
        <w:rPr>
          <w:rFonts w:ascii="Calibri" w:eastAsia="Calibri" w:hAnsi="Calibri" w:cs="Times New Roman"/>
        </w:rPr>
      </w:pPr>
      <w:r>
        <w:rPr>
          <w:rFonts w:ascii="Calibri" w:eastAsia="Calibri" w:hAnsi="Calibri" w:cs="Times New Roman"/>
        </w:rPr>
        <w:t xml:space="preserve">UMDI collects this </w:t>
      </w:r>
      <w:r w:rsidRPr="003A40D6">
        <w:t>information</w:t>
      </w:r>
      <w:r>
        <w:rPr>
          <w:rFonts w:ascii="Calibri" w:eastAsia="Calibri" w:hAnsi="Calibri" w:cs="Times New Roman"/>
        </w:rPr>
        <w:t xml:space="preserve"> on a regular basis and provides ESE with monthly status reports related to partnership course activity. Following the end of the grant year (August), UMDI provides annual data to the partnerships (September-October), which are responsible for submitting federal reports (October) and then compiles an annual report for ESE (</w:t>
      </w:r>
      <w:r w:rsidR="00756B84">
        <w:rPr>
          <w:rFonts w:ascii="Calibri" w:eastAsia="Calibri" w:hAnsi="Calibri" w:cs="Times New Roman"/>
        </w:rPr>
        <w:t>December</w:t>
      </w:r>
      <w:r>
        <w:rPr>
          <w:rFonts w:ascii="Calibri" w:eastAsia="Calibri" w:hAnsi="Calibri" w:cs="Times New Roman"/>
        </w:rPr>
        <w:t xml:space="preserve">). </w:t>
      </w:r>
    </w:p>
    <w:p w:rsidR="00724C74" w:rsidRDefault="00724C74" w:rsidP="00724C74">
      <w:pPr>
        <w:spacing w:after="0"/>
        <w:rPr>
          <w:b/>
        </w:rPr>
      </w:pPr>
      <w:r>
        <w:rPr>
          <w:b/>
        </w:rPr>
        <w:t>Partnership Interviews</w:t>
      </w:r>
    </w:p>
    <w:p w:rsidR="0003445C" w:rsidRDefault="006E0AAE" w:rsidP="003A40D6">
      <w:pPr>
        <w:rPr>
          <w:b/>
        </w:rPr>
      </w:pPr>
      <w:r>
        <w:t>I</w:t>
      </w:r>
      <w:r w:rsidR="00724C74">
        <w:t xml:space="preserve">nterviews with </w:t>
      </w:r>
      <w:r>
        <w:t>the core partners</w:t>
      </w:r>
      <w:r w:rsidR="00724C74">
        <w:t xml:space="preserve"> </w:t>
      </w:r>
      <w:r>
        <w:t>of each grant</w:t>
      </w:r>
      <w:r w:rsidR="00724C74">
        <w:t xml:space="preserve"> will </w:t>
      </w:r>
      <w:r>
        <w:t>focus</w:t>
      </w:r>
      <w:r w:rsidR="00724C74">
        <w:t xml:space="preserve"> on gathering </w:t>
      </w:r>
      <w:r>
        <w:t>data</w:t>
      </w:r>
      <w:r w:rsidR="00724C74">
        <w:t xml:space="preserve"> relative to </w:t>
      </w:r>
      <w:r>
        <w:t xml:space="preserve">evaluation goals </w:t>
      </w:r>
      <w:r w:rsidR="00FF0620">
        <w:t>2</w:t>
      </w:r>
      <w:r>
        <w:t xml:space="preserve"> (timely formative feedback) and 3 (progress toward meeting the program goals). Other significant partners will be added at </w:t>
      </w:r>
      <w:r w:rsidRPr="003A40D6">
        <w:rPr>
          <w:rFonts w:ascii="Calibri" w:eastAsia="Calibri" w:hAnsi="Calibri" w:cs="Times New Roman"/>
        </w:rPr>
        <w:t>the</w:t>
      </w:r>
      <w:r>
        <w:t xml:space="preserve"> discretion of the evaluation team with input from the partnership and ESE. These interviews will take </w:t>
      </w:r>
      <w:r w:rsidRPr="003A40D6">
        <w:rPr>
          <w:rFonts w:ascii="Calibri" w:eastAsia="Calibri" w:hAnsi="Calibri" w:cs="Times New Roman"/>
        </w:rPr>
        <w:t>place</w:t>
      </w:r>
      <w:r>
        <w:t xml:space="preserve"> in </w:t>
      </w:r>
      <w:r w:rsidR="0048283D">
        <w:t xml:space="preserve">early </w:t>
      </w:r>
      <w:r w:rsidR="00F7374A">
        <w:t>2017</w:t>
      </w:r>
      <w:r>
        <w:t xml:space="preserve"> </w:t>
      </w:r>
      <w:r w:rsidR="00FF0620">
        <w:t xml:space="preserve">resulting in structured management briefs to ESE and each </w:t>
      </w:r>
      <w:r w:rsidR="0003445C">
        <w:t>p</w:t>
      </w:r>
      <w:r w:rsidR="00FF0620">
        <w:t xml:space="preserve">artnership by the end of </w:t>
      </w:r>
      <w:r w:rsidR="00F7374A">
        <w:t>April</w:t>
      </w:r>
      <w:r w:rsidR="00FF0620">
        <w:t xml:space="preserve"> </w:t>
      </w:r>
      <w:r w:rsidR="00F7374A">
        <w:t>2017</w:t>
      </w:r>
      <w:r w:rsidR="00FF0620">
        <w:t>.</w:t>
      </w:r>
    </w:p>
    <w:p w:rsidR="00FF0620" w:rsidRDefault="0003445C" w:rsidP="00FF0620">
      <w:pPr>
        <w:spacing w:after="0"/>
        <w:rPr>
          <w:b/>
        </w:rPr>
      </w:pPr>
      <w:r>
        <w:rPr>
          <w:b/>
        </w:rPr>
        <w:t>Annual</w:t>
      </w:r>
      <w:r w:rsidR="00FF0620">
        <w:rPr>
          <w:b/>
        </w:rPr>
        <w:t xml:space="preserve"> Participant Survey</w:t>
      </w:r>
    </w:p>
    <w:p w:rsidR="00B3373D" w:rsidRDefault="00FF0620" w:rsidP="003A40D6">
      <w:r>
        <w:t xml:space="preserve">In addition to end-of-course surveys, UMDI will develop and administer </w:t>
      </w:r>
      <w:r w:rsidR="0003445C">
        <w:t xml:space="preserve">an annual survey of MMSP course participants. </w:t>
      </w:r>
      <w:r w:rsidR="00B3373D">
        <w:t xml:space="preserve">This survey will provide an opportunity to gather participant feedback on the partnership’s professional </w:t>
      </w:r>
      <w:r w:rsidR="00B3373D" w:rsidRPr="003A40D6">
        <w:rPr>
          <w:rFonts w:ascii="Calibri" w:eastAsia="Calibri" w:hAnsi="Calibri" w:cs="Times New Roman"/>
        </w:rPr>
        <w:t>development</w:t>
      </w:r>
      <w:r w:rsidR="00B3373D">
        <w:t xml:space="preserve"> program more broadly, including the follow-up component and </w:t>
      </w:r>
      <w:r w:rsidR="00B3373D">
        <w:lastRenderedPageBreak/>
        <w:t>how the individual course offerings fit together into a coherent course of study. Participants will also be able to reflect upon the extent to which their participation impacted their classroom practice.</w:t>
      </w:r>
      <w:r w:rsidR="00B3373D" w:rsidRPr="00B3373D">
        <w:t xml:space="preserve"> </w:t>
      </w:r>
      <w:r w:rsidR="00B3373D">
        <w:t xml:space="preserve">The survey will be administered online using Qualtrics survey software. UMDI will create an unduplicated email list of participants and send individualized links </w:t>
      </w:r>
      <w:r w:rsidR="00D31722">
        <w:t xml:space="preserve">directly to each participant, which </w:t>
      </w:r>
      <w:r w:rsidR="00B3373D">
        <w:t xml:space="preserve">will allow us to track survey response rates and conduct analysis at the partnership level. </w:t>
      </w:r>
      <w:r w:rsidR="001F13A2">
        <w:t xml:space="preserve"> UMDI will provide technical reports of survey responses at the statewide and partnership level.</w:t>
      </w:r>
    </w:p>
    <w:p w:rsidR="000E6AB4" w:rsidRDefault="00F56C6C" w:rsidP="000E6AB4">
      <w:pPr>
        <w:spacing w:after="0"/>
        <w:rPr>
          <w:b/>
        </w:rPr>
      </w:pPr>
      <w:r>
        <w:rPr>
          <w:b/>
        </w:rPr>
        <w:t>Student Growth Measures</w:t>
      </w:r>
    </w:p>
    <w:p w:rsidR="000E6AB4" w:rsidRDefault="000E6AB4" w:rsidP="003A40D6">
      <w:r>
        <w:t>UMDI will work with each partnership to fully understand the</w:t>
      </w:r>
      <w:r w:rsidR="00F56C6C">
        <w:t xml:space="preserve"> student growth measures</w:t>
      </w:r>
      <w:r>
        <w:t xml:space="preserve"> that have been </w:t>
      </w:r>
      <w:r w:rsidR="00F56C6C">
        <w:t>developed and establish</w:t>
      </w:r>
      <w:r>
        <w:t xml:space="preserve"> a process through which those partnerships can provide middle school-level data for analysis in relation to evaluation goal 4 (tracking changes in student achievement).</w:t>
      </w:r>
      <w:r w:rsidR="00F56C6C">
        <w:t xml:space="preserve"> This will result in</w:t>
      </w:r>
      <w:r w:rsidR="001F13A2">
        <w:t xml:space="preserve"> analysis reports for each partnership as well as a statewide summary report for ESE.</w:t>
      </w:r>
      <w:r>
        <w:t xml:space="preserve">  In cases where partnerships are also serving elementary and/or high school students, UMDI will provide technical assistance to support the partnerships’ analysis of </w:t>
      </w:r>
      <w:r w:rsidR="00F56C6C">
        <w:t>student growth measures</w:t>
      </w:r>
      <w:r>
        <w:t xml:space="preserve"> for those levels. </w:t>
      </w:r>
    </w:p>
    <w:p w:rsidR="000E69EF" w:rsidRPr="000E69EF" w:rsidRDefault="00357416" w:rsidP="000E69EF">
      <w:pPr>
        <w:pStyle w:val="Heading2"/>
      </w:pPr>
      <w:r>
        <w:t xml:space="preserve">Timeline and </w:t>
      </w:r>
      <w:r w:rsidR="00FF0620">
        <w:t>Deliverables</w:t>
      </w:r>
    </w:p>
    <w:tbl>
      <w:tblPr>
        <w:tblStyle w:val="TableGrid"/>
        <w:tblW w:w="9468" w:type="dxa"/>
        <w:tblLook w:val="04A0"/>
      </w:tblPr>
      <w:tblGrid>
        <w:gridCol w:w="2628"/>
        <w:gridCol w:w="3150"/>
        <w:gridCol w:w="3690"/>
      </w:tblGrid>
      <w:tr w:rsidR="00357416" w:rsidRPr="00357416" w:rsidTr="00F7374A">
        <w:tc>
          <w:tcPr>
            <w:tcW w:w="2628" w:type="dxa"/>
          </w:tcPr>
          <w:p w:rsidR="00357416" w:rsidRPr="00357416" w:rsidRDefault="00357416" w:rsidP="000E69EF">
            <w:pPr>
              <w:rPr>
                <w:i/>
              </w:rPr>
            </w:pPr>
            <w:r w:rsidRPr="00357416">
              <w:rPr>
                <w:i/>
              </w:rPr>
              <w:t>Activity</w:t>
            </w:r>
          </w:p>
        </w:tc>
        <w:tc>
          <w:tcPr>
            <w:tcW w:w="3150" w:type="dxa"/>
          </w:tcPr>
          <w:p w:rsidR="00357416" w:rsidRPr="00357416" w:rsidRDefault="00357416" w:rsidP="000E69EF">
            <w:pPr>
              <w:rPr>
                <w:i/>
              </w:rPr>
            </w:pPr>
            <w:r w:rsidRPr="00357416">
              <w:rPr>
                <w:i/>
              </w:rPr>
              <w:t>Deliverables</w:t>
            </w:r>
          </w:p>
        </w:tc>
        <w:tc>
          <w:tcPr>
            <w:tcW w:w="3690" w:type="dxa"/>
          </w:tcPr>
          <w:p w:rsidR="00357416" w:rsidRPr="00357416" w:rsidRDefault="00357416" w:rsidP="005B54A8">
            <w:pPr>
              <w:rPr>
                <w:i/>
              </w:rPr>
            </w:pPr>
            <w:r w:rsidRPr="00357416">
              <w:rPr>
                <w:i/>
              </w:rPr>
              <w:t>Timing</w:t>
            </w:r>
          </w:p>
        </w:tc>
      </w:tr>
      <w:tr w:rsidR="001F13A2" w:rsidTr="00F7374A">
        <w:tc>
          <w:tcPr>
            <w:tcW w:w="2628" w:type="dxa"/>
            <w:vMerge w:val="restart"/>
          </w:tcPr>
          <w:p w:rsidR="001F13A2" w:rsidRDefault="00F7374A" w:rsidP="001F13A2">
            <w:pPr>
              <w:spacing w:before="20" w:after="20"/>
            </w:pPr>
            <w:r>
              <w:t>Process</w:t>
            </w:r>
            <w:r w:rsidR="001F13A2">
              <w:t xml:space="preserve"> data for federal and state reporting</w:t>
            </w:r>
          </w:p>
        </w:tc>
        <w:tc>
          <w:tcPr>
            <w:tcW w:w="3150" w:type="dxa"/>
          </w:tcPr>
          <w:p w:rsidR="001F13A2" w:rsidRDefault="001F13A2" w:rsidP="001F13A2">
            <w:pPr>
              <w:spacing w:before="20" w:after="20"/>
            </w:pPr>
            <w:r>
              <w:t>Data submitted to partnerships</w:t>
            </w:r>
          </w:p>
        </w:tc>
        <w:tc>
          <w:tcPr>
            <w:tcW w:w="3690" w:type="dxa"/>
          </w:tcPr>
          <w:p w:rsidR="001F13A2" w:rsidRDefault="0048283D" w:rsidP="00F7374A">
            <w:pPr>
              <w:spacing w:before="20" w:after="20"/>
            </w:pPr>
            <w:r>
              <w:t xml:space="preserve">September-October </w:t>
            </w:r>
            <w:r w:rsidR="00F7374A">
              <w:t>(2016 and 2017)</w:t>
            </w:r>
          </w:p>
        </w:tc>
      </w:tr>
      <w:tr w:rsidR="001F13A2" w:rsidTr="00F7374A">
        <w:tc>
          <w:tcPr>
            <w:tcW w:w="2628" w:type="dxa"/>
            <w:vMerge/>
          </w:tcPr>
          <w:p w:rsidR="001F13A2" w:rsidRDefault="001F13A2" w:rsidP="001F13A2">
            <w:pPr>
              <w:spacing w:before="20" w:after="20"/>
            </w:pPr>
          </w:p>
        </w:tc>
        <w:tc>
          <w:tcPr>
            <w:tcW w:w="3150" w:type="dxa"/>
          </w:tcPr>
          <w:p w:rsidR="001F13A2" w:rsidRDefault="001F13A2" w:rsidP="001F13A2">
            <w:pPr>
              <w:spacing w:before="20" w:after="20"/>
            </w:pPr>
            <w:r>
              <w:t>Statewide summary report to ESE</w:t>
            </w:r>
          </w:p>
        </w:tc>
        <w:tc>
          <w:tcPr>
            <w:tcW w:w="3690" w:type="dxa"/>
          </w:tcPr>
          <w:p w:rsidR="001F13A2" w:rsidRDefault="0048283D" w:rsidP="00F7374A">
            <w:pPr>
              <w:spacing w:before="20" w:after="20"/>
            </w:pPr>
            <w:r>
              <w:t xml:space="preserve">November-December </w:t>
            </w:r>
            <w:r w:rsidR="00F7374A">
              <w:t xml:space="preserve"> (2016 and 2017)</w:t>
            </w:r>
          </w:p>
        </w:tc>
      </w:tr>
      <w:tr w:rsidR="00357416" w:rsidTr="00F7374A">
        <w:tc>
          <w:tcPr>
            <w:tcW w:w="2628" w:type="dxa"/>
          </w:tcPr>
          <w:p w:rsidR="00357416" w:rsidRDefault="001F13A2" w:rsidP="001F13A2">
            <w:pPr>
              <w:spacing w:before="20" w:after="20"/>
            </w:pPr>
            <w:r>
              <w:t>Partnership Interviews</w:t>
            </w:r>
          </w:p>
        </w:tc>
        <w:tc>
          <w:tcPr>
            <w:tcW w:w="3150" w:type="dxa"/>
          </w:tcPr>
          <w:p w:rsidR="00357416" w:rsidRDefault="001F13A2" w:rsidP="001F13A2">
            <w:pPr>
              <w:spacing w:before="20" w:after="20"/>
            </w:pPr>
            <w:r>
              <w:t xml:space="preserve">Management briefing memos </w:t>
            </w:r>
          </w:p>
        </w:tc>
        <w:tc>
          <w:tcPr>
            <w:tcW w:w="3690" w:type="dxa"/>
          </w:tcPr>
          <w:p w:rsidR="00357416" w:rsidRDefault="00F7374A" w:rsidP="00F7374A">
            <w:pPr>
              <w:spacing w:before="20" w:after="20"/>
            </w:pPr>
            <w:r>
              <w:t>January 2017</w:t>
            </w:r>
            <w:r w:rsidR="0048283D">
              <w:t>-</w:t>
            </w:r>
            <w:r>
              <w:t>April 2017</w:t>
            </w:r>
          </w:p>
        </w:tc>
      </w:tr>
      <w:tr w:rsidR="001F13A2" w:rsidTr="00F7374A">
        <w:tc>
          <w:tcPr>
            <w:tcW w:w="2628" w:type="dxa"/>
          </w:tcPr>
          <w:p w:rsidR="001F13A2" w:rsidRDefault="001F13A2" w:rsidP="001F13A2">
            <w:pPr>
              <w:spacing w:before="20" w:after="20"/>
            </w:pPr>
            <w:r>
              <w:t>Annual Participant Survey</w:t>
            </w:r>
          </w:p>
        </w:tc>
        <w:tc>
          <w:tcPr>
            <w:tcW w:w="3150" w:type="dxa"/>
          </w:tcPr>
          <w:p w:rsidR="001F13A2" w:rsidRDefault="001F13A2" w:rsidP="001F13A2">
            <w:pPr>
              <w:spacing w:before="20" w:after="20"/>
            </w:pPr>
            <w:r>
              <w:t xml:space="preserve">Technical report of responses </w:t>
            </w:r>
          </w:p>
        </w:tc>
        <w:tc>
          <w:tcPr>
            <w:tcW w:w="3690" w:type="dxa"/>
          </w:tcPr>
          <w:p w:rsidR="001F13A2" w:rsidRDefault="0048283D" w:rsidP="0048283D">
            <w:pPr>
              <w:spacing w:before="20" w:after="20"/>
            </w:pPr>
            <w:r>
              <w:t>May</w:t>
            </w:r>
            <w:r w:rsidR="001F13A2">
              <w:t>-June 201</w:t>
            </w:r>
            <w:r w:rsidR="00F7374A">
              <w:t>7</w:t>
            </w:r>
          </w:p>
        </w:tc>
      </w:tr>
      <w:tr w:rsidR="00357416" w:rsidTr="00F7374A">
        <w:tc>
          <w:tcPr>
            <w:tcW w:w="2628" w:type="dxa"/>
          </w:tcPr>
          <w:p w:rsidR="00357416" w:rsidRDefault="00F56C6C" w:rsidP="001F13A2">
            <w:pPr>
              <w:spacing w:before="20" w:after="20"/>
            </w:pPr>
            <w:r>
              <w:t>Student Growth</w:t>
            </w:r>
            <w:r w:rsidR="001F13A2">
              <w:t xml:space="preserve"> Analysis</w:t>
            </w:r>
          </w:p>
        </w:tc>
        <w:tc>
          <w:tcPr>
            <w:tcW w:w="3150" w:type="dxa"/>
          </w:tcPr>
          <w:p w:rsidR="00357416" w:rsidRDefault="001F13A2" w:rsidP="001F13A2">
            <w:pPr>
              <w:spacing w:before="20" w:after="20"/>
            </w:pPr>
            <w:r>
              <w:t>Analysis report</w:t>
            </w:r>
          </w:p>
        </w:tc>
        <w:tc>
          <w:tcPr>
            <w:tcW w:w="3690" w:type="dxa"/>
          </w:tcPr>
          <w:p w:rsidR="00357416" w:rsidRDefault="00F7374A" w:rsidP="00F7374A">
            <w:pPr>
              <w:spacing w:before="20" w:after="20"/>
            </w:pPr>
            <w:r>
              <w:t>July-August 2017</w:t>
            </w:r>
            <w:r w:rsidR="0048283D">
              <w:t xml:space="preserve"> </w:t>
            </w:r>
          </w:p>
        </w:tc>
      </w:tr>
    </w:tbl>
    <w:p w:rsidR="00724C74" w:rsidRDefault="00724C74" w:rsidP="000E69EF"/>
    <w:p w:rsidR="000E69EF" w:rsidRDefault="000E69EF" w:rsidP="000E69EF"/>
    <w:p w:rsidR="000E69EF" w:rsidRDefault="000E69EF" w:rsidP="000E69EF"/>
    <w:p w:rsidR="00536991" w:rsidRDefault="00536991" w:rsidP="00536991"/>
    <w:p w:rsidR="00536991" w:rsidRDefault="00536991" w:rsidP="00536991"/>
    <w:p w:rsidR="000E69EF" w:rsidRDefault="000E69EF" w:rsidP="000E69EF"/>
    <w:p w:rsidR="000E69EF" w:rsidRDefault="000E69EF" w:rsidP="000E69EF"/>
    <w:p w:rsidR="004B59C8" w:rsidRPr="00EE4C31" w:rsidRDefault="004B59C8" w:rsidP="00EE4C31"/>
    <w:sectPr w:rsidR="004B59C8" w:rsidRPr="00EE4C31" w:rsidSect="00C76EA3">
      <w:headerReference w:type="default" r:id="rId12"/>
      <w:footerReference w:type="default" r:id="rId13"/>
      <w:headerReference w:type="first" r:id="rId14"/>
      <w:footerReference w:type="first" r:id="rId15"/>
      <w:pgSz w:w="12240" w:h="15840"/>
      <w:pgMar w:top="1440" w:right="1440" w:bottom="1440" w:left="1440" w:header="44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DA" w:rsidRDefault="009B1BDA" w:rsidP="00981198">
      <w:pPr>
        <w:spacing w:after="0" w:line="240" w:lineRule="auto"/>
      </w:pPr>
      <w:r>
        <w:separator/>
      </w:r>
    </w:p>
  </w:endnote>
  <w:endnote w:type="continuationSeparator" w:id="0">
    <w:p w:rsidR="009B1BDA" w:rsidRDefault="009B1BDA" w:rsidP="0098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rsidP="00197B45">
    <w:pPr>
      <w:pStyle w:val="Footer"/>
    </w:pPr>
    <w:r>
      <w:tab/>
    </w:r>
    <w:r>
      <w:tab/>
      <w:t xml:space="preserve">Page | </w:t>
    </w:r>
    <w:r w:rsidR="00BC3788" w:rsidRPr="00BC3788">
      <w:fldChar w:fldCharType="begin"/>
    </w:r>
    <w:r w:rsidR="004B59C8">
      <w:instrText xml:space="preserve"> PAGE   \* MERGEFORMAT </w:instrText>
    </w:r>
    <w:r w:rsidR="00BC3788" w:rsidRPr="00BC3788">
      <w:fldChar w:fldCharType="separate"/>
    </w:r>
    <w:r w:rsidR="00F06521" w:rsidRPr="00F06521">
      <w:rPr>
        <w:b/>
        <w:noProof/>
      </w:rPr>
      <w:t>2</w:t>
    </w:r>
    <w:r w:rsidR="00BC3788">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F0" w:rsidRDefault="00A200F0">
    <w:pPr>
      <w:pStyle w:val="Footer"/>
    </w:pPr>
    <w:r>
      <w:tab/>
    </w:r>
    <w:r>
      <w:tab/>
      <w:t xml:space="preserve">Page | </w:t>
    </w:r>
    <w:r w:rsidR="00BC3788" w:rsidRPr="00BC3788">
      <w:fldChar w:fldCharType="begin"/>
    </w:r>
    <w:r w:rsidR="004B59C8">
      <w:instrText xml:space="preserve"> PAGE   \* MERGEFORMAT </w:instrText>
    </w:r>
    <w:r w:rsidR="00BC3788" w:rsidRPr="00BC3788">
      <w:fldChar w:fldCharType="separate"/>
    </w:r>
    <w:r w:rsidR="00F06521" w:rsidRPr="00F06521">
      <w:rPr>
        <w:b/>
        <w:noProof/>
      </w:rPr>
      <w:t>1</w:t>
    </w:r>
    <w:r w:rsidR="00BC3788">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DA" w:rsidRDefault="009B1BDA" w:rsidP="00981198">
      <w:pPr>
        <w:spacing w:after="0" w:line="240" w:lineRule="auto"/>
      </w:pPr>
      <w:r>
        <w:separator/>
      </w:r>
    </w:p>
  </w:footnote>
  <w:footnote w:type="continuationSeparator" w:id="0">
    <w:p w:rsidR="009B1BDA" w:rsidRDefault="009B1BDA" w:rsidP="00981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98" w:rsidRPr="0024027B" w:rsidRDefault="00981198" w:rsidP="0024027B">
    <w:pPr>
      <w:spacing w:after="120" w:line="288" w:lineRule="auto"/>
      <w:jc w:val="cent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F0" w:rsidRDefault="00566ACE" w:rsidP="00A200F0">
    <w:pPr>
      <w:spacing w:after="60" w:line="240" w:lineRule="auto"/>
      <w:jc w:val="center"/>
      <w:rPr>
        <w:b/>
        <w:sz w:val="28"/>
        <w:szCs w:val="28"/>
      </w:rPr>
    </w:pPr>
    <w:r>
      <w:rPr>
        <w:b/>
        <w:noProof/>
        <w:sz w:val="28"/>
        <w:szCs w:val="28"/>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-216535</wp:posOffset>
          </wp:positionV>
          <wp:extent cx="952500" cy="952500"/>
          <wp:effectExtent l="19050" t="0" r="0" b="0"/>
          <wp:wrapNone/>
          <wp:docPr id="2" name="Picture 2"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 Color 25% smaller"/>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b/>
        <w:sz w:val="28"/>
        <w:szCs w:val="28"/>
      </w:rPr>
      <w:t>Massachusetts Math and Science Partnerships Program</w:t>
    </w:r>
  </w:p>
  <w:p w:rsidR="00A200F0" w:rsidRPr="00981198" w:rsidRDefault="00A83B5D" w:rsidP="00A200F0">
    <w:pPr>
      <w:spacing w:after="60" w:line="240" w:lineRule="auto"/>
      <w:jc w:val="center"/>
      <w:rPr>
        <w:b/>
        <w:sz w:val="28"/>
        <w:szCs w:val="28"/>
      </w:rPr>
    </w:pPr>
    <w:r>
      <w:rPr>
        <w:b/>
        <w:sz w:val="28"/>
        <w:szCs w:val="28"/>
      </w:rPr>
      <w:t>Evaluation Approach</w:t>
    </w:r>
  </w:p>
  <w:p w:rsidR="00A200F0" w:rsidRDefault="00F7374A" w:rsidP="00A200F0">
    <w:pPr>
      <w:pStyle w:val="Header"/>
      <w:spacing w:after="120"/>
      <w:jc w:val="center"/>
    </w:pPr>
    <w:r>
      <w:rPr>
        <w:szCs w:val="28"/>
      </w:rPr>
      <w:t>January</w:t>
    </w:r>
    <w:r w:rsidR="0082582B">
      <w:rPr>
        <w:szCs w:val="28"/>
      </w:rPr>
      <w:t xml:space="preserve"> 2</w:t>
    </w:r>
    <w:r>
      <w:rPr>
        <w:szCs w:val="28"/>
      </w:rPr>
      <w:t>5</w:t>
    </w:r>
    <w:r w:rsidR="00566ACE">
      <w:rPr>
        <w:szCs w:val="28"/>
      </w:rPr>
      <w:t>, 201</w:t>
    </w:r>
    <w:r>
      <w:rPr>
        <w:szCs w:val="2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7E50"/>
    <w:multiLevelType w:val="hybridMultilevel"/>
    <w:tmpl w:val="05247F82"/>
    <w:lvl w:ilvl="0" w:tplc="F5FAFCC0">
      <w:start w:val="1"/>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nsid w:val="23DE2595"/>
    <w:multiLevelType w:val="hybridMultilevel"/>
    <w:tmpl w:val="14A09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E1071"/>
    <w:multiLevelType w:val="hybridMultilevel"/>
    <w:tmpl w:val="F9FCDF7E"/>
    <w:lvl w:ilvl="0" w:tplc="04090001">
      <w:start w:val="1"/>
      <w:numFmt w:val="bullet"/>
      <w:lvlText w:val=""/>
      <w:lvlJc w:val="left"/>
      <w:pPr>
        <w:tabs>
          <w:tab w:val="num" w:pos="374"/>
        </w:tabs>
        <w:ind w:left="374" w:hanging="360"/>
      </w:pPr>
      <w:rPr>
        <w:rFonts w:ascii="Symbol" w:hAnsi="Symbol"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
    <w:nsid w:val="2B71481D"/>
    <w:multiLevelType w:val="hybridMultilevel"/>
    <w:tmpl w:val="78A86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BE4EC4"/>
    <w:multiLevelType w:val="hybridMultilevel"/>
    <w:tmpl w:val="12A0E77A"/>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nsid w:val="2D0C60B2"/>
    <w:multiLevelType w:val="hybridMultilevel"/>
    <w:tmpl w:val="450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3BDD"/>
    <w:multiLevelType w:val="hybridMultilevel"/>
    <w:tmpl w:val="C04E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F407E"/>
    <w:multiLevelType w:val="hybridMultilevel"/>
    <w:tmpl w:val="05247F82"/>
    <w:lvl w:ilvl="0" w:tplc="F5FAFCC0">
      <w:start w:val="1"/>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
    <w:nsid w:val="4DAD1E57"/>
    <w:multiLevelType w:val="hybridMultilevel"/>
    <w:tmpl w:val="54C4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27206"/>
    <w:multiLevelType w:val="hybridMultilevel"/>
    <w:tmpl w:val="347E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22317D"/>
    <w:multiLevelType w:val="hybridMultilevel"/>
    <w:tmpl w:val="6FA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64B66"/>
    <w:multiLevelType w:val="hybridMultilevel"/>
    <w:tmpl w:val="B518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7"/>
  </w:num>
  <w:num w:numId="5">
    <w:abstractNumId w:val="2"/>
  </w:num>
  <w:num w:numId="6">
    <w:abstractNumId w:val="4"/>
  </w:num>
  <w:num w:numId="7">
    <w:abstractNumId w:val="10"/>
  </w:num>
  <w:num w:numId="8">
    <w:abstractNumId w:val="8"/>
  </w:num>
  <w:num w:numId="9">
    <w:abstractNumId w:val="1"/>
  </w:num>
  <w:num w:numId="10">
    <w:abstractNumId w:val="5"/>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456420"/>
    <w:rsid w:val="000205E0"/>
    <w:rsid w:val="00031F44"/>
    <w:rsid w:val="0003445C"/>
    <w:rsid w:val="00054E09"/>
    <w:rsid w:val="000728AC"/>
    <w:rsid w:val="00084EC4"/>
    <w:rsid w:val="000966D6"/>
    <w:rsid w:val="00097D62"/>
    <w:rsid w:val="000A590D"/>
    <w:rsid w:val="000B2AD2"/>
    <w:rsid w:val="000B5A8C"/>
    <w:rsid w:val="000C7975"/>
    <w:rsid w:val="000E4BDE"/>
    <w:rsid w:val="000E5C5E"/>
    <w:rsid w:val="000E69EF"/>
    <w:rsid w:val="000E6AB4"/>
    <w:rsid w:val="000E7482"/>
    <w:rsid w:val="000F5A7D"/>
    <w:rsid w:val="00125E2B"/>
    <w:rsid w:val="00171D9A"/>
    <w:rsid w:val="001927FC"/>
    <w:rsid w:val="001972E8"/>
    <w:rsid w:val="00197B45"/>
    <w:rsid w:val="001A4551"/>
    <w:rsid w:val="001A70D6"/>
    <w:rsid w:val="001F13A2"/>
    <w:rsid w:val="00220BB3"/>
    <w:rsid w:val="002310D1"/>
    <w:rsid w:val="0024027B"/>
    <w:rsid w:val="002551BB"/>
    <w:rsid w:val="00277482"/>
    <w:rsid w:val="00290400"/>
    <w:rsid w:val="0029689E"/>
    <w:rsid w:val="002B4E80"/>
    <w:rsid w:val="002C7E76"/>
    <w:rsid w:val="002F5F1D"/>
    <w:rsid w:val="002F7E09"/>
    <w:rsid w:val="00312569"/>
    <w:rsid w:val="00324836"/>
    <w:rsid w:val="00324DA5"/>
    <w:rsid w:val="0034602F"/>
    <w:rsid w:val="00350457"/>
    <w:rsid w:val="003531B5"/>
    <w:rsid w:val="00354D3E"/>
    <w:rsid w:val="00357416"/>
    <w:rsid w:val="00357B08"/>
    <w:rsid w:val="0036168B"/>
    <w:rsid w:val="003631F5"/>
    <w:rsid w:val="003665A7"/>
    <w:rsid w:val="00375A96"/>
    <w:rsid w:val="00382859"/>
    <w:rsid w:val="003942AE"/>
    <w:rsid w:val="00395449"/>
    <w:rsid w:val="003A2FC9"/>
    <w:rsid w:val="003A40D6"/>
    <w:rsid w:val="003C0902"/>
    <w:rsid w:val="003E7D47"/>
    <w:rsid w:val="003F60B6"/>
    <w:rsid w:val="003F61F0"/>
    <w:rsid w:val="00413E92"/>
    <w:rsid w:val="00426686"/>
    <w:rsid w:val="00456420"/>
    <w:rsid w:val="0048283D"/>
    <w:rsid w:val="004866B8"/>
    <w:rsid w:val="004A05E5"/>
    <w:rsid w:val="004B59C8"/>
    <w:rsid w:val="004D55E5"/>
    <w:rsid w:val="004E0B1A"/>
    <w:rsid w:val="00500C5B"/>
    <w:rsid w:val="00506793"/>
    <w:rsid w:val="0052325E"/>
    <w:rsid w:val="00526B59"/>
    <w:rsid w:val="00536991"/>
    <w:rsid w:val="00537720"/>
    <w:rsid w:val="00566ACE"/>
    <w:rsid w:val="00583062"/>
    <w:rsid w:val="00585DA6"/>
    <w:rsid w:val="005A56E2"/>
    <w:rsid w:val="005C0001"/>
    <w:rsid w:val="005D1193"/>
    <w:rsid w:val="00637235"/>
    <w:rsid w:val="0064719D"/>
    <w:rsid w:val="00663612"/>
    <w:rsid w:val="006670F1"/>
    <w:rsid w:val="006738CC"/>
    <w:rsid w:val="006B71DA"/>
    <w:rsid w:val="006E0AAE"/>
    <w:rsid w:val="00724C74"/>
    <w:rsid w:val="00745DDF"/>
    <w:rsid w:val="00745EB7"/>
    <w:rsid w:val="00747BFB"/>
    <w:rsid w:val="00753DD1"/>
    <w:rsid w:val="00756B84"/>
    <w:rsid w:val="00757296"/>
    <w:rsid w:val="00764206"/>
    <w:rsid w:val="00781F0C"/>
    <w:rsid w:val="007C2CAC"/>
    <w:rsid w:val="0081374E"/>
    <w:rsid w:val="0082582B"/>
    <w:rsid w:val="0082735B"/>
    <w:rsid w:val="008359F9"/>
    <w:rsid w:val="00844235"/>
    <w:rsid w:val="00863E9C"/>
    <w:rsid w:val="0086624D"/>
    <w:rsid w:val="00886C3F"/>
    <w:rsid w:val="00887DDB"/>
    <w:rsid w:val="008918F6"/>
    <w:rsid w:val="0089725B"/>
    <w:rsid w:val="008C2B34"/>
    <w:rsid w:val="008E1E2C"/>
    <w:rsid w:val="008F1063"/>
    <w:rsid w:val="00901213"/>
    <w:rsid w:val="00924742"/>
    <w:rsid w:val="0092566D"/>
    <w:rsid w:val="00925F33"/>
    <w:rsid w:val="0092752E"/>
    <w:rsid w:val="00935623"/>
    <w:rsid w:val="00935996"/>
    <w:rsid w:val="0095376D"/>
    <w:rsid w:val="009552E8"/>
    <w:rsid w:val="00981198"/>
    <w:rsid w:val="009A26C8"/>
    <w:rsid w:val="009B1BDA"/>
    <w:rsid w:val="009C0B58"/>
    <w:rsid w:val="009C1325"/>
    <w:rsid w:val="009C3B22"/>
    <w:rsid w:val="009D6825"/>
    <w:rsid w:val="009E5CF8"/>
    <w:rsid w:val="009E64BC"/>
    <w:rsid w:val="009F5965"/>
    <w:rsid w:val="00A200F0"/>
    <w:rsid w:val="00A2145E"/>
    <w:rsid w:val="00A248DB"/>
    <w:rsid w:val="00A548FA"/>
    <w:rsid w:val="00A81DDC"/>
    <w:rsid w:val="00A81E3F"/>
    <w:rsid w:val="00A83B5D"/>
    <w:rsid w:val="00AA1308"/>
    <w:rsid w:val="00AA7144"/>
    <w:rsid w:val="00AB0B7A"/>
    <w:rsid w:val="00AB3AAC"/>
    <w:rsid w:val="00AD59E5"/>
    <w:rsid w:val="00AF12B8"/>
    <w:rsid w:val="00B0302B"/>
    <w:rsid w:val="00B2017C"/>
    <w:rsid w:val="00B217B8"/>
    <w:rsid w:val="00B3373D"/>
    <w:rsid w:val="00B36089"/>
    <w:rsid w:val="00B67A19"/>
    <w:rsid w:val="00B84667"/>
    <w:rsid w:val="00B91CDC"/>
    <w:rsid w:val="00BB287A"/>
    <w:rsid w:val="00BB511F"/>
    <w:rsid w:val="00BC3788"/>
    <w:rsid w:val="00BE670C"/>
    <w:rsid w:val="00BF4BDE"/>
    <w:rsid w:val="00C05A2B"/>
    <w:rsid w:val="00C05AF1"/>
    <w:rsid w:val="00C20F1C"/>
    <w:rsid w:val="00C51A9E"/>
    <w:rsid w:val="00C620EB"/>
    <w:rsid w:val="00C76EA3"/>
    <w:rsid w:val="00C81BEC"/>
    <w:rsid w:val="00CE337B"/>
    <w:rsid w:val="00CF7423"/>
    <w:rsid w:val="00D12E87"/>
    <w:rsid w:val="00D31722"/>
    <w:rsid w:val="00D40185"/>
    <w:rsid w:val="00D65661"/>
    <w:rsid w:val="00D84C00"/>
    <w:rsid w:val="00DC2CC1"/>
    <w:rsid w:val="00DC2EAF"/>
    <w:rsid w:val="00DD4ECB"/>
    <w:rsid w:val="00DE777A"/>
    <w:rsid w:val="00DF055C"/>
    <w:rsid w:val="00E314FA"/>
    <w:rsid w:val="00E535AF"/>
    <w:rsid w:val="00E8417B"/>
    <w:rsid w:val="00E910C5"/>
    <w:rsid w:val="00E974EA"/>
    <w:rsid w:val="00EA224E"/>
    <w:rsid w:val="00EA44EB"/>
    <w:rsid w:val="00EB1946"/>
    <w:rsid w:val="00EB48BC"/>
    <w:rsid w:val="00EC228D"/>
    <w:rsid w:val="00EC3900"/>
    <w:rsid w:val="00ED1140"/>
    <w:rsid w:val="00EE2E6F"/>
    <w:rsid w:val="00EE4C31"/>
    <w:rsid w:val="00F06521"/>
    <w:rsid w:val="00F13C65"/>
    <w:rsid w:val="00F14434"/>
    <w:rsid w:val="00F25E34"/>
    <w:rsid w:val="00F31C8F"/>
    <w:rsid w:val="00F36DBD"/>
    <w:rsid w:val="00F43188"/>
    <w:rsid w:val="00F44FD7"/>
    <w:rsid w:val="00F56C6C"/>
    <w:rsid w:val="00F7374A"/>
    <w:rsid w:val="00F92EBD"/>
    <w:rsid w:val="00F96B8C"/>
    <w:rsid w:val="00FC564D"/>
    <w:rsid w:val="00FE3C42"/>
    <w:rsid w:val="00FE732B"/>
    <w:rsid w:val="00FF0620"/>
    <w:rsid w:val="00FF07C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2B"/>
  </w:style>
  <w:style w:type="paragraph" w:styleId="Heading1">
    <w:name w:val="heading 1"/>
    <w:basedOn w:val="Normal"/>
    <w:next w:val="Normal"/>
    <w:link w:val="Heading1Char"/>
    <w:uiPriority w:val="9"/>
    <w:qFormat/>
    <w:rsid w:val="000E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9EF"/>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20"/>
    <w:pPr>
      <w:ind w:left="720"/>
      <w:contextualSpacing/>
    </w:pPr>
  </w:style>
  <w:style w:type="paragraph" w:styleId="Header">
    <w:name w:val="header"/>
    <w:basedOn w:val="Normal"/>
    <w:link w:val="HeaderChar"/>
    <w:uiPriority w:val="99"/>
    <w:unhideWhenUsed/>
    <w:rsid w:val="0098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98"/>
  </w:style>
  <w:style w:type="paragraph" w:styleId="Footer">
    <w:name w:val="footer"/>
    <w:basedOn w:val="Normal"/>
    <w:link w:val="FooterChar"/>
    <w:uiPriority w:val="99"/>
    <w:unhideWhenUsed/>
    <w:rsid w:val="0098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98"/>
  </w:style>
  <w:style w:type="paragraph" w:styleId="FootnoteText">
    <w:name w:val="footnote text"/>
    <w:basedOn w:val="Normal"/>
    <w:link w:val="FootnoteTextChar"/>
    <w:uiPriority w:val="99"/>
    <w:semiHidden/>
    <w:rsid w:val="00D84C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4C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84C00"/>
    <w:rPr>
      <w:vertAlign w:val="superscript"/>
    </w:rPr>
  </w:style>
  <w:style w:type="paragraph" w:styleId="EndnoteText">
    <w:name w:val="endnote text"/>
    <w:basedOn w:val="Normal"/>
    <w:link w:val="EndnoteTextChar"/>
    <w:uiPriority w:val="99"/>
    <w:semiHidden/>
    <w:unhideWhenUsed/>
    <w:rsid w:val="00D656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661"/>
    <w:rPr>
      <w:sz w:val="20"/>
      <w:szCs w:val="20"/>
    </w:rPr>
  </w:style>
  <w:style w:type="character" w:styleId="EndnoteReference">
    <w:name w:val="endnote reference"/>
    <w:basedOn w:val="DefaultParagraphFont"/>
    <w:uiPriority w:val="99"/>
    <w:semiHidden/>
    <w:unhideWhenUsed/>
    <w:rsid w:val="00D65661"/>
    <w:rPr>
      <w:vertAlign w:val="superscript"/>
    </w:rPr>
  </w:style>
  <w:style w:type="character" w:styleId="CommentReference">
    <w:name w:val="annotation reference"/>
    <w:basedOn w:val="DefaultParagraphFont"/>
    <w:uiPriority w:val="99"/>
    <w:semiHidden/>
    <w:unhideWhenUsed/>
    <w:rsid w:val="00AB3AAC"/>
    <w:rPr>
      <w:sz w:val="16"/>
      <w:szCs w:val="16"/>
    </w:rPr>
  </w:style>
  <w:style w:type="paragraph" w:styleId="CommentText">
    <w:name w:val="annotation text"/>
    <w:basedOn w:val="Normal"/>
    <w:link w:val="CommentTextChar"/>
    <w:uiPriority w:val="99"/>
    <w:semiHidden/>
    <w:unhideWhenUsed/>
    <w:rsid w:val="00AB3AAC"/>
    <w:pPr>
      <w:spacing w:line="240" w:lineRule="auto"/>
    </w:pPr>
    <w:rPr>
      <w:sz w:val="20"/>
      <w:szCs w:val="20"/>
    </w:rPr>
  </w:style>
  <w:style w:type="character" w:customStyle="1" w:styleId="CommentTextChar">
    <w:name w:val="Comment Text Char"/>
    <w:basedOn w:val="DefaultParagraphFont"/>
    <w:link w:val="CommentText"/>
    <w:uiPriority w:val="99"/>
    <w:semiHidden/>
    <w:rsid w:val="00AB3AAC"/>
    <w:rPr>
      <w:sz w:val="20"/>
      <w:szCs w:val="20"/>
    </w:rPr>
  </w:style>
  <w:style w:type="paragraph" w:styleId="CommentSubject">
    <w:name w:val="annotation subject"/>
    <w:basedOn w:val="CommentText"/>
    <w:next w:val="CommentText"/>
    <w:link w:val="CommentSubjectChar"/>
    <w:uiPriority w:val="99"/>
    <w:semiHidden/>
    <w:unhideWhenUsed/>
    <w:rsid w:val="00AB3AAC"/>
    <w:rPr>
      <w:b/>
      <w:bCs/>
    </w:rPr>
  </w:style>
  <w:style w:type="character" w:customStyle="1" w:styleId="CommentSubjectChar">
    <w:name w:val="Comment Subject Char"/>
    <w:basedOn w:val="CommentTextChar"/>
    <w:link w:val="CommentSubject"/>
    <w:uiPriority w:val="99"/>
    <w:semiHidden/>
    <w:rsid w:val="00AB3AAC"/>
    <w:rPr>
      <w:b/>
      <w:bCs/>
      <w:sz w:val="20"/>
      <w:szCs w:val="20"/>
    </w:rPr>
  </w:style>
  <w:style w:type="paragraph" w:styleId="BalloonText">
    <w:name w:val="Balloon Text"/>
    <w:basedOn w:val="Normal"/>
    <w:link w:val="BalloonTextChar"/>
    <w:uiPriority w:val="99"/>
    <w:semiHidden/>
    <w:unhideWhenUsed/>
    <w:rsid w:val="00AB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AC"/>
    <w:rPr>
      <w:rFonts w:ascii="Tahoma" w:hAnsi="Tahoma" w:cs="Tahoma"/>
      <w:sz w:val="16"/>
      <w:szCs w:val="16"/>
    </w:rPr>
  </w:style>
  <w:style w:type="character" w:customStyle="1" w:styleId="Heading1Char">
    <w:name w:val="Heading 1 Char"/>
    <w:basedOn w:val="DefaultParagraphFont"/>
    <w:link w:val="Heading1"/>
    <w:uiPriority w:val="9"/>
    <w:rsid w:val="000E6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9EF"/>
    <w:rPr>
      <w:rFonts w:asciiTheme="majorHAnsi" w:eastAsiaTheme="majorEastAsia" w:hAnsiTheme="majorHAnsi" w:cstheme="majorBidi"/>
      <w:b/>
      <w:bCs/>
      <w:sz w:val="26"/>
      <w:szCs w:val="26"/>
    </w:rPr>
  </w:style>
  <w:style w:type="table" w:styleId="TableGrid">
    <w:name w:val="Table Grid"/>
    <w:basedOn w:val="TableNormal"/>
    <w:uiPriority w:val="59"/>
    <w:rsid w:val="00357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DESE-231-34454</_dlc_DocId>
    <_dlc_DocIdUrl xmlns="733efe1c-5bbe-4968-87dc-d400e65c879f">
      <Url>https://sharepoint.doemass.org/ese/webteam/cps/_layouts/DocIdRedir.aspx?ID=DESE-231-34454</Url>
      <Description>DESE-231-34454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3F8D-48BB-4FF4-8E37-72F8E1AB7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7EF91-28E5-4641-B0D9-BCB42E17B10C}">
  <ds:schemaRefs>
    <ds:schemaRef ds:uri="http://schemas.microsoft.com/sharepoint/events"/>
  </ds:schemaRefs>
</ds:datastoreItem>
</file>

<file path=customXml/itemProps3.xml><?xml version="1.0" encoding="utf-8"?>
<ds:datastoreItem xmlns:ds="http://schemas.openxmlformats.org/officeDocument/2006/customXml" ds:itemID="{4E8C067A-2DD5-4981-BCDE-49853C6E1AD2}">
  <ds:schemaRefs>
    <ds:schemaRef ds:uri="http://schemas.microsoft.com/sharepoint/v3/contenttype/forms"/>
  </ds:schemaRefs>
</ds:datastoreItem>
</file>

<file path=customXml/itemProps4.xml><?xml version="1.0" encoding="utf-8"?>
<ds:datastoreItem xmlns:ds="http://schemas.openxmlformats.org/officeDocument/2006/customXml" ds:itemID="{DD5B72AD-BB99-4248-BDC8-F890809DA4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E826C99-C927-43CD-970C-2D4EEA5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FY2018 Fund Code 150A Title II-B Evaluation Approach</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150A Title II-B Evaluation Approach</dc:title>
  <dc:creator>ESE</dc:creator>
  <cp:lastModifiedBy>dzou</cp:lastModifiedBy>
  <cp:revision>4</cp:revision>
  <cp:lastPrinted>2014-05-19T15:02:00Z</cp:lastPrinted>
  <dcterms:created xsi:type="dcterms:W3CDTF">2017-06-15T13:11:00Z</dcterms:created>
  <dcterms:modified xsi:type="dcterms:W3CDTF">2017-07-05T15:45:00Z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2017</vt:lpwstr>
  </property>
</Properties>
</file>