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11" w:rsidRDefault="00A53996" w:rsidP="00844511">
      <w:pPr>
        <w:jc w:val="center"/>
        <w:rPr>
          <w:rFonts w:ascii="Microsoft Sans Serif" w:hAnsi="Microsoft Sans Serif" w:cs="Microsoft Sans Serif"/>
          <w:sz w:val="32"/>
          <w:szCs w:val="18"/>
          <w:u w:val="single"/>
        </w:rPr>
      </w:pPr>
      <w:r w:rsidRPr="00A53996">
        <w:rPr>
          <w:rFonts w:ascii="Microsoft Sans Serif" w:hAnsi="Microsoft Sans Serif" w:cs="Microsoft Sans Serif"/>
          <w:noProof/>
          <w:sz w:val="32"/>
          <w:szCs w:val="18"/>
          <w:u w:val="single"/>
          <w:lang w:eastAsia="zh-CN"/>
        </w:rPr>
        <w:drawing>
          <wp:anchor distT="0" distB="0" distL="114300" distR="274320" simplePos="0" relativeHeight="251659264" behindDoc="0" locked="0" layoutInCell="0" allowOverlap="1">
            <wp:simplePos x="0" y="0"/>
            <wp:positionH relativeFrom="column">
              <wp:posOffset>-257175</wp:posOffset>
            </wp:positionH>
            <wp:positionV relativeFrom="paragraph">
              <wp:posOffset>-50800</wp:posOffset>
            </wp:positionV>
            <wp:extent cx="556260" cy="685800"/>
            <wp:effectExtent l="19050" t="0" r="0" b="0"/>
            <wp:wrapThrough wrapText="right">
              <wp:wrapPolygon edited="0">
                <wp:start x="-740" y="0"/>
                <wp:lineTo x="-740" y="21000"/>
                <wp:lineTo x="21452" y="21000"/>
                <wp:lineTo x="21452" y="0"/>
                <wp:lineTo x="-740" y="0"/>
              </wp:wrapPolygon>
            </wp:wrapThrough>
            <wp:docPr id="6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081">
        <w:rPr>
          <w:rFonts w:ascii="Microsoft Sans Serif" w:hAnsi="Microsoft Sans Serif" w:cs="Microsoft Sans Serif"/>
          <w:noProof/>
          <w:sz w:val="32"/>
          <w:szCs w:val="18"/>
          <w:u w:val="single"/>
        </w:rPr>
        <w:t>Department of Elemntary and Secondary Education</w:t>
      </w:r>
    </w:p>
    <w:p w:rsidR="005C6C0E" w:rsidRPr="00B013BF" w:rsidRDefault="001D60BE" w:rsidP="00844511">
      <w:pPr>
        <w:jc w:val="center"/>
        <w:rPr>
          <w:rFonts w:ascii="Microsoft Sans Serif" w:hAnsi="Microsoft Sans Serif" w:cs="Microsoft Sans Serif"/>
          <w:i/>
          <w:sz w:val="32"/>
          <w:szCs w:val="18"/>
        </w:rPr>
      </w:pPr>
      <w:r w:rsidRPr="00B013BF">
        <w:rPr>
          <w:rFonts w:ascii="Microsoft Sans Serif" w:hAnsi="Microsoft Sans Serif" w:cs="Microsoft Sans Serif"/>
          <w:sz w:val="32"/>
          <w:szCs w:val="18"/>
        </w:rPr>
        <w:t>EVALUATION CRITERIA SCOR</w:t>
      </w:r>
      <w:bookmarkStart w:id="0" w:name="_GoBack"/>
      <w:bookmarkEnd w:id="0"/>
      <w:r w:rsidRPr="00B013BF">
        <w:rPr>
          <w:rFonts w:ascii="Microsoft Sans Serif" w:hAnsi="Microsoft Sans Serif" w:cs="Microsoft Sans Serif"/>
          <w:sz w:val="32"/>
          <w:szCs w:val="18"/>
        </w:rPr>
        <w:t>ECARD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  <w:tblDescription w:val="Name of Bidder:      &#10;Name of Reviewer(s):      &#10;Date Reviewed:      "/>
      </w:tblPr>
      <w:tblGrid>
        <w:gridCol w:w="4089"/>
        <w:gridCol w:w="4845"/>
        <w:gridCol w:w="5186"/>
      </w:tblGrid>
      <w:tr w:rsidR="00A71923" w:rsidTr="009D22A0">
        <w:trPr>
          <w:trHeight w:val="152"/>
          <w:tblHeader/>
        </w:trPr>
        <w:tc>
          <w:tcPr>
            <w:tcW w:w="4092" w:type="dxa"/>
          </w:tcPr>
          <w:p w:rsidR="00A67AEE" w:rsidRDefault="00A67AEE" w:rsidP="00A67AEE">
            <w:pPr>
              <w:jc w:val="both"/>
              <w:rPr>
                <w:rFonts w:ascii="Microsoft Sans Serif" w:hAnsi="Microsoft Sans Serif" w:cs="Microsoft Sans Serif"/>
                <w:i/>
                <w:color w:val="00B0F0"/>
                <w:sz w:val="14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 of </w:t>
            </w:r>
            <w:r w:rsidRPr="00B721FE">
              <w:rPr>
                <w:rFonts w:ascii="Microsoft Sans Serif" w:hAnsi="Microsoft Sans Serif" w:cs="Microsoft Sans Serif"/>
                <w:sz w:val="18"/>
                <w:szCs w:val="18"/>
              </w:rPr>
              <w:t xml:space="preserve">Bidder: </w: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21F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4848" w:type="dxa"/>
          </w:tcPr>
          <w:p w:rsidR="00A67AEE" w:rsidRPr="00A67AEE" w:rsidRDefault="00A67AEE" w:rsidP="00A67AEE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721FE"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 of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Reviewer(s)</w:t>
            </w:r>
            <w:r w:rsidRPr="00B721FE">
              <w:rPr>
                <w:rFonts w:ascii="Microsoft Sans Serif" w:hAnsi="Microsoft Sans Serif" w:cs="Microsoft Sans Serif"/>
                <w:sz w:val="18"/>
                <w:szCs w:val="18"/>
              </w:rPr>
              <w:t xml:space="preserve">: </w: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21F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5190" w:type="dxa"/>
          </w:tcPr>
          <w:p w:rsidR="00A67AEE" w:rsidRDefault="00A67AEE" w:rsidP="00A67AEE">
            <w:pPr>
              <w:jc w:val="both"/>
              <w:rPr>
                <w:rFonts w:ascii="Microsoft Sans Serif" w:hAnsi="Microsoft Sans Serif" w:cs="Microsoft Sans Serif"/>
                <w:i/>
                <w:color w:val="00B0F0"/>
                <w:sz w:val="14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Date R</w:t>
            </w:r>
            <w:r w:rsidRPr="00B721FE">
              <w:rPr>
                <w:rFonts w:ascii="Microsoft Sans Serif" w:hAnsi="Microsoft Sans Serif" w:cs="Microsoft Sans Serif"/>
                <w:sz w:val="18"/>
                <w:szCs w:val="18"/>
              </w:rPr>
              <w:t xml:space="preserve">eviewed: </w: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21F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</w:tbl>
    <w:tbl>
      <w:tblPr>
        <w:tblW w:w="1413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0"/>
        <w:gridCol w:w="720"/>
        <w:gridCol w:w="1170"/>
      </w:tblGrid>
      <w:tr w:rsidR="00B721FE" w:rsidRPr="00B721FE" w:rsidTr="00A26D15">
        <w:tc>
          <w:tcPr>
            <w:tcW w:w="14130" w:type="dxa"/>
            <w:gridSpan w:val="3"/>
            <w:shd w:val="clear" w:color="auto" w:fill="8DB3E2" w:themeFill="text2" w:themeFillTint="66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721FE" w:rsidRPr="00AA2BFC" w:rsidRDefault="00B721FE" w:rsidP="00B721FE">
            <w:pPr>
              <w:rPr>
                <w:rFonts w:ascii="Arial Narrow" w:hAnsi="Arial Narrow" w:cs="Microsoft Sans Serif"/>
                <w:sz w:val="18"/>
                <w:szCs w:val="18"/>
              </w:rPr>
            </w:pPr>
            <w:r w:rsidRPr="00AA2BFC">
              <w:rPr>
                <w:rFonts w:ascii="Arial Narrow" w:hAnsi="Arial Narrow" w:cs="Microsoft Sans Serif"/>
                <w:b/>
                <w:sz w:val="18"/>
                <w:szCs w:val="18"/>
                <w:u w:val="single"/>
              </w:rPr>
              <w:t>Required Qualifications Criteria</w:t>
            </w:r>
            <w:r w:rsidRPr="00AA2BFC"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 (Bidder must receive a “yes” on all the following criteria to move on to the next evaluation section)</w:t>
            </w:r>
          </w:p>
        </w:tc>
      </w:tr>
      <w:tr w:rsidR="00B721FE" w:rsidRPr="00A661A6" w:rsidTr="00A26D15">
        <w:tc>
          <w:tcPr>
            <w:tcW w:w="12240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721FE" w:rsidRPr="00560F88" w:rsidRDefault="00A25630" w:rsidP="00676D41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560F88">
              <w:rPr>
                <w:rFonts w:ascii="Arial Narrow" w:hAnsi="Arial Narrow" w:cs="Microsoft Sans Serif"/>
                <w:sz w:val="20"/>
                <w:szCs w:val="20"/>
              </w:rPr>
              <w:t>Applicant must be applying from or working in partnership with one of the Commonwealth’s 26 Gateway Cities.</w:t>
            </w:r>
          </w:p>
        </w:tc>
        <w:tc>
          <w:tcPr>
            <w:tcW w:w="72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721FE" w:rsidRPr="00A661A6" w:rsidRDefault="00B721FE" w:rsidP="00B721FE">
            <w:pPr>
              <w:jc w:val="center"/>
              <w:rPr>
                <w:rFonts w:ascii="Microsoft Sans Serif" w:hAnsi="Microsoft Sans Serif" w:cs="Microsoft Sans Serif"/>
                <w:sz w:val="20"/>
                <w:szCs w:val="18"/>
              </w:rPr>
            </w:pP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t>No</w:t>
            </w:r>
            <w:r w:rsidR="00564969" w:rsidRPr="00A661A6">
              <w:rPr>
                <w:rFonts w:ascii="Microsoft Sans Serif" w:hAnsi="Microsoft Sans Serif" w:cs="Microsoft Sans Serif"/>
                <w:sz w:val="20"/>
                <w:szCs w:val="18"/>
              </w:rPr>
              <w:t xml:space="preserve"> </w:t>
            </w:r>
            <w:r w:rsidR="00B51780"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4969" w:rsidRPr="00A661A6">
              <w:rPr>
                <w:rFonts w:ascii="Microsoft Sans Serif" w:hAnsi="Microsoft Sans Serif" w:cs="Microsoft Sans Serif"/>
                <w:sz w:val="20"/>
                <w:szCs w:val="18"/>
              </w:rPr>
              <w:instrText xml:space="preserve"> FORMCHECKBOX </w:instrText>
            </w:r>
            <w:r w:rsidR="005503D8">
              <w:rPr>
                <w:rFonts w:ascii="Microsoft Sans Serif" w:hAnsi="Microsoft Sans Serif" w:cs="Microsoft Sans Serif"/>
                <w:sz w:val="20"/>
                <w:szCs w:val="18"/>
              </w:rPr>
            </w:r>
            <w:r w:rsidR="005503D8">
              <w:rPr>
                <w:rFonts w:ascii="Microsoft Sans Serif" w:hAnsi="Microsoft Sans Serif" w:cs="Microsoft Sans Serif"/>
                <w:sz w:val="20"/>
                <w:szCs w:val="18"/>
              </w:rPr>
              <w:fldChar w:fldCharType="separate"/>
            </w:r>
            <w:r w:rsidR="00B51780"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end"/>
            </w:r>
          </w:p>
        </w:tc>
        <w:tc>
          <w:tcPr>
            <w:tcW w:w="117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721FE" w:rsidRPr="00A661A6" w:rsidRDefault="00B721FE" w:rsidP="00B721FE">
            <w:pPr>
              <w:jc w:val="center"/>
              <w:rPr>
                <w:rFonts w:ascii="Microsoft Sans Serif" w:hAnsi="Microsoft Sans Serif" w:cs="Microsoft Sans Serif"/>
                <w:sz w:val="20"/>
                <w:szCs w:val="18"/>
              </w:rPr>
            </w:pP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t>Yes</w:t>
            </w:r>
            <w:r w:rsidR="00B51780"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4969" w:rsidRPr="00A661A6">
              <w:rPr>
                <w:rFonts w:ascii="Microsoft Sans Serif" w:hAnsi="Microsoft Sans Serif" w:cs="Microsoft Sans Serif"/>
                <w:sz w:val="20"/>
                <w:szCs w:val="18"/>
              </w:rPr>
              <w:instrText xml:space="preserve"> FORMCHECKBOX </w:instrText>
            </w:r>
            <w:r w:rsidR="005503D8">
              <w:rPr>
                <w:rFonts w:ascii="Microsoft Sans Serif" w:hAnsi="Microsoft Sans Serif" w:cs="Microsoft Sans Serif"/>
                <w:sz w:val="20"/>
                <w:szCs w:val="18"/>
              </w:rPr>
            </w:r>
            <w:r w:rsidR="005503D8">
              <w:rPr>
                <w:rFonts w:ascii="Microsoft Sans Serif" w:hAnsi="Microsoft Sans Serif" w:cs="Microsoft Sans Serif"/>
                <w:sz w:val="20"/>
                <w:szCs w:val="18"/>
              </w:rPr>
              <w:fldChar w:fldCharType="separate"/>
            </w:r>
            <w:r w:rsidR="00B51780"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end"/>
            </w:r>
          </w:p>
        </w:tc>
      </w:tr>
      <w:tr w:rsidR="00B721FE" w:rsidRPr="00A661A6" w:rsidTr="00A26D15">
        <w:tc>
          <w:tcPr>
            <w:tcW w:w="12240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721FE" w:rsidRPr="00560F88" w:rsidRDefault="00A25630" w:rsidP="00B84BD7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560F88">
              <w:rPr>
                <w:rFonts w:ascii="Arial Narrow" w:hAnsi="Arial Narrow" w:cs="Microsoft Sans Serif"/>
                <w:sz w:val="20"/>
                <w:szCs w:val="20"/>
              </w:rPr>
              <w:t>Applicant must be a non-profit organization.</w:t>
            </w:r>
          </w:p>
        </w:tc>
        <w:tc>
          <w:tcPr>
            <w:tcW w:w="72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721FE" w:rsidRPr="00A661A6" w:rsidRDefault="00B721FE" w:rsidP="00B721FE">
            <w:pPr>
              <w:jc w:val="center"/>
              <w:rPr>
                <w:rFonts w:ascii="Microsoft Sans Serif" w:hAnsi="Microsoft Sans Serif" w:cs="Microsoft Sans Serif"/>
                <w:sz w:val="20"/>
                <w:szCs w:val="18"/>
              </w:rPr>
            </w:pP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t>No</w:t>
            </w:r>
            <w:r w:rsidR="00B51780"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4969" w:rsidRPr="00A661A6">
              <w:rPr>
                <w:rFonts w:ascii="Microsoft Sans Serif" w:hAnsi="Microsoft Sans Serif" w:cs="Microsoft Sans Serif"/>
                <w:sz w:val="20"/>
                <w:szCs w:val="18"/>
              </w:rPr>
              <w:instrText xml:space="preserve"> FORMCHECKBOX </w:instrText>
            </w:r>
            <w:r w:rsidR="005503D8">
              <w:rPr>
                <w:rFonts w:ascii="Microsoft Sans Serif" w:hAnsi="Microsoft Sans Serif" w:cs="Microsoft Sans Serif"/>
                <w:sz w:val="20"/>
                <w:szCs w:val="18"/>
              </w:rPr>
            </w:r>
            <w:r w:rsidR="005503D8">
              <w:rPr>
                <w:rFonts w:ascii="Microsoft Sans Serif" w:hAnsi="Microsoft Sans Serif" w:cs="Microsoft Sans Serif"/>
                <w:sz w:val="20"/>
                <w:szCs w:val="18"/>
              </w:rPr>
              <w:fldChar w:fldCharType="separate"/>
            </w:r>
            <w:r w:rsidR="00B51780"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end"/>
            </w:r>
          </w:p>
        </w:tc>
        <w:tc>
          <w:tcPr>
            <w:tcW w:w="117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721FE" w:rsidRPr="00A661A6" w:rsidRDefault="00B721FE" w:rsidP="00B721FE">
            <w:pPr>
              <w:jc w:val="center"/>
              <w:rPr>
                <w:rFonts w:ascii="Microsoft Sans Serif" w:hAnsi="Microsoft Sans Serif" w:cs="Microsoft Sans Serif"/>
                <w:sz w:val="20"/>
                <w:szCs w:val="18"/>
              </w:rPr>
            </w:pP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t>Yes</w:t>
            </w:r>
            <w:r w:rsidR="00B51780"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4969" w:rsidRPr="00A661A6">
              <w:rPr>
                <w:rFonts w:ascii="Microsoft Sans Serif" w:hAnsi="Microsoft Sans Serif" w:cs="Microsoft Sans Serif"/>
                <w:sz w:val="20"/>
                <w:szCs w:val="18"/>
              </w:rPr>
              <w:instrText xml:space="preserve"> FORMCHECKBOX </w:instrText>
            </w:r>
            <w:r w:rsidR="005503D8">
              <w:rPr>
                <w:rFonts w:ascii="Microsoft Sans Serif" w:hAnsi="Microsoft Sans Serif" w:cs="Microsoft Sans Serif"/>
                <w:sz w:val="20"/>
                <w:szCs w:val="18"/>
              </w:rPr>
            </w:r>
            <w:r w:rsidR="005503D8">
              <w:rPr>
                <w:rFonts w:ascii="Microsoft Sans Serif" w:hAnsi="Microsoft Sans Serif" w:cs="Microsoft Sans Serif"/>
                <w:sz w:val="20"/>
                <w:szCs w:val="18"/>
              </w:rPr>
              <w:fldChar w:fldCharType="separate"/>
            </w:r>
            <w:r w:rsidR="00B51780"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end"/>
            </w:r>
          </w:p>
        </w:tc>
      </w:tr>
      <w:tr w:rsidR="00B721FE" w:rsidRPr="00A661A6" w:rsidTr="00A26D15">
        <w:tc>
          <w:tcPr>
            <w:tcW w:w="12240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721FE" w:rsidRPr="00560F88" w:rsidRDefault="00A25630" w:rsidP="003605FD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560F88">
              <w:rPr>
                <w:rFonts w:ascii="Arial Narrow" w:hAnsi="Arial Narrow" w:cs="Microsoft Sans Serif"/>
                <w:sz w:val="20"/>
                <w:szCs w:val="20"/>
              </w:rPr>
              <w:t>Applicant must submit a complete application</w:t>
            </w:r>
            <w:r w:rsidR="002674BA">
              <w:rPr>
                <w:rFonts w:ascii="Arial Narrow" w:hAnsi="Arial Narrow" w:cs="Microsoft Sans Serif"/>
                <w:sz w:val="20"/>
                <w:szCs w:val="20"/>
              </w:rPr>
              <w:t xml:space="preserve"> consisting of a </w:t>
            </w:r>
            <w:r w:rsidR="00A71923">
              <w:rPr>
                <w:rFonts w:ascii="Arial Narrow" w:hAnsi="Arial Narrow" w:cs="Microsoft Sans Serif"/>
                <w:sz w:val="20"/>
                <w:szCs w:val="20"/>
              </w:rPr>
              <w:t>narrative and FY18</w:t>
            </w:r>
            <w:r w:rsidR="002674BA">
              <w:rPr>
                <w:rFonts w:ascii="Arial Narrow" w:hAnsi="Arial Narrow" w:cs="Microsoft Sans Serif"/>
                <w:sz w:val="20"/>
                <w:szCs w:val="20"/>
              </w:rPr>
              <w:t xml:space="preserve"> and FY 19</w:t>
            </w:r>
            <w:r w:rsidRPr="00560F88">
              <w:rPr>
                <w:rFonts w:ascii="Arial Narrow" w:hAnsi="Arial Narrow" w:cs="Microsoft Sans Serif"/>
                <w:sz w:val="20"/>
                <w:szCs w:val="20"/>
              </w:rPr>
              <w:t xml:space="preserve"> budgets with justification.</w:t>
            </w:r>
          </w:p>
        </w:tc>
        <w:tc>
          <w:tcPr>
            <w:tcW w:w="72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721FE" w:rsidRPr="00A661A6" w:rsidRDefault="00B721FE" w:rsidP="00B721FE">
            <w:pPr>
              <w:jc w:val="center"/>
              <w:rPr>
                <w:rFonts w:ascii="Microsoft Sans Serif" w:hAnsi="Microsoft Sans Serif" w:cs="Microsoft Sans Serif"/>
                <w:sz w:val="20"/>
                <w:szCs w:val="18"/>
              </w:rPr>
            </w:pP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t>No</w:t>
            </w:r>
            <w:r w:rsidR="00B51780"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4969" w:rsidRPr="00A661A6">
              <w:rPr>
                <w:rFonts w:ascii="Microsoft Sans Serif" w:hAnsi="Microsoft Sans Serif" w:cs="Microsoft Sans Serif"/>
                <w:sz w:val="20"/>
                <w:szCs w:val="18"/>
              </w:rPr>
              <w:instrText xml:space="preserve"> FORMCHECKBOX </w:instrText>
            </w:r>
            <w:r w:rsidR="005503D8">
              <w:rPr>
                <w:rFonts w:ascii="Microsoft Sans Serif" w:hAnsi="Microsoft Sans Serif" w:cs="Microsoft Sans Serif"/>
                <w:sz w:val="20"/>
                <w:szCs w:val="18"/>
              </w:rPr>
            </w:r>
            <w:r w:rsidR="005503D8">
              <w:rPr>
                <w:rFonts w:ascii="Microsoft Sans Serif" w:hAnsi="Microsoft Sans Serif" w:cs="Microsoft Sans Serif"/>
                <w:sz w:val="20"/>
                <w:szCs w:val="18"/>
              </w:rPr>
              <w:fldChar w:fldCharType="separate"/>
            </w:r>
            <w:r w:rsidR="00B51780"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end"/>
            </w:r>
          </w:p>
        </w:tc>
        <w:tc>
          <w:tcPr>
            <w:tcW w:w="117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721FE" w:rsidRPr="00A661A6" w:rsidRDefault="00B721FE" w:rsidP="00B721FE">
            <w:pPr>
              <w:jc w:val="center"/>
              <w:rPr>
                <w:rFonts w:ascii="Microsoft Sans Serif" w:hAnsi="Microsoft Sans Serif" w:cs="Microsoft Sans Serif"/>
                <w:sz w:val="20"/>
                <w:szCs w:val="18"/>
              </w:rPr>
            </w:pP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t>Yes</w:t>
            </w:r>
            <w:r w:rsidR="00B51780"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4969" w:rsidRPr="00A661A6">
              <w:rPr>
                <w:rFonts w:ascii="Microsoft Sans Serif" w:hAnsi="Microsoft Sans Serif" w:cs="Microsoft Sans Serif"/>
                <w:sz w:val="20"/>
                <w:szCs w:val="18"/>
              </w:rPr>
              <w:instrText xml:space="preserve"> FORMCHECKBOX </w:instrText>
            </w:r>
            <w:r w:rsidR="005503D8">
              <w:rPr>
                <w:rFonts w:ascii="Microsoft Sans Serif" w:hAnsi="Microsoft Sans Serif" w:cs="Microsoft Sans Serif"/>
                <w:sz w:val="20"/>
                <w:szCs w:val="18"/>
              </w:rPr>
            </w:r>
            <w:r w:rsidR="005503D8">
              <w:rPr>
                <w:rFonts w:ascii="Microsoft Sans Serif" w:hAnsi="Microsoft Sans Serif" w:cs="Microsoft Sans Serif"/>
                <w:sz w:val="20"/>
                <w:szCs w:val="18"/>
              </w:rPr>
              <w:fldChar w:fldCharType="separate"/>
            </w:r>
            <w:r w:rsidR="00B51780"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end"/>
            </w:r>
          </w:p>
        </w:tc>
      </w:tr>
    </w:tbl>
    <w:p w:rsidR="00B721FE" w:rsidRPr="00A53996" w:rsidRDefault="00A53996" w:rsidP="00A26D15">
      <w:pPr>
        <w:ind w:left="90" w:right="18"/>
        <w:rPr>
          <w:rFonts w:ascii="Microsoft Sans Serif" w:hAnsi="Microsoft Sans Serif" w:cs="Microsoft Sans Serif"/>
          <w:sz w:val="16"/>
          <w:szCs w:val="18"/>
        </w:rPr>
      </w:pPr>
      <w:r w:rsidRPr="00A53996">
        <w:rPr>
          <w:rFonts w:ascii="Microsoft Sans Serif" w:hAnsi="Microsoft Sans Serif" w:cs="Microsoft Sans Serif"/>
          <w:b/>
          <w:bCs/>
          <w:iCs/>
          <w:sz w:val="14"/>
          <w:szCs w:val="18"/>
          <w:u w:val="single"/>
        </w:rPr>
        <w:t>Scoring rubric</w:t>
      </w:r>
      <w:r w:rsidRPr="00A53996">
        <w:rPr>
          <w:rFonts w:ascii="Microsoft Sans Serif" w:hAnsi="Microsoft Sans Serif" w:cs="Microsoft Sans Serif"/>
          <w:b/>
          <w:bCs/>
          <w:iCs/>
          <w:sz w:val="14"/>
          <w:szCs w:val="18"/>
        </w:rPr>
        <w:t xml:space="preserve">: </w:t>
      </w:r>
      <w:r w:rsidRPr="00A53996">
        <w:rPr>
          <w:rFonts w:ascii="Microsoft Sans Serif" w:hAnsi="Microsoft Sans Serif" w:cs="Microsoft Sans Serif"/>
          <w:b/>
          <w:iCs/>
          <w:sz w:val="14"/>
          <w:szCs w:val="18"/>
          <w:highlight w:val="lightGray"/>
        </w:rPr>
        <w:t>Outstanding:</w:t>
      </w:r>
      <w:r w:rsidRPr="00A53996">
        <w:rPr>
          <w:rFonts w:ascii="Microsoft Sans Serif" w:hAnsi="Microsoft Sans Serif" w:cs="Microsoft Sans Serif"/>
          <w:iCs/>
          <w:sz w:val="14"/>
          <w:szCs w:val="18"/>
        </w:rPr>
        <w:t xml:space="preserve"> Application materials is complete, suggest exemplary qualifications, providing compelling, clear, and well-documented evidence of expertise. </w:t>
      </w:r>
      <w:r w:rsidRPr="00A53996">
        <w:rPr>
          <w:rFonts w:ascii="Microsoft Sans Serif" w:hAnsi="Microsoft Sans Serif" w:cs="Microsoft Sans Serif"/>
          <w:b/>
          <w:iCs/>
          <w:sz w:val="14"/>
          <w:szCs w:val="18"/>
          <w:highlight w:val="lightGray"/>
        </w:rPr>
        <w:t>Excellent:</w:t>
      </w:r>
      <w:r w:rsidRPr="00A53996">
        <w:rPr>
          <w:rFonts w:ascii="Microsoft Sans Serif" w:hAnsi="Microsoft Sans Serif" w:cs="Microsoft Sans Serif"/>
          <w:iCs/>
          <w:sz w:val="14"/>
          <w:szCs w:val="18"/>
        </w:rPr>
        <w:t xml:space="preserve"> Application materials are complete and suggest solid qualifications, providing clear and well-documented evidence of expertise. </w:t>
      </w:r>
      <w:r w:rsidRPr="00A53996">
        <w:rPr>
          <w:rFonts w:ascii="Microsoft Sans Serif" w:hAnsi="Microsoft Sans Serif" w:cs="Microsoft Sans Serif"/>
          <w:b/>
          <w:iCs/>
          <w:sz w:val="14"/>
          <w:szCs w:val="18"/>
          <w:highlight w:val="lightGray"/>
        </w:rPr>
        <w:t>Very Good:</w:t>
      </w:r>
      <w:r w:rsidRPr="00A53996">
        <w:rPr>
          <w:rFonts w:ascii="Microsoft Sans Serif" w:hAnsi="Microsoft Sans Serif" w:cs="Microsoft Sans Serif"/>
          <w:iCs/>
          <w:sz w:val="14"/>
          <w:szCs w:val="18"/>
        </w:rPr>
        <w:t xml:space="preserve"> Application materials are complete and suggest adequate qualifications, providing clear evidence of expertise. </w:t>
      </w:r>
      <w:r w:rsidRPr="00A53996">
        <w:rPr>
          <w:rFonts w:ascii="Microsoft Sans Serif" w:hAnsi="Microsoft Sans Serif" w:cs="Microsoft Sans Serif"/>
          <w:b/>
          <w:iCs/>
          <w:sz w:val="14"/>
          <w:szCs w:val="18"/>
          <w:highlight w:val="lightGray"/>
        </w:rPr>
        <w:t>Good:</w:t>
      </w:r>
      <w:r w:rsidRPr="00A53996">
        <w:rPr>
          <w:rFonts w:ascii="Microsoft Sans Serif" w:hAnsi="Microsoft Sans Serif" w:cs="Microsoft Sans Serif"/>
          <w:iCs/>
          <w:sz w:val="14"/>
          <w:szCs w:val="18"/>
        </w:rPr>
        <w:t xml:space="preserve"> Evidence of expertise or qualification in some areas is unclear or unsubstantiated by supporting documentation. Some required elements are missing. </w:t>
      </w:r>
      <w:r w:rsidRPr="00A53996">
        <w:rPr>
          <w:rFonts w:ascii="Microsoft Sans Serif" w:hAnsi="Microsoft Sans Serif" w:cs="Microsoft Sans Serif"/>
          <w:b/>
          <w:iCs/>
          <w:sz w:val="14"/>
          <w:szCs w:val="18"/>
          <w:highlight w:val="lightGray"/>
        </w:rPr>
        <w:t>Satisfactory:</w:t>
      </w:r>
      <w:r w:rsidRPr="00A53996">
        <w:rPr>
          <w:rFonts w:ascii="Microsoft Sans Serif" w:hAnsi="Microsoft Sans Serif" w:cs="Microsoft Sans Serif"/>
          <w:iCs/>
          <w:sz w:val="14"/>
          <w:szCs w:val="18"/>
        </w:rPr>
        <w:t xml:space="preserve"> Little evidence of qualification. Many required elements are missing. </w:t>
      </w:r>
      <w:r w:rsidRPr="00A53996">
        <w:rPr>
          <w:rFonts w:ascii="Microsoft Sans Serif" w:hAnsi="Microsoft Sans Serif" w:cs="Microsoft Sans Serif"/>
          <w:b/>
          <w:iCs/>
          <w:sz w:val="14"/>
          <w:szCs w:val="18"/>
          <w:highlight w:val="lightGray"/>
        </w:rPr>
        <w:t>Unsatisfactory:</w:t>
      </w:r>
      <w:r w:rsidRPr="00A53996">
        <w:rPr>
          <w:rFonts w:ascii="Microsoft Sans Serif" w:hAnsi="Microsoft Sans Serif" w:cs="Microsoft Sans Serif"/>
          <w:iCs/>
          <w:sz w:val="14"/>
          <w:szCs w:val="18"/>
        </w:rPr>
        <w:t xml:space="preserve"> Qualifications is not applicable to request; elements missing / non-responsive to request.</w:t>
      </w: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2"/>
        <w:gridCol w:w="1080"/>
        <w:gridCol w:w="1009"/>
        <w:gridCol w:w="810"/>
        <w:gridCol w:w="990"/>
        <w:gridCol w:w="900"/>
        <w:gridCol w:w="1170"/>
        <w:gridCol w:w="791"/>
        <w:gridCol w:w="1170"/>
        <w:gridCol w:w="1169"/>
      </w:tblGrid>
      <w:tr w:rsidR="001D60BE" w:rsidRPr="00B721FE" w:rsidTr="00AA2BFC">
        <w:trPr>
          <w:trHeight w:val="566"/>
          <w:jc w:val="center"/>
        </w:trPr>
        <w:tc>
          <w:tcPr>
            <w:tcW w:w="5142" w:type="dxa"/>
            <w:vAlign w:val="center"/>
          </w:tcPr>
          <w:p w:rsidR="001D60BE" w:rsidRPr="00A26D15" w:rsidRDefault="001B15C3" w:rsidP="003E5CA4">
            <w:pPr>
              <w:jc w:val="center"/>
              <w:rPr>
                <w:rFonts w:ascii="Arial Narrow" w:hAnsi="Arial Narrow" w:cs="Microsoft Sans Serif"/>
                <w:sz w:val="18"/>
                <w:szCs w:val="18"/>
              </w:rPr>
            </w:pPr>
            <w:r w:rsidRPr="00A26D15">
              <w:rPr>
                <w:rFonts w:ascii="Arial Narrow" w:hAnsi="Arial Narrow" w:cs="Microsoft Sans Serif"/>
                <w:sz w:val="18"/>
                <w:szCs w:val="18"/>
              </w:rPr>
              <w:t>Gateway Cities Education Agenda English Language Learners Enrichment Academies Grant Program</w:t>
            </w:r>
            <w:r w:rsidR="007D0501">
              <w:rPr>
                <w:rFonts w:ascii="Arial Narrow" w:hAnsi="Arial Narrow" w:cs="Microsoft Sans Serif"/>
                <w:sz w:val="18"/>
                <w:szCs w:val="18"/>
              </w:rPr>
              <w:t>--  Fund Code</w:t>
            </w:r>
            <w:r w:rsidR="003E5CA4">
              <w:rPr>
                <w:rFonts w:ascii="Arial Narrow" w:hAnsi="Arial Narrow" w:cs="Microsoft Sans Serif"/>
                <w:sz w:val="18"/>
                <w:szCs w:val="18"/>
              </w:rPr>
              <w:t xml:space="preserve"> 376</w:t>
            </w:r>
            <w:r w:rsidR="00A71923">
              <w:rPr>
                <w:rFonts w:ascii="Arial Narrow" w:hAnsi="Arial Narrow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Score</w:t>
            </w:r>
          </w:p>
          <w:p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Unsatisfactory</w:t>
            </w:r>
          </w:p>
          <w:p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0 pts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Score</w:t>
            </w:r>
          </w:p>
          <w:p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Satisfactory</w:t>
            </w:r>
          </w:p>
          <w:p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1 pt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D60BE" w:rsidRPr="00A26D15" w:rsidRDefault="001D60BE">
            <w:pPr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Score</w:t>
            </w:r>
          </w:p>
          <w:p w:rsidR="001D60BE" w:rsidRPr="00A26D15" w:rsidRDefault="001D60BE">
            <w:pPr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Good</w:t>
            </w:r>
          </w:p>
          <w:p w:rsidR="001D60BE" w:rsidRPr="00A26D15" w:rsidRDefault="001D60BE">
            <w:pPr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2 pts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Score</w:t>
            </w:r>
          </w:p>
          <w:p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Very Good</w:t>
            </w:r>
          </w:p>
          <w:p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3 pts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Score</w:t>
            </w:r>
          </w:p>
          <w:p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Excellent</w:t>
            </w:r>
          </w:p>
          <w:p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4 pts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Score</w:t>
            </w:r>
          </w:p>
          <w:p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Outstanding</w:t>
            </w:r>
          </w:p>
          <w:p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5 pts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Multiplier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Points</w:t>
            </w:r>
            <w:r w:rsidR="00A26D15">
              <w:rPr>
                <w:rFonts w:ascii="Arial Narrow" w:hAnsi="Arial Narrow" w:cs="Microsoft Sans Serif"/>
                <w:sz w:val="16"/>
                <w:szCs w:val="16"/>
              </w:rPr>
              <w:t xml:space="preserve"> </w:t>
            </w: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Awarded</w:t>
            </w:r>
          </w:p>
          <w:p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(Score 0–5 x</w:t>
            </w:r>
            <w:r w:rsidR="00A26D15">
              <w:rPr>
                <w:rFonts w:ascii="Arial Narrow" w:hAnsi="Arial Narrow" w:cs="Microsoft Sans Serif"/>
                <w:sz w:val="16"/>
                <w:szCs w:val="16"/>
              </w:rPr>
              <w:t xml:space="preserve"> </w:t>
            </w:r>
          </w:p>
          <w:p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Multiplier)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Maximum</w:t>
            </w:r>
          </w:p>
          <w:p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Points</w:t>
            </w:r>
            <w:r w:rsidR="00A26D15">
              <w:rPr>
                <w:rFonts w:ascii="Arial Narrow" w:hAnsi="Arial Narrow" w:cs="Microsoft Sans Serif"/>
                <w:sz w:val="16"/>
                <w:szCs w:val="16"/>
              </w:rPr>
              <w:t xml:space="preserve"> </w:t>
            </w: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Available</w:t>
            </w:r>
          </w:p>
          <w:p w:rsidR="001D60BE" w:rsidRPr="00A26D15" w:rsidRDefault="001D60BE" w:rsidP="00A26D15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(5 x</w:t>
            </w:r>
            <w:r w:rsidR="00A26D15">
              <w:rPr>
                <w:rFonts w:ascii="Arial Narrow" w:hAnsi="Arial Narrow" w:cs="Microsoft Sans Serif"/>
                <w:sz w:val="16"/>
                <w:szCs w:val="16"/>
              </w:rPr>
              <w:t xml:space="preserve"> </w:t>
            </w: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Multiplier)</w:t>
            </w:r>
          </w:p>
        </w:tc>
      </w:tr>
      <w:tr w:rsidR="001D60BE" w:rsidRPr="00B721FE" w:rsidTr="00AA2BFC">
        <w:trPr>
          <w:trHeight w:val="161"/>
          <w:jc w:val="center"/>
        </w:trPr>
        <w:tc>
          <w:tcPr>
            <w:tcW w:w="5142" w:type="dxa"/>
            <w:tcBorders>
              <w:bottom w:val="single" w:sz="4" w:space="0" w:color="auto"/>
            </w:tcBorders>
          </w:tcPr>
          <w:p w:rsidR="001D60BE" w:rsidRPr="00A26D15" w:rsidRDefault="00B721F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A26D15"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Additional </w:t>
            </w:r>
            <w:r w:rsidR="001D60BE" w:rsidRPr="00A26D15">
              <w:rPr>
                <w:rFonts w:ascii="Arial Narrow" w:hAnsi="Arial Narrow" w:cs="Microsoft Sans Serif"/>
                <w:b/>
                <w:sz w:val="18"/>
                <w:szCs w:val="18"/>
              </w:rPr>
              <w:t>Evaluation Criteria: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20" w:color="auto" w:fill="000000"/>
          </w:tcPr>
          <w:p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pct20" w:color="auto" w:fill="000000"/>
          </w:tcPr>
          <w:p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pct20" w:color="auto" w:fill="000000"/>
          </w:tcPr>
          <w:p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pct20" w:color="auto" w:fill="000000"/>
          </w:tcPr>
          <w:p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pct20" w:color="auto" w:fill="000000"/>
          </w:tcPr>
          <w:p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20" w:color="auto" w:fill="000000"/>
          </w:tcPr>
          <w:p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shd w:val="pct20" w:color="auto" w:fill="000000"/>
          </w:tcPr>
          <w:p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20" w:color="auto" w:fill="000000"/>
          </w:tcPr>
          <w:p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pct20" w:color="auto" w:fill="000000"/>
          </w:tcPr>
          <w:p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</w:tr>
      <w:tr w:rsidR="001D60BE" w:rsidRPr="00571A64" w:rsidTr="00AA2BFC">
        <w:trPr>
          <w:jc w:val="center"/>
        </w:trPr>
        <w:tc>
          <w:tcPr>
            <w:tcW w:w="5142" w:type="dxa"/>
            <w:tcBorders>
              <w:top w:val="single" w:sz="4" w:space="0" w:color="auto"/>
              <w:bottom w:val="nil"/>
            </w:tcBorders>
          </w:tcPr>
          <w:p w:rsidR="001D60BE" w:rsidRPr="00A26D15" w:rsidRDefault="001B15C3" w:rsidP="00B336E4">
            <w:pPr>
              <w:ind w:left="-37"/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A26D15">
              <w:rPr>
                <w:rFonts w:ascii="Arial Narrow" w:hAnsi="Arial Narrow"/>
                <w:sz w:val="19"/>
                <w:szCs w:val="19"/>
              </w:rPr>
              <w:t>The Bidder's narrative thoroughly and clearly describes the rationale for the proposed Enrichment Academy, including the population of students to be served</w:t>
            </w:r>
            <w:r w:rsidR="00B336E4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8205A3">
              <w:rPr>
                <w:rFonts w:ascii="Arial Narrow" w:hAnsi="Arial Narrow"/>
                <w:sz w:val="19"/>
                <w:szCs w:val="19"/>
              </w:rPr>
              <w:t>(no</w:t>
            </w:r>
            <w:r w:rsidR="00B336E4">
              <w:rPr>
                <w:rFonts w:ascii="Arial Narrow" w:hAnsi="Arial Narrow"/>
                <w:sz w:val="19"/>
                <w:szCs w:val="19"/>
              </w:rPr>
              <w:t xml:space="preserve"> less than 100 students) </w:t>
            </w:r>
            <w:r w:rsidRPr="00A26D15">
              <w:rPr>
                <w:rFonts w:ascii="Arial Narrow" w:hAnsi="Arial Narrow"/>
                <w:sz w:val="19"/>
                <w:szCs w:val="19"/>
              </w:rPr>
              <w:t xml:space="preserve">, why this population was selected and how specific students </w:t>
            </w:r>
            <w:r w:rsidR="00B336E4">
              <w:rPr>
                <w:rFonts w:ascii="Arial Narrow" w:hAnsi="Arial Narrow"/>
                <w:sz w:val="19"/>
                <w:szCs w:val="19"/>
              </w:rPr>
              <w:t xml:space="preserve">could be invited to participate </w:t>
            </w:r>
            <w:r w:rsidR="00B336E4" w:rsidRPr="00A26D15">
              <w:rPr>
                <w:rFonts w:ascii="Arial Narrow" w:hAnsi="Arial Narrow"/>
                <w:sz w:val="19"/>
                <w:szCs w:val="19"/>
              </w:rPr>
              <w:t>with particular detail about middle and high school students.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1D60BE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 w:rsidR="001D60BE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D60BE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:rsidR="001D60BE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="001D60BE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D60BE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1D60BE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 w:rsidR="001D60BE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D60BE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1D60BE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 w:rsidR="001D60BE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D60BE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D60BE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="001D60BE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D60BE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1D60BE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="001D60BE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D60BE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91" w:type="dxa"/>
            <w:tcBorders>
              <w:top w:val="single" w:sz="4" w:space="0" w:color="auto"/>
              <w:bottom w:val="nil"/>
            </w:tcBorders>
          </w:tcPr>
          <w:p w:rsidR="001D60BE" w:rsidRPr="00571A64" w:rsidRDefault="001D60BE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866599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1D60BE" w:rsidRPr="00571A64" w:rsidRDefault="001D60BE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nil"/>
            </w:tcBorders>
          </w:tcPr>
          <w:p w:rsidR="001D60BE" w:rsidRPr="00571A64" w:rsidRDefault="00866599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</w:t>
            </w:r>
          </w:p>
        </w:tc>
      </w:tr>
      <w:tr w:rsidR="001D60BE" w:rsidRPr="00571A64" w:rsidTr="00AA2BFC">
        <w:trPr>
          <w:jc w:val="center"/>
        </w:trPr>
        <w:tc>
          <w:tcPr>
            <w:tcW w:w="5142" w:type="dxa"/>
            <w:tcBorders>
              <w:bottom w:val="nil"/>
            </w:tcBorders>
          </w:tcPr>
          <w:p w:rsidR="001B15C3" w:rsidRPr="00A26D15" w:rsidRDefault="001B15C3" w:rsidP="00A26D15">
            <w:pPr>
              <w:ind w:left="-37"/>
              <w:rPr>
                <w:rFonts w:ascii="Arial Narrow" w:hAnsi="Arial Narrow"/>
                <w:sz w:val="19"/>
                <w:szCs w:val="19"/>
              </w:rPr>
            </w:pPr>
            <w:r w:rsidRPr="00A26D15">
              <w:rPr>
                <w:rFonts w:ascii="Arial Narrow" w:hAnsi="Arial Narrow"/>
                <w:sz w:val="19"/>
                <w:szCs w:val="19"/>
              </w:rPr>
              <w:t>The Bidder provided a compelling description of:</w:t>
            </w:r>
          </w:p>
          <w:p w:rsidR="001B15C3" w:rsidRPr="00A26D15" w:rsidRDefault="001B15C3" w:rsidP="00A26D15">
            <w:pPr>
              <w:ind w:left="-37"/>
              <w:rPr>
                <w:rFonts w:ascii="Arial Narrow" w:hAnsi="Arial Narrow"/>
                <w:sz w:val="19"/>
                <w:szCs w:val="19"/>
              </w:rPr>
            </w:pPr>
            <w:r w:rsidRPr="00A26D15">
              <w:rPr>
                <w:rFonts w:ascii="Arial Narrow" w:hAnsi="Arial Narrow"/>
                <w:sz w:val="19"/>
                <w:szCs w:val="19"/>
              </w:rPr>
              <w:t>•Potential outreach efforts to students, family members, educators and community members.</w:t>
            </w:r>
          </w:p>
          <w:p w:rsidR="001B15C3" w:rsidRPr="00A26D15" w:rsidRDefault="001B15C3" w:rsidP="00A26D15">
            <w:pPr>
              <w:ind w:left="-37"/>
              <w:rPr>
                <w:rFonts w:ascii="Arial Narrow" w:hAnsi="Arial Narrow"/>
                <w:sz w:val="19"/>
                <w:szCs w:val="19"/>
              </w:rPr>
            </w:pPr>
            <w:r w:rsidRPr="00A26D15">
              <w:rPr>
                <w:rFonts w:ascii="Arial Narrow" w:hAnsi="Arial Narrow"/>
                <w:sz w:val="19"/>
                <w:szCs w:val="19"/>
              </w:rPr>
              <w:t>•Recruitment and selection processes.</w:t>
            </w:r>
          </w:p>
          <w:p w:rsidR="001D60BE" w:rsidRPr="00A26D15" w:rsidRDefault="001B15C3" w:rsidP="00A26D15">
            <w:pPr>
              <w:ind w:left="-37"/>
              <w:rPr>
                <w:rFonts w:ascii="Arial Narrow" w:hAnsi="Arial Narrow"/>
                <w:sz w:val="19"/>
                <w:szCs w:val="19"/>
              </w:rPr>
            </w:pPr>
            <w:r w:rsidRPr="00A26D15">
              <w:rPr>
                <w:rFonts w:ascii="Arial Narrow" w:hAnsi="Arial Narrow"/>
                <w:sz w:val="19"/>
                <w:szCs w:val="19"/>
              </w:rPr>
              <w:t>•Retention strategies, including incentives.</w:t>
            </w:r>
          </w:p>
        </w:tc>
        <w:tc>
          <w:tcPr>
            <w:tcW w:w="1080" w:type="dxa"/>
            <w:tcBorders>
              <w:bottom w:val="nil"/>
            </w:tcBorders>
          </w:tcPr>
          <w:p w:rsidR="001D60BE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="001D60BE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D60BE" w:rsidRPr="00571A64">
              <w:rPr>
                <w:rFonts w:ascii="Tahoma" w:hAnsi="Tahoma" w:cs="Microsoft Sans Serif"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009" w:type="dxa"/>
            <w:tcBorders>
              <w:bottom w:val="nil"/>
            </w:tcBorders>
          </w:tcPr>
          <w:p w:rsidR="001D60BE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="001D60BE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D60BE" w:rsidRPr="00571A64">
              <w:rPr>
                <w:rFonts w:ascii="Tahoma" w:hAnsi="Tahoma" w:cs="Microsoft Sans Serif"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10" w:type="dxa"/>
            <w:tcBorders>
              <w:bottom w:val="nil"/>
            </w:tcBorders>
          </w:tcPr>
          <w:p w:rsidR="001D60BE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" w:name="Text80"/>
            <w:r w:rsidR="001D60BE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D60BE" w:rsidRPr="00571A64">
              <w:rPr>
                <w:rFonts w:ascii="Tahoma" w:hAnsi="Tahoma" w:cs="Microsoft Sans Serif"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90" w:type="dxa"/>
            <w:tcBorders>
              <w:bottom w:val="nil"/>
            </w:tcBorders>
          </w:tcPr>
          <w:p w:rsidR="001D60BE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" w:name="Text85"/>
            <w:r w:rsidR="001D60BE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D60BE" w:rsidRPr="00571A64">
              <w:rPr>
                <w:rFonts w:ascii="Tahoma" w:hAnsi="Tahoma" w:cs="Microsoft Sans Serif"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00" w:type="dxa"/>
            <w:tcBorders>
              <w:bottom w:val="nil"/>
            </w:tcBorders>
          </w:tcPr>
          <w:p w:rsidR="001D60BE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" w:name="Text90"/>
            <w:r w:rsidR="001D60BE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D60BE" w:rsidRPr="00571A64">
              <w:rPr>
                <w:rFonts w:ascii="Tahoma" w:hAnsi="Tahoma" w:cs="Microsoft Sans Serif"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70" w:type="dxa"/>
            <w:tcBorders>
              <w:bottom w:val="nil"/>
            </w:tcBorders>
          </w:tcPr>
          <w:p w:rsidR="001D60BE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" w:name="Text95"/>
            <w:r w:rsidR="001D60BE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D60BE" w:rsidRPr="00571A64">
              <w:rPr>
                <w:rFonts w:ascii="Tahoma" w:hAnsi="Tahoma" w:cs="Microsoft Sans Serif"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sz w:val="18"/>
                <w:szCs w:val="18"/>
              </w:rPr>
              <w:t> </w:t>
            </w:r>
            <w:r w:rsidR="001D60BE" w:rsidRPr="00571A64">
              <w:rPr>
                <w:rFonts w:ascii="Tahoma" w:hAnsi="Tahoma" w:cs="Microsoft Sans Serif"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91" w:type="dxa"/>
            <w:tcBorders>
              <w:bottom w:val="nil"/>
            </w:tcBorders>
          </w:tcPr>
          <w:p w:rsidR="001D60BE" w:rsidRPr="00571A64" w:rsidRDefault="001D60BE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B316C5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nil"/>
            </w:tcBorders>
          </w:tcPr>
          <w:p w:rsidR="001D60BE" w:rsidRPr="00571A64" w:rsidRDefault="001D60BE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nil"/>
            </w:tcBorders>
          </w:tcPr>
          <w:p w:rsidR="001D60BE" w:rsidRPr="00571A64" w:rsidRDefault="00B316C5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</w:t>
            </w:r>
          </w:p>
        </w:tc>
      </w:tr>
      <w:tr w:rsidR="001B15C3" w:rsidRPr="00571A64" w:rsidTr="00AA2BFC">
        <w:trPr>
          <w:jc w:val="center"/>
        </w:trPr>
        <w:tc>
          <w:tcPr>
            <w:tcW w:w="5142" w:type="dxa"/>
            <w:tcBorders>
              <w:bottom w:val="nil"/>
            </w:tcBorders>
          </w:tcPr>
          <w:p w:rsidR="001B15C3" w:rsidRPr="00A26D15" w:rsidRDefault="001B15C3" w:rsidP="00A26D15">
            <w:pPr>
              <w:ind w:left="-37"/>
              <w:rPr>
                <w:rFonts w:ascii="Arial Narrow" w:hAnsi="Arial Narrow"/>
                <w:sz w:val="19"/>
                <w:szCs w:val="19"/>
              </w:rPr>
            </w:pPr>
            <w:r w:rsidRPr="00A26D15">
              <w:rPr>
                <w:rFonts w:ascii="Arial Narrow" w:hAnsi="Arial Narrow"/>
                <w:sz w:val="19"/>
                <w:szCs w:val="19"/>
              </w:rPr>
              <w:t>The Bidder provided comprehensive information about proposed instructional strategies and curricula, including different types of learning opportunities (project-based, experiential, and/or service learning)</w:t>
            </w:r>
          </w:p>
        </w:tc>
        <w:tc>
          <w:tcPr>
            <w:tcW w:w="1080" w:type="dxa"/>
            <w:tcBorders>
              <w:bottom w:val="nil"/>
            </w:tcBorders>
          </w:tcPr>
          <w:p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" w:name="Text72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009" w:type="dxa"/>
            <w:tcBorders>
              <w:bottom w:val="nil"/>
            </w:tcBorders>
          </w:tcPr>
          <w:p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" w:name="Text77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10" w:type="dxa"/>
            <w:tcBorders>
              <w:bottom w:val="nil"/>
            </w:tcBorders>
          </w:tcPr>
          <w:p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5" w:name="Text82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90" w:type="dxa"/>
            <w:tcBorders>
              <w:bottom w:val="nil"/>
            </w:tcBorders>
          </w:tcPr>
          <w:p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6" w:name="Text87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00" w:type="dxa"/>
            <w:tcBorders>
              <w:bottom w:val="nil"/>
            </w:tcBorders>
          </w:tcPr>
          <w:p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7" w:name="Text92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170" w:type="dxa"/>
            <w:tcBorders>
              <w:bottom w:val="nil"/>
            </w:tcBorders>
          </w:tcPr>
          <w:p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8" w:name="Text97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91" w:type="dxa"/>
            <w:tcBorders>
              <w:bottom w:val="nil"/>
            </w:tcBorders>
          </w:tcPr>
          <w:p w:rsidR="001B15C3" w:rsidRPr="00571A64" w:rsidRDefault="001B15C3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B316C5"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nil"/>
            </w:tcBorders>
          </w:tcPr>
          <w:p w:rsidR="001B15C3" w:rsidRPr="00571A64" w:rsidRDefault="001B15C3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nil"/>
            </w:tcBorders>
          </w:tcPr>
          <w:p w:rsidR="001B15C3" w:rsidRPr="00571A64" w:rsidRDefault="00B316C5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AA2BFC"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</w:p>
        </w:tc>
      </w:tr>
      <w:tr w:rsidR="001B15C3" w:rsidRPr="00571A64" w:rsidTr="00AA2BFC">
        <w:trPr>
          <w:jc w:val="center"/>
        </w:trPr>
        <w:tc>
          <w:tcPr>
            <w:tcW w:w="5142" w:type="dxa"/>
            <w:tcBorders>
              <w:bottom w:val="single" w:sz="4" w:space="0" w:color="auto"/>
            </w:tcBorders>
          </w:tcPr>
          <w:p w:rsidR="001B15C3" w:rsidRPr="00571A64" w:rsidRDefault="001B15C3" w:rsidP="00A26D15">
            <w:pPr>
              <w:ind w:left="-3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26D15">
              <w:rPr>
                <w:rFonts w:ascii="Arial Narrow" w:hAnsi="Arial Narrow"/>
                <w:sz w:val="19"/>
                <w:szCs w:val="19"/>
              </w:rPr>
              <w:t>The Bidder provided comprehensive information about activities to celebrate the cultural and linguistic backgrounds of students and increase cultural competency of students and teachers.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1" w:name="Text83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2" w:name="Text88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3" w:name="Text93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1B15C3" w:rsidRPr="00571A64" w:rsidRDefault="001B15C3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AA2BFC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B15C3" w:rsidRPr="00571A64" w:rsidRDefault="001B15C3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1B15C3" w:rsidRPr="00571A64" w:rsidRDefault="00AA2BFC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</w:p>
        </w:tc>
      </w:tr>
      <w:tr w:rsidR="001B15C3" w:rsidRPr="00571A64" w:rsidTr="00AA2BFC">
        <w:trPr>
          <w:jc w:val="center"/>
        </w:trPr>
        <w:tc>
          <w:tcPr>
            <w:tcW w:w="5142" w:type="dxa"/>
            <w:tcBorders>
              <w:top w:val="single" w:sz="4" w:space="0" w:color="auto"/>
              <w:bottom w:val="nil"/>
            </w:tcBorders>
          </w:tcPr>
          <w:p w:rsidR="001B15C3" w:rsidRPr="001B15C3" w:rsidRDefault="001B15C3" w:rsidP="00A26D15">
            <w:pPr>
              <w:ind w:left="-37"/>
              <w:rPr>
                <w:rFonts w:ascii="Arial Narrow" w:hAnsi="Arial Narrow"/>
                <w:sz w:val="20"/>
                <w:szCs w:val="20"/>
              </w:rPr>
            </w:pPr>
            <w:r w:rsidRPr="00A26D15">
              <w:rPr>
                <w:rFonts w:ascii="Arial Narrow" w:hAnsi="Arial Narrow"/>
                <w:sz w:val="19"/>
                <w:szCs w:val="19"/>
              </w:rPr>
              <w:t>The Bidder provided a detailed schedule - at least 6 hours/day, f</w:t>
            </w:r>
            <w:r w:rsidR="00B316C5">
              <w:rPr>
                <w:rFonts w:ascii="Arial Narrow" w:hAnsi="Arial Narrow"/>
                <w:sz w:val="19"/>
                <w:szCs w:val="19"/>
              </w:rPr>
              <w:t xml:space="preserve">or a minimum of 120 hours total and </w:t>
            </w:r>
            <w:r w:rsidR="00B316C5" w:rsidRPr="00A26D15">
              <w:rPr>
                <w:rFonts w:ascii="Arial Narrow" w:hAnsi="Arial Narrow"/>
                <w:sz w:val="19"/>
                <w:szCs w:val="19"/>
              </w:rPr>
              <w:t xml:space="preserve"> provided comprehensive information about the transportation needs of students - and the services to be provided.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1B15C3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1B15C3" w:rsidRPr="001B15C3" w:rsidRDefault="001B15C3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auto"/>
              <w:bottom w:val="nil"/>
            </w:tcBorders>
          </w:tcPr>
          <w:p w:rsidR="001B15C3" w:rsidRPr="00571A64" w:rsidRDefault="001B15C3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B316C5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1B15C3" w:rsidRPr="00571A64" w:rsidRDefault="001B15C3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nil"/>
            </w:tcBorders>
          </w:tcPr>
          <w:p w:rsidR="001B15C3" w:rsidRPr="00571A64" w:rsidRDefault="00B316C5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</w:t>
            </w:r>
          </w:p>
        </w:tc>
      </w:tr>
      <w:tr w:rsidR="00560F88" w:rsidRPr="00571A64" w:rsidTr="00AA2BFC">
        <w:trPr>
          <w:jc w:val="center"/>
        </w:trPr>
        <w:tc>
          <w:tcPr>
            <w:tcW w:w="5142" w:type="dxa"/>
            <w:tcBorders>
              <w:top w:val="single" w:sz="4" w:space="0" w:color="auto"/>
              <w:bottom w:val="nil"/>
            </w:tcBorders>
          </w:tcPr>
          <w:p w:rsidR="00560F88" w:rsidRPr="00A26D15" w:rsidRDefault="00560F88" w:rsidP="00A26D15">
            <w:pPr>
              <w:ind w:left="-37"/>
              <w:rPr>
                <w:rFonts w:ascii="Arial Narrow" w:hAnsi="Arial Narrow"/>
                <w:sz w:val="19"/>
                <w:szCs w:val="19"/>
              </w:rPr>
            </w:pPr>
            <w:r w:rsidRPr="00A26D15">
              <w:rPr>
                <w:rFonts w:ascii="Arial Narrow" w:hAnsi="Arial Narrow"/>
                <w:sz w:val="19"/>
                <w:szCs w:val="19"/>
              </w:rPr>
              <w:t>The Bidder provides a robust description of how the proposed Enrichment Academies will complement/supplement existing efforts in the school, district, or community to increase the English language/literacy skills and student achievement of target population - and would be aligned to existing school and district improvement plans and statewide initiatives.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560F88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560F88" w:rsidRPr="001B15C3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auto"/>
              <w:bottom w:val="nil"/>
            </w:tcBorders>
          </w:tcPr>
          <w:p w:rsidR="00560F88" w:rsidRPr="00571A64" w:rsidRDefault="00560F88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AA2BFC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560F88" w:rsidRPr="00571A64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nil"/>
            </w:tcBorders>
          </w:tcPr>
          <w:p w:rsidR="00560F88" w:rsidRPr="00571A64" w:rsidRDefault="00AA2BFC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</w:p>
        </w:tc>
      </w:tr>
      <w:tr w:rsidR="00560F88" w:rsidRPr="00A661A6" w:rsidTr="00AA2BFC">
        <w:trPr>
          <w:jc w:val="center"/>
        </w:trPr>
        <w:tc>
          <w:tcPr>
            <w:tcW w:w="5142" w:type="dxa"/>
            <w:tcBorders>
              <w:bottom w:val="single" w:sz="4" w:space="0" w:color="auto"/>
            </w:tcBorders>
            <w:shd w:val="clear" w:color="auto" w:fill="auto"/>
          </w:tcPr>
          <w:p w:rsidR="00560F88" w:rsidRPr="00A26D15" w:rsidRDefault="00560F88" w:rsidP="00A26D15">
            <w:pPr>
              <w:ind w:left="-37"/>
              <w:rPr>
                <w:rFonts w:ascii="Arial Narrow" w:hAnsi="Arial Narrow"/>
                <w:sz w:val="19"/>
                <w:szCs w:val="19"/>
              </w:rPr>
            </w:pPr>
            <w:r w:rsidRPr="00A26D15">
              <w:rPr>
                <w:rFonts w:ascii="Arial Narrow" w:hAnsi="Arial Narrow"/>
                <w:sz w:val="19"/>
                <w:szCs w:val="19"/>
              </w:rPr>
              <w:t>The Bidder provides a comprehensive and compelling description of the processes for selecting instructors and the professional development and training to be provided prior to and during the programs.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60F88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560F88" w:rsidRPr="001B15C3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560F88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B316C5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B316C5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</w:t>
            </w:r>
          </w:p>
        </w:tc>
      </w:tr>
      <w:tr w:rsidR="00560F88" w:rsidRPr="00A661A6" w:rsidTr="00AA2BFC">
        <w:trPr>
          <w:jc w:val="center"/>
        </w:trPr>
        <w:tc>
          <w:tcPr>
            <w:tcW w:w="5142" w:type="dxa"/>
            <w:tcBorders>
              <w:bottom w:val="single" w:sz="4" w:space="0" w:color="auto"/>
            </w:tcBorders>
            <w:shd w:val="clear" w:color="auto" w:fill="auto"/>
          </w:tcPr>
          <w:p w:rsidR="00A26D15" w:rsidRPr="00AA2BFC" w:rsidRDefault="00560F88" w:rsidP="00AA2BFC">
            <w:pPr>
              <w:ind w:left="-37"/>
              <w:rPr>
                <w:rFonts w:ascii="Arial Narrow" w:hAnsi="Arial Narrow"/>
                <w:sz w:val="19"/>
                <w:szCs w:val="19"/>
              </w:rPr>
            </w:pPr>
            <w:r w:rsidRPr="00A26D15">
              <w:rPr>
                <w:rFonts w:ascii="Arial Narrow" w:hAnsi="Arial Narrow"/>
                <w:sz w:val="19"/>
                <w:szCs w:val="19"/>
              </w:rPr>
              <w:t xml:space="preserve">The Bidder identifies anticipated outcomes of the Enrichment Academy that are wide-ranging and clearly identified according to multiple measures, including, but not limited to: English language fluency, </w:t>
            </w:r>
            <w:r w:rsidRPr="00A26D15">
              <w:rPr>
                <w:rFonts w:ascii="Arial Narrow" w:hAnsi="Arial Narrow"/>
                <w:sz w:val="19"/>
                <w:szCs w:val="19"/>
              </w:rPr>
              <w:lastRenderedPageBreak/>
              <w:t>comprehension, reading and writing, student confide</w:t>
            </w:r>
            <w:r w:rsidR="00B316C5">
              <w:rPr>
                <w:rFonts w:ascii="Arial Narrow" w:hAnsi="Arial Narrow"/>
                <w:sz w:val="19"/>
                <w:szCs w:val="19"/>
              </w:rPr>
              <w:t>nce and engagement, exit from E</w:t>
            </w:r>
            <w:r w:rsidRPr="00A26D15">
              <w:rPr>
                <w:rFonts w:ascii="Arial Narrow" w:hAnsi="Arial Narrow"/>
                <w:sz w:val="19"/>
                <w:szCs w:val="19"/>
              </w:rPr>
              <w:t>L status, and retention and graduation rates.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60F88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560F88" w:rsidRPr="001B15C3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560F88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B316C5"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B316C5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AA2BFC"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</w:p>
        </w:tc>
      </w:tr>
      <w:tr w:rsidR="00560F88" w:rsidRPr="00A661A6" w:rsidTr="00AA2BFC">
        <w:trPr>
          <w:jc w:val="center"/>
        </w:trPr>
        <w:tc>
          <w:tcPr>
            <w:tcW w:w="5142" w:type="dxa"/>
            <w:tcBorders>
              <w:bottom w:val="single" w:sz="4" w:space="0" w:color="auto"/>
            </w:tcBorders>
            <w:shd w:val="clear" w:color="auto" w:fill="auto"/>
          </w:tcPr>
          <w:p w:rsidR="00560F88" w:rsidRPr="00A26D15" w:rsidRDefault="00560F88" w:rsidP="00A26D15">
            <w:pPr>
              <w:ind w:left="-37"/>
              <w:rPr>
                <w:rFonts w:ascii="Arial Narrow" w:hAnsi="Arial Narrow"/>
                <w:sz w:val="19"/>
                <w:szCs w:val="19"/>
              </w:rPr>
            </w:pPr>
            <w:r w:rsidRPr="00A26D15">
              <w:rPr>
                <w:rFonts w:ascii="Arial Narrow" w:hAnsi="Arial Narrow"/>
                <w:sz w:val="19"/>
                <w:szCs w:val="19"/>
              </w:rPr>
              <w:t>The Bidder provides a thorough description of the pre- and post- assessment strategies for students participating in the proposed programs.</w:t>
            </w:r>
            <w:r w:rsidR="00B336E4" w:rsidRPr="00A26D15">
              <w:rPr>
                <w:rFonts w:ascii="Arial Narrow" w:hAnsi="Arial Narrow"/>
                <w:sz w:val="19"/>
                <w:szCs w:val="19"/>
              </w:rPr>
              <w:t xml:space="preserve"> The Bidder provides a thorough description of the proposed ongoing measurements of student progress on multiple outcomes.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60F88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560F88" w:rsidRPr="001B15C3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560F88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B316C5"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B316C5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AA2BFC"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</w:p>
        </w:tc>
      </w:tr>
      <w:tr w:rsidR="00560F88" w:rsidRPr="00A661A6" w:rsidTr="00AA2BFC">
        <w:trPr>
          <w:jc w:val="center"/>
        </w:trPr>
        <w:tc>
          <w:tcPr>
            <w:tcW w:w="5142" w:type="dxa"/>
            <w:tcBorders>
              <w:bottom w:val="single" w:sz="4" w:space="0" w:color="auto"/>
            </w:tcBorders>
            <w:shd w:val="clear" w:color="auto" w:fill="auto"/>
          </w:tcPr>
          <w:p w:rsidR="00560F88" w:rsidRPr="00A26D15" w:rsidRDefault="00560F88" w:rsidP="00A26D15">
            <w:pPr>
              <w:ind w:left="-37"/>
              <w:rPr>
                <w:rFonts w:ascii="Arial Narrow" w:hAnsi="Arial Narrow"/>
                <w:sz w:val="19"/>
                <w:szCs w:val="19"/>
              </w:rPr>
            </w:pPr>
            <w:r w:rsidRPr="00A26D15">
              <w:rPr>
                <w:rFonts w:ascii="Arial Narrow" w:hAnsi="Arial Narrow"/>
                <w:sz w:val="19"/>
                <w:szCs w:val="19"/>
              </w:rPr>
              <w:t>The Bidder’s proposed budget expenditures clearly demonstrate appropriate use of funds.</w:t>
            </w:r>
            <w:r w:rsidR="00B336E4" w:rsidRPr="00A26D15">
              <w:rPr>
                <w:rFonts w:ascii="Arial Narrow" w:hAnsi="Arial Narrow"/>
                <w:sz w:val="19"/>
                <w:szCs w:val="19"/>
              </w:rPr>
              <w:t xml:space="preserve"> The Bidder’s budget expenditures are clearly tied to the application narrative</w:t>
            </w:r>
            <w:r w:rsidR="00B336E4">
              <w:rPr>
                <w:rFonts w:ascii="Arial Narrow" w:hAnsi="Arial Narrow"/>
                <w:sz w:val="19"/>
                <w:szCs w:val="19"/>
              </w:rPr>
              <w:t xml:space="preserve">. </w:t>
            </w:r>
            <w:r w:rsidR="00B336E4" w:rsidRPr="00A26D15">
              <w:rPr>
                <w:rFonts w:ascii="Arial Narrow" w:hAnsi="Arial Narrow"/>
                <w:sz w:val="19"/>
                <w:szCs w:val="19"/>
              </w:rPr>
              <w:t>The Bidder’s budget justification includes brief but precise descriptions that clearly justify each expense. There is clear reference to required activities and how these will benefit students.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60F88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560F88" w:rsidRPr="001B15C3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560F88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AA2BFC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560F88" w:rsidRPr="00571A64" w:rsidRDefault="00AA2BFC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</w:p>
        </w:tc>
      </w:tr>
      <w:tr w:rsidR="00560F88" w:rsidRPr="00A661A6" w:rsidTr="00AA2BFC">
        <w:trPr>
          <w:jc w:val="center"/>
        </w:trPr>
        <w:tc>
          <w:tcPr>
            <w:tcW w:w="5142" w:type="dxa"/>
            <w:tcBorders>
              <w:bottom w:val="single" w:sz="4" w:space="0" w:color="auto"/>
            </w:tcBorders>
            <w:shd w:val="clear" w:color="auto" w:fill="000000"/>
          </w:tcPr>
          <w:p w:rsidR="00560F88" w:rsidRPr="00A661A6" w:rsidRDefault="00560F8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0000"/>
          </w:tcPr>
          <w:p w:rsidR="00560F88" w:rsidRPr="00A661A6" w:rsidRDefault="00560F8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000000"/>
          </w:tcPr>
          <w:p w:rsidR="00560F88" w:rsidRPr="00A661A6" w:rsidRDefault="00560F8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000000"/>
          </w:tcPr>
          <w:p w:rsidR="00560F88" w:rsidRPr="00A661A6" w:rsidRDefault="00560F8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0000"/>
          </w:tcPr>
          <w:p w:rsidR="00560F88" w:rsidRPr="00A661A6" w:rsidRDefault="00560F8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00"/>
          </w:tcPr>
          <w:p w:rsidR="00560F88" w:rsidRPr="00A661A6" w:rsidRDefault="00560F8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0000"/>
          </w:tcPr>
          <w:p w:rsidR="00560F88" w:rsidRPr="00A661A6" w:rsidRDefault="00560F8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560F88" w:rsidRPr="00A661A6" w:rsidRDefault="00560F88">
            <w:pPr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661A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Total: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60F88" w:rsidRPr="00A661A6" w:rsidRDefault="00560F88" w:rsidP="00020C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560F88" w:rsidRPr="00A661A6" w:rsidRDefault="00AF097C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</w:t>
            </w:r>
            <w:r w:rsidR="00AA2BFC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</w:tr>
    </w:tbl>
    <w:p w:rsidR="00560F88" w:rsidRDefault="00560F88" w:rsidP="00571A64">
      <w:pPr>
        <w:ind w:left="450"/>
        <w:rPr>
          <w:rFonts w:ascii="Microsoft Sans Serif" w:hAnsi="Microsoft Sans Serif" w:cs="Microsoft Sans Serif"/>
          <w:sz w:val="16"/>
          <w:szCs w:val="18"/>
        </w:rPr>
      </w:pPr>
    </w:p>
    <w:p w:rsidR="001D60BE" w:rsidRPr="00571A64" w:rsidRDefault="001D60BE" w:rsidP="00571A64">
      <w:pPr>
        <w:ind w:left="450"/>
        <w:rPr>
          <w:rFonts w:ascii="Microsoft Sans Serif" w:hAnsi="Microsoft Sans Serif" w:cs="Microsoft Sans Serif"/>
          <w:sz w:val="16"/>
          <w:szCs w:val="18"/>
        </w:rPr>
      </w:pPr>
      <w:r w:rsidRPr="00571A64">
        <w:rPr>
          <w:rFonts w:ascii="Microsoft Sans Serif" w:hAnsi="Microsoft Sans Serif" w:cs="Microsoft Sans Serif"/>
          <w:sz w:val="16"/>
          <w:szCs w:val="18"/>
        </w:rPr>
        <w:t xml:space="preserve">Comments: </w:t>
      </w:r>
      <w:r w:rsidR="00B51780" w:rsidRPr="00571A64">
        <w:rPr>
          <w:rFonts w:ascii="Microsoft Sans Serif" w:hAnsi="Microsoft Sans Serif" w:cs="Microsoft Sans Serif"/>
          <w:sz w:val="16"/>
          <w:szCs w:val="18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6E3051" w:rsidRPr="00571A64">
        <w:rPr>
          <w:rFonts w:ascii="Microsoft Sans Serif" w:hAnsi="Microsoft Sans Serif" w:cs="Microsoft Sans Serif"/>
          <w:sz w:val="16"/>
          <w:szCs w:val="18"/>
        </w:rPr>
        <w:instrText xml:space="preserve"> FORMTEXT </w:instrText>
      </w:r>
      <w:r w:rsidR="00B51780" w:rsidRPr="00571A64">
        <w:rPr>
          <w:rFonts w:ascii="Microsoft Sans Serif" w:hAnsi="Microsoft Sans Serif" w:cs="Microsoft Sans Serif"/>
          <w:sz w:val="16"/>
          <w:szCs w:val="18"/>
        </w:rPr>
      </w:r>
      <w:r w:rsidR="00B51780" w:rsidRPr="00571A64">
        <w:rPr>
          <w:rFonts w:ascii="Microsoft Sans Serif" w:hAnsi="Microsoft Sans Serif" w:cs="Microsoft Sans Serif"/>
          <w:sz w:val="16"/>
          <w:szCs w:val="18"/>
        </w:rPr>
        <w:fldChar w:fldCharType="separate"/>
      </w:r>
      <w:r w:rsidR="006E3051" w:rsidRPr="00571A64">
        <w:rPr>
          <w:rFonts w:ascii="Tahoma" w:hAnsi="Tahoma" w:cs="Microsoft Sans Serif"/>
          <w:sz w:val="16"/>
          <w:szCs w:val="18"/>
        </w:rPr>
        <w:t> </w:t>
      </w:r>
      <w:r w:rsidR="006E3051" w:rsidRPr="00571A64">
        <w:rPr>
          <w:rFonts w:ascii="Tahoma" w:hAnsi="Tahoma" w:cs="Microsoft Sans Serif"/>
          <w:sz w:val="16"/>
          <w:szCs w:val="18"/>
        </w:rPr>
        <w:t> </w:t>
      </w:r>
      <w:r w:rsidR="006E3051" w:rsidRPr="00571A64">
        <w:rPr>
          <w:rFonts w:ascii="Tahoma" w:hAnsi="Tahoma" w:cs="Microsoft Sans Serif"/>
          <w:sz w:val="16"/>
          <w:szCs w:val="18"/>
        </w:rPr>
        <w:t> </w:t>
      </w:r>
      <w:r w:rsidR="006E3051" w:rsidRPr="00571A64">
        <w:rPr>
          <w:rFonts w:ascii="Tahoma" w:hAnsi="Tahoma" w:cs="Microsoft Sans Serif"/>
          <w:sz w:val="16"/>
          <w:szCs w:val="18"/>
        </w:rPr>
        <w:t> </w:t>
      </w:r>
      <w:r w:rsidR="006E3051" w:rsidRPr="00571A64">
        <w:rPr>
          <w:rFonts w:ascii="Tahoma" w:hAnsi="Tahoma" w:cs="Microsoft Sans Serif"/>
          <w:sz w:val="16"/>
          <w:szCs w:val="18"/>
        </w:rPr>
        <w:t> </w:t>
      </w:r>
      <w:r w:rsidR="00B51780" w:rsidRPr="00571A64">
        <w:rPr>
          <w:rFonts w:ascii="Microsoft Sans Serif" w:hAnsi="Microsoft Sans Serif" w:cs="Microsoft Sans Serif"/>
          <w:sz w:val="16"/>
          <w:szCs w:val="18"/>
        </w:rPr>
        <w:fldChar w:fldCharType="end"/>
      </w:r>
    </w:p>
    <w:sectPr w:rsidR="001D60BE" w:rsidRPr="00571A64" w:rsidSect="00844511">
      <w:type w:val="oddPage"/>
      <w:pgSz w:w="15840" w:h="12240" w:orient="landscape" w:code="1"/>
      <w:pgMar w:top="360" w:right="792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3D8" w:rsidRDefault="005503D8">
      <w:r>
        <w:separator/>
      </w:r>
    </w:p>
  </w:endnote>
  <w:endnote w:type="continuationSeparator" w:id="0">
    <w:p w:rsidR="005503D8" w:rsidRDefault="005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3D8" w:rsidRDefault="005503D8">
      <w:r>
        <w:separator/>
      </w:r>
    </w:p>
  </w:footnote>
  <w:footnote w:type="continuationSeparator" w:id="0">
    <w:p w:rsidR="005503D8" w:rsidRDefault="005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19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EA41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6638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F10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DA77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1B46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5612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EC4D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B16DF5"/>
    <w:multiLevelType w:val="hybridMultilevel"/>
    <w:tmpl w:val="B7C0D2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B56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F82D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0B0E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3A44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E65F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D1F3E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2675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9C21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0B017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1B70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EAD41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F04F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64F06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F749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617A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F733D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4225A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5821F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63613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FBF6E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DB87D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E2F42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BA28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F1545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06528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3140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4126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2520E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3C05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7542F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8F34B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96900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9EF14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AF21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BB5D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C015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8236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7"/>
  </w:num>
  <w:num w:numId="2">
    <w:abstractNumId w:val="14"/>
  </w:num>
  <w:num w:numId="3">
    <w:abstractNumId w:val="32"/>
  </w:num>
  <w:num w:numId="4">
    <w:abstractNumId w:val="29"/>
  </w:num>
  <w:num w:numId="5">
    <w:abstractNumId w:val="4"/>
  </w:num>
  <w:num w:numId="6">
    <w:abstractNumId w:val="45"/>
  </w:num>
  <w:num w:numId="7">
    <w:abstractNumId w:val="24"/>
  </w:num>
  <w:num w:numId="8">
    <w:abstractNumId w:val="9"/>
  </w:num>
  <w:num w:numId="9">
    <w:abstractNumId w:val="23"/>
  </w:num>
  <w:num w:numId="10">
    <w:abstractNumId w:val="28"/>
  </w:num>
  <w:num w:numId="11">
    <w:abstractNumId w:val="38"/>
  </w:num>
  <w:num w:numId="12">
    <w:abstractNumId w:val="35"/>
  </w:num>
  <w:num w:numId="13">
    <w:abstractNumId w:val="15"/>
  </w:num>
  <w:num w:numId="14">
    <w:abstractNumId w:val="41"/>
  </w:num>
  <w:num w:numId="15">
    <w:abstractNumId w:val="30"/>
  </w:num>
  <w:num w:numId="16">
    <w:abstractNumId w:val="16"/>
  </w:num>
  <w:num w:numId="17">
    <w:abstractNumId w:val="19"/>
  </w:num>
  <w:num w:numId="18">
    <w:abstractNumId w:val="27"/>
  </w:num>
  <w:num w:numId="19">
    <w:abstractNumId w:val="26"/>
  </w:num>
  <w:num w:numId="20">
    <w:abstractNumId w:val="7"/>
  </w:num>
  <w:num w:numId="21">
    <w:abstractNumId w:val="18"/>
  </w:num>
  <w:num w:numId="22">
    <w:abstractNumId w:val="10"/>
  </w:num>
  <w:num w:numId="23">
    <w:abstractNumId w:val="2"/>
  </w:num>
  <w:num w:numId="24">
    <w:abstractNumId w:val="0"/>
  </w:num>
  <w:num w:numId="25">
    <w:abstractNumId w:val="25"/>
  </w:num>
  <w:num w:numId="26">
    <w:abstractNumId w:val="20"/>
  </w:num>
  <w:num w:numId="27">
    <w:abstractNumId w:val="1"/>
  </w:num>
  <w:num w:numId="28">
    <w:abstractNumId w:val="43"/>
  </w:num>
  <w:num w:numId="29">
    <w:abstractNumId w:val="44"/>
  </w:num>
  <w:num w:numId="30">
    <w:abstractNumId w:val="31"/>
  </w:num>
  <w:num w:numId="31">
    <w:abstractNumId w:val="22"/>
  </w:num>
  <w:num w:numId="32">
    <w:abstractNumId w:val="3"/>
  </w:num>
  <w:num w:numId="33">
    <w:abstractNumId w:val="12"/>
  </w:num>
  <w:num w:numId="34">
    <w:abstractNumId w:val="40"/>
  </w:num>
  <w:num w:numId="35">
    <w:abstractNumId w:val="34"/>
  </w:num>
  <w:num w:numId="36">
    <w:abstractNumId w:val="36"/>
  </w:num>
  <w:num w:numId="37">
    <w:abstractNumId w:val="17"/>
  </w:num>
  <w:num w:numId="38">
    <w:abstractNumId w:val="5"/>
  </w:num>
  <w:num w:numId="39">
    <w:abstractNumId w:val="33"/>
  </w:num>
  <w:num w:numId="40">
    <w:abstractNumId w:val="6"/>
  </w:num>
  <w:num w:numId="41">
    <w:abstractNumId w:val="39"/>
  </w:num>
  <w:num w:numId="42">
    <w:abstractNumId w:val="21"/>
  </w:num>
  <w:num w:numId="43">
    <w:abstractNumId w:val="11"/>
  </w:num>
  <w:num w:numId="44">
    <w:abstractNumId w:val="42"/>
  </w:num>
  <w:num w:numId="45">
    <w:abstractNumId w:val="13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zNzUxMDE3MDY0sjBV0lEKTi0uzszPAykwqgUA8aIe2CwAAAA="/>
  </w:docVars>
  <w:rsids>
    <w:rsidRoot w:val="000936C3"/>
    <w:rsid w:val="00020C10"/>
    <w:rsid w:val="00025C78"/>
    <w:rsid w:val="00031072"/>
    <w:rsid w:val="00057BD9"/>
    <w:rsid w:val="00077C66"/>
    <w:rsid w:val="000936C3"/>
    <w:rsid w:val="000A57E6"/>
    <w:rsid w:val="000D5457"/>
    <w:rsid w:val="000E22F8"/>
    <w:rsid w:val="000E4CBC"/>
    <w:rsid w:val="0010204B"/>
    <w:rsid w:val="00134A04"/>
    <w:rsid w:val="00173CE8"/>
    <w:rsid w:val="001A6CBF"/>
    <w:rsid w:val="001B15C3"/>
    <w:rsid w:val="001D60BE"/>
    <w:rsid w:val="001E5EB7"/>
    <w:rsid w:val="002043D0"/>
    <w:rsid w:val="002623CA"/>
    <w:rsid w:val="002674BA"/>
    <w:rsid w:val="00291DC2"/>
    <w:rsid w:val="002E4C23"/>
    <w:rsid w:val="002E7696"/>
    <w:rsid w:val="002F17D0"/>
    <w:rsid w:val="003212E3"/>
    <w:rsid w:val="00334989"/>
    <w:rsid w:val="003602AF"/>
    <w:rsid w:val="003605FD"/>
    <w:rsid w:val="00362748"/>
    <w:rsid w:val="003A5CFA"/>
    <w:rsid w:val="003C39CB"/>
    <w:rsid w:val="003D7E23"/>
    <w:rsid w:val="003E5CA4"/>
    <w:rsid w:val="00404081"/>
    <w:rsid w:val="00406DC3"/>
    <w:rsid w:val="00423407"/>
    <w:rsid w:val="00446804"/>
    <w:rsid w:val="004A7416"/>
    <w:rsid w:val="004C44FF"/>
    <w:rsid w:val="00500623"/>
    <w:rsid w:val="00500E74"/>
    <w:rsid w:val="005034D4"/>
    <w:rsid w:val="005044F8"/>
    <w:rsid w:val="0051026C"/>
    <w:rsid w:val="005503D8"/>
    <w:rsid w:val="00560F88"/>
    <w:rsid w:val="00564969"/>
    <w:rsid w:val="00571A64"/>
    <w:rsid w:val="005779E7"/>
    <w:rsid w:val="0058150F"/>
    <w:rsid w:val="00582DCE"/>
    <w:rsid w:val="005C6C0E"/>
    <w:rsid w:val="005C77CB"/>
    <w:rsid w:val="005E7021"/>
    <w:rsid w:val="005F5851"/>
    <w:rsid w:val="006209C0"/>
    <w:rsid w:val="00642461"/>
    <w:rsid w:val="00676D41"/>
    <w:rsid w:val="00696FBA"/>
    <w:rsid w:val="006D2DAA"/>
    <w:rsid w:val="006D7A2D"/>
    <w:rsid w:val="006E275A"/>
    <w:rsid w:val="006E3051"/>
    <w:rsid w:val="007012E4"/>
    <w:rsid w:val="007D0501"/>
    <w:rsid w:val="007D6EA7"/>
    <w:rsid w:val="00802699"/>
    <w:rsid w:val="008205A3"/>
    <w:rsid w:val="00844511"/>
    <w:rsid w:val="00866599"/>
    <w:rsid w:val="008833F4"/>
    <w:rsid w:val="00883C8C"/>
    <w:rsid w:val="008A351F"/>
    <w:rsid w:val="008B73C4"/>
    <w:rsid w:val="00937986"/>
    <w:rsid w:val="009636B6"/>
    <w:rsid w:val="0097070C"/>
    <w:rsid w:val="00970AB6"/>
    <w:rsid w:val="009C41E0"/>
    <w:rsid w:val="009D22A0"/>
    <w:rsid w:val="009F53F9"/>
    <w:rsid w:val="00A25630"/>
    <w:rsid w:val="00A26D15"/>
    <w:rsid w:val="00A2781B"/>
    <w:rsid w:val="00A43C69"/>
    <w:rsid w:val="00A53996"/>
    <w:rsid w:val="00A60848"/>
    <w:rsid w:val="00A661A6"/>
    <w:rsid w:val="00A67AEE"/>
    <w:rsid w:val="00A71923"/>
    <w:rsid w:val="00A87997"/>
    <w:rsid w:val="00AA2BFC"/>
    <w:rsid w:val="00AD05F2"/>
    <w:rsid w:val="00AF097C"/>
    <w:rsid w:val="00B013BF"/>
    <w:rsid w:val="00B03505"/>
    <w:rsid w:val="00B126C7"/>
    <w:rsid w:val="00B175CE"/>
    <w:rsid w:val="00B316C5"/>
    <w:rsid w:val="00B336E4"/>
    <w:rsid w:val="00B51780"/>
    <w:rsid w:val="00B721FE"/>
    <w:rsid w:val="00B80DFF"/>
    <w:rsid w:val="00B84BD7"/>
    <w:rsid w:val="00BC1D59"/>
    <w:rsid w:val="00C015E7"/>
    <w:rsid w:val="00C22771"/>
    <w:rsid w:val="00C36F88"/>
    <w:rsid w:val="00C465C7"/>
    <w:rsid w:val="00C60322"/>
    <w:rsid w:val="00C7088D"/>
    <w:rsid w:val="00C715D6"/>
    <w:rsid w:val="00C7259D"/>
    <w:rsid w:val="00CC7DC1"/>
    <w:rsid w:val="00CD4E50"/>
    <w:rsid w:val="00CD6267"/>
    <w:rsid w:val="00D22FB4"/>
    <w:rsid w:val="00D35834"/>
    <w:rsid w:val="00D8328A"/>
    <w:rsid w:val="00DC171A"/>
    <w:rsid w:val="00DC78AA"/>
    <w:rsid w:val="00E05E44"/>
    <w:rsid w:val="00E26942"/>
    <w:rsid w:val="00E27060"/>
    <w:rsid w:val="00E40873"/>
    <w:rsid w:val="00E55351"/>
    <w:rsid w:val="00E57AF8"/>
    <w:rsid w:val="00EB6D37"/>
    <w:rsid w:val="00F11EE0"/>
    <w:rsid w:val="00F73BAC"/>
    <w:rsid w:val="00F85E2D"/>
    <w:rsid w:val="00F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474F7C-FA11-4717-9489-D0A25820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48"/>
    <w:rPr>
      <w:sz w:val="24"/>
      <w:szCs w:val="24"/>
    </w:rPr>
  </w:style>
  <w:style w:type="paragraph" w:styleId="Heading1">
    <w:name w:val="heading 1"/>
    <w:basedOn w:val="Normal"/>
    <w:next w:val="Normal"/>
    <w:qFormat/>
    <w:rsid w:val="00362748"/>
    <w:pPr>
      <w:keepNext/>
      <w:widowControl w:val="0"/>
      <w:spacing w:after="28" w:line="228" w:lineRule="auto"/>
      <w:outlineLvl w:val="0"/>
    </w:pPr>
    <w:rPr>
      <w:i/>
      <w:snapToGrid w:val="0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53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362748"/>
    <w:rPr>
      <w:sz w:val="16"/>
    </w:rPr>
  </w:style>
  <w:style w:type="paragraph" w:styleId="Footer">
    <w:name w:val="footer"/>
    <w:basedOn w:val="Normal"/>
    <w:rsid w:val="0036274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362748"/>
    <w:pPr>
      <w:widowControl w:val="0"/>
    </w:pPr>
    <w:rPr>
      <w:snapToGrid w:val="0"/>
      <w:sz w:val="20"/>
      <w:szCs w:val="20"/>
    </w:rPr>
  </w:style>
  <w:style w:type="paragraph" w:styleId="BalloonText">
    <w:name w:val="Balloon Text"/>
    <w:basedOn w:val="Normal"/>
    <w:semiHidden/>
    <w:rsid w:val="005006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17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C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A539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rsid w:val="00A6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5C3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33efe1c-5bbe-4968-87dc-d400e65c879f">DESE-231-40868</_dlc_DocId>
    <_dlc_DocIdUrl xmlns="733efe1c-5bbe-4968-87dc-d400e65c879f">
      <Url>https://sharepoint.doemass.org/ese/webteam/cps/_layouts/DocIdRedir.aspx?ID=DESE-231-40868</Url>
      <Description>DESE-231-40868</Description>
    </_dlc_DocIdUrl>
    <_vti_RoutingExistingProperties xmlns="0a4e05da-b9bc-4326-ad73-01ef31b95567" xsi:nil="true"/>
    <_dlc_DocIdPersistId xmlns="733efe1c-5bbe-4968-87dc-d400e65c879f">true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D0DC1-7F85-4E13-97C5-EC75EDB36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55AF1-DE84-44D9-9A32-DBC847D467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6FA752-C3B4-46DE-90A6-DE37B0631678}">
  <ds:schemaRefs>
    <ds:schemaRef ds:uri="http://schemas.microsoft.com/office/2006/metadata/properties"/>
    <ds:schemaRef ds:uri="733efe1c-5bbe-4968-87dc-d400e65c879f"/>
    <ds:schemaRef ds:uri="0a4e05da-b9bc-4326-ad73-01ef31b95567"/>
  </ds:schemaRefs>
</ds:datastoreItem>
</file>

<file path=customXml/itemProps4.xml><?xml version="1.0" encoding="utf-8"?>
<ds:datastoreItem xmlns:ds="http://schemas.openxmlformats.org/officeDocument/2006/customXml" ds:itemID="{8BA19121-A0C0-4780-B6D6-7937DDD951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DAA1EE-B2D3-4589-BE17-54085DA8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4190</Characters>
  <Application>Microsoft Office Word</Application>
  <DocSecurity>0</DocSecurity>
  <Lines>209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FC376 Gateway City Education- English Language Learners Enrichment Academies Grant Program Scorecard</vt:lpstr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FC376 Gateway City Education- English Language Learners Enrichment Academies Grant Program Scorecard</dc:title>
  <dc:creator>DESE</dc:creator>
  <cp:lastModifiedBy>Zou, Dong</cp:lastModifiedBy>
  <cp:revision>3</cp:revision>
  <cp:lastPrinted>2013-04-05T16:38:00Z</cp:lastPrinted>
  <dcterms:created xsi:type="dcterms:W3CDTF">2018-03-22T20:50:00Z</dcterms:created>
  <dcterms:modified xsi:type="dcterms:W3CDTF">2018-03-22T20:52:00Z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22 2018</vt:lpwstr>
  </property>
</Properties>
</file>