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4AC5" w14:textId="77777777" w:rsidR="00D658B2" w:rsidRPr="00A06029" w:rsidRDefault="00D658B2">
      <w:pPr>
        <w:spacing w:before="40" w:after="40"/>
        <w:jc w:val="center"/>
        <w:rPr>
          <w:b/>
          <w:sz w:val="22"/>
          <w:szCs w:val="22"/>
        </w:rPr>
      </w:pPr>
    </w:p>
    <w:p w14:paraId="753F3DA8" w14:textId="2F4764F1" w:rsidR="009A040A" w:rsidRPr="00A06029" w:rsidRDefault="00C1542B" w:rsidP="003B7418">
      <w:pPr>
        <w:spacing w:before="40" w:after="40"/>
        <w:rPr>
          <w:b/>
          <w:sz w:val="22"/>
          <w:szCs w:val="22"/>
          <w:u w:val="single"/>
        </w:rPr>
      </w:pPr>
      <w:r w:rsidRPr="00A06029">
        <w:rPr>
          <w:b/>
          <w:noProof/>
          <w:sz w:val="22"/>
          <w:szCs w:val="22"/>
          <w:u w:val="single"/>
          <w:lang w:eastAsia="zh-CN"/>
        </w:rPr>
        <mc:AlternateContent>
          <mc:Choice Requires="wps">
            <w:drawing>
              <wp:anchor distT="0" distB="0" distL="114300" distR="114300" simplePos="0" relativeHeight="251657728" behindDoc="0" locked="0" layoutInCell="1" allowOverlap="1" wp14:anchorId="414BCEC5" wp14:editId="6BA836B3">
                <wp:simplePos x="0" y="0"/>
                <wp:positionH relativeFrom="margin">
                  <wp:posOffset>-291465</wp:posOffset>
                </wp:positionH>
                <wp:positionV relativeFrom="paragraph">
                  <wp:posOffset>178435</wp:posOffset>
                </wp:positionV>
                <wp:extent cx="6400800" cy="4884420"/>
                <wp:effectExtent l="381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8442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E6A37" w14:textId="77777777" w:rsidR="00EC5175" w:rsidRPr="00A06029" w:rsidRDefault="00EC5175" w:rsidP="00E51FE5">
                            <w:pPr>
                              <w:spacing w:before="120" w:after="240"/>
                              <w:jc w:val="center"/>
                              <w:outlineLvl w:val="0"/>
                              <w:rPr>
                                <w:rFonts w:asciiTheme="minorHAnsi" w:hAnsiTheme="minorHAnsi" w:cstheme="minorHAnsi"/>
                                <w:b/>
                                <w:sz w:val="22"/>
                                <w:szCs w:val="22"/>
                              </w:rPr>
                            </w:pPr>
                            <w:r w:rsidRPr="00A06029">
                              <w:rPr>
                                <w:rFonts w:asciiTheme="minorHAnsi" w:hAnsiTheme="minorHAnsi" w:cstheme="minorHAnsi"/>
                                <w:b/>
                                <w:sz w:val="22"/>
                                <w:szCs w:val="22"/>
                                <w:u w:val="single"/>
                              </w:rPr>
                              <w:t>Content of FY20 Renewal Application Directions</w:t>
                            </w:r>
                          </w:p>
                          <w:p w14:paraId="4ADD8357"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Submission Requirements and Important Dates</w:t>
                            </w:r>
                          </w:p>
                          <w:p w14:paraId="2F0485C3"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Overview</w:t>
                            </w:r>
                          </w:p>
                          <w:p w14:paraId="5B8C458E" w14:textId="77777777" w:rsidR="00EC5175" w:rsidRPr="00A06029" w:rsidRDefault="00EC5175" w:rsidP="00E221DE">
                            <w:pPr>
                              <w:numPr>
                                <w:ilvl w:val="0"/>
                                <w:numId w:val="8"/>
                              </w:numPr>
                              <w:spacing w:before="80" w:after="120"/>
                              <w:rPr>
                                <w:rFonts w:asciiTheme="minorHAnsi" w:hAnsiTheme="minorHAnsi" w:cstheme="minorHAnsi"/>
                                <w:b/>
                                <w:sz w:val="22"/>
                                <w:szCs w:val="22"/>
                              </w:rPr>
                            </w:pPr>
                            <w:r w:rsidRPr="00A06029">
                              <w:rPr>
                                <w:rFonts w:asciiTheme="minorHAnsi" w:hAnsiTheme="minorHAnsi" w:cstheme="minorHAnsi"/>
                                <w:b/>
                                <w:sz w:val="22"/>
                                <w:szCs w:val="22"/>
                              </w:rPr>
                              <w:t>Guidance</w:t>
                            </w:r>
                          </w:p>
                          <w:p w14:paraId="2F554FE0"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purpose for districts/schools and DESE</w:t>
                            </w:r>
                          </w:p>
                          <w:p w14:paraId="76E5FE71"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application guidance by section</w:t>
                            </w:r>
                          </w:p>
                          <w:p w14:paraId="705F2C7C"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Information used to make funding decisions</w:t>
                            </w:r>
                          </w:p>
                          <w:p w14:paraId="0E3A7F92" w14:textId="77777777" w:rsidR="00EC5175" w:rsidRPr="00A06029" w:rsidRDefault="00EC5175" w:rsidP="00E221DE">
                            <w:pPr>
                              <w:numPr>
                                <w:ilvl w:val="0"/>
                                <w:numId w:val="8"/>
                              </w:numPr>
                              <w:spacing w:after="120"/>
                              <w:rPr>
                                <w:rFonts w:asciiTheme="minorHAnsi" w:hAnsiTheme="minorHAnsi" w:cstheme="minorHAnsi"/>
                                <w:b/>
                                <w:bCs/>
                                <w:sz w:val="22"/>
                                <w:szCs w:val="22"/>
                              </w:rPr>
                            </w:pPr>
                            <w:r w:rsidRPr="00A06029">
                              <w:rPr>
                                <w:rFonts w:asciiTheme="minorHAnsi" w:hAnsiTheme="minorHAnsi" w:cstheme="minorHAnsi"/>
                                <w:b/>
                                <w:bCs/>
                                <w:sz w:val="22"/>
                                <w:szCs w:val="22"/>
                              </w:rPr>
                              <w:t>Resources</w:t>
                            </w:r>
                          </w:p>
                          <w:p w14:paraId="753CB484" w14:textId="1993FBAF" w:rsidR="00EC5175" w:rsidRPr="00A06029" w:rsidRDefault="00EC5175" w:rsidP="00FD2125">
                            <w:pPr>
                              <w:numPr>
                                <w:ilvl w:val="0"/>
                                <w:numId w:val="8"/>
                              </w:numPr>
                              <w:spacing w:before="80" w:after="120"/>
                              <w:rPr>
                                <w:rFonts w:asciiTheme="minorHAnsi" w:hAnsiTheme="minorHAnsi" w:cstheme="minorHAnsi"/>
                                <w:b/>
                                <w:bCs/>
                                <w:sz w:val="22"/>
                                <w:szCs w:val="22"/>
                              </w:rPr>
                            </w:pPr>
                            <w:r w:rsidRPr="00A06029">
                              <w:rPr>
                                <w:rFonts w:asciiTheme="minorHAnsi" w:hAnsiTheme="minorHAnsi" w:cstheme="minorHAnsi"/>
                                <w:b/>
                                <w:bCs/>
                                <w:sz w:val="22"/>
                                <w:szCs w:val="22"/>
                              </w:rPr>
                              <w:t>Appendix</w:t>
                            </w:r>
                            <w:r w:rsidRPr="00A06029">
                              <w:rPr>
                                <w:rFonts w:asciiTheme="minorHAnsi" w:hAnsiTheme="minorHAnsi" w:cstheme="minorHAnsi"/>
                                <w:sz w:val="22"/>
                                <w:szCs w:val="22"/>
                              </w:rPr>
                              <w:t xml:space="preserve"> </w:t>
                            </w:r>
                            <w:r w:rsidRPr="00A06029">
                              <w:rPr>
                                <w:rFonts w:asciiTheme="minorHAnsi" w:hAnsiTheme="minorHAnsi" w:cstheme="minorHAnsi"/>
                                <w:b/>
                                <w:sz w:val="22"/>
                                <w:szCs w:val="22"/>
                              </w:rPr>
                              <w:t>A</w:t>
                            </w:r>
                            <w:r w:rsidRPr="00A06029">
                              <w:rPr>
                                <w:rFonts w:asciiTheme="minorHAnsi" w:hAnsiTheme="minorHAnsi" w:cstheme="minorHAnsi"/>
                                <w:sz w:val="22"/>
                                <w:szCs w:val="22"/>
                              </w:rPr>
                              <w:t>: Renewal Application Scoring Rubric</w:t>
                            </w:r>
                          </w:p>
                          <w:p w14:paraId="34E619CD" w14:textId="5AB4A6D3" w:rsidR="00EC5175" w:rsidRPr="00A06029" w:rsidRDefault="00EC5175" w:rsidP="00182FAC">
                            <w:pPr>
                              <w:spacing w:after="120"/>
                              <w:rPr>
                                <w:rFonts w:asciiTheme="minorHAnsi" w:hAnsiTheme="minorHAnsi" w:cstheme="minorHAnsi"/>
                                <w:sz w:val="22"/>
                                <w:szCs w:val="22"/>
                                <w:highlight w:val="yellow"/>
                              </w:rPr>
                            </w:pPr>
                          </w:p>
                          <w:p w14:paraId="2AA76AA3" w14:textId="77777777" w:rsidR="00EC5175" w:rsidRPr="00A06029" w:rsidRDefault="00EC5175" w:rsidP="007F0BBB">
                            <w:pPr>
                              <w:rPr>
                                <w:rFonts w:ascii="Palatino Linotype" w:hAnsi="Palatino Linotype"/>
                                <w:b/>
                                <w:bCs/>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4BCEC5" id="_x0000_t202" coordsize="21600,21600" o:spt="202" path="m,l,21600r21600,l21600,xe">
                <v:stroke joinstyle="miter"/>
                <v:path gradientshapeok="t" o:connecttype="rect"/>
              </v:shapetype>
              <v:shape id="Text Box 3" o:spid="_x0000_s1026" type="#_x0000_t202" style="position:absolute;margin-left:-22.95pt;margin-top:14.05pt;width:7in;height:38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" fillcolor="#dbe5f1" stroked="f">
                <v:textbox inset=",7.2pt,,7.2pt">
                  <w:txbxContent>
                    <w:p w14:paraId="151E6A37" w14:textId="77777777" w:rsidR="00EC5175" w:rsidRPr="00A06029" w:rsidRDefault="00EC5175" w:rsidP="00E51FE5">
                      <w:pPr>
                        <w:spacing w:before="120" w:after="240"/>
                        <w:jc w:val="center"/>
                        <w:outlineLvl w:val="0"/>
                        <w:rPr>
                          <w:rFonts w:asciiTheme="minorHAnsi" w:hAnsiTheme="minorHAnsi" w:cstheme="minorHAnsi"/>
                          <w:b/>
                          <w:sz w:val="22"/>
                          <w:szCs w:val="22"/>
                        </w:rPr>
                      </w:pPr>
                      <w:r w:rsidRPr="00A06029">
                        <w:rPr>
                          <w:rFonts w:asciiTheme="minorHAnsi" w:hAnsiTheme="minorHAnsi" w:cstheme="minorHAnsi"/>
                          <w:b/>
                          <w:sz w:val="22"/>
                          <w:szCs w:val="22"/>
                          <w:u w:val="single"/>
                        </w:rPr>
                        <w:t>Content of FY20 Renewal Application Directions</w:t>
                      </w:r>
                    </w:p>
                    <w:p w14:paraId="4ADD8357"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Submission Requirements and Important Dates</w:t>
                      </w:r>
                    </w:p>
                    <w:p w14:paraId="2F0485C3" w14:textId="77777777" w:rsidR="00EC5175" w:rsidRPr="00A06029" w:rsidRDefault="00EC5175" w:rsidP="00E221DE">
                      <w:pPr>
                        <w:numPr>
                          <w:ilvl w:val="0"/>
                          <w:numId w:val="8"/>
                        </w:numPr>
                        <w:spacing w:before="80" w:after="120"/>
                        <w:outlineLvl w:val="0"/>
                        <w:rPr>
                          <w:rFonts w:asciiTheme="minorHAnsi" w:hAnsiTheme="minorHAnsi" w:cstheme="minorHAnsi"/>
                          <w:b/>
                          <w:sz w:val="22"/>
                          <w:szCs w:val="22"/>
                        </w:rPr>
                      </w:pPr>
                      <w:r w:rsidRPr="00A06029">
                        <w:rPr>
                          <w:rFonts w:asciiTheme="minorHAnsi" w:hAnsiTheme="minorHAnsi" w:cstheme="minorHAnsi"/>
                          <w:b/>
                          <w:sz w:val="22"/>
                          <w:szCs w:val="22"/>
                        </w:rPr>
                        <w:t>Overview</w:t>
                      </w:r>
                    </w:p>
                    <w:p w14:paraId="5B8C458E" w14:textId="77777777" w:rsidR="00EC5175" w:rsidRPr="00A06029" w:rsidRDefault="00EC5175" w:rsidP="00E221DE">
                      <w:pPr>
                        <w:numPr>
                          <w:ilvl w:val="0"/>
                          <w:numId w:val="8"/>
                        </w:numPr>
                        <w:spacing w:before="80" w:after="120"/>
                        <w:rPr>
                          <w:rFonts w:asciiTheme="minorHAnsi" w:hAnsiTheme="minorHAnsi" w:cstheme="minorHAnsi"/>
                          <w:b/>
                          <w:sz w:val="22"/>
                          <w:szCs w:val="22"/>
                        </w:rPr>
                      </w:pPr>
                      <w:r w:rsidRPr="00A06029">
                        <w:rPr>
                          <w:rFonts w:asciiTheme="minorHAnsi" w:hAnsiTheme="minorHAnsi" w:cstheme="minorHAnsi"/>
                          <w:b/>
                          <w:sz w:val="22"/>
                          <w:szCs w:val="22"/>
                        </w:rPr>
                        <w:t>Guidance</w:t>
                      </w:r>
                    </w:p>
                    <w:p w14:paraId="2F554FE0"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purpose for districts/schools and DESE</w:t>
                      </w:r>
                    </w:p>
                    <w:p w14:paraId="76E5FE71"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Renewal application guidance by section</w:t>
                      </w:r>
                    </w:p>
                    <w:p w14:paraId="705F2C7C" w14:textId="77777777" w:rsidR="00EC5175" w:rsidRPr="00A06029" w:rsidRDefault="00EC5175" w:rsidP="003439FF">
                      <w:pPr>
                        <w:numPr>
                          <w:ilvl w:val="1"/>
                          <w:numId w:val="8"/>
                        </w:numPr>
                        <w:spacing w:before="80" w:after="120"/>
                        <w:rPr>
                          <w:rFonts w:asciiTheme="minorHAnsi" w:hAnsiTheme="minorHAnsi" w:cstheme="minorHAnsi"/>
                          <w:sz w:val="22"/>
                          <w:szCs w:val="22"/>
                        </w:rPr>
                      </w:pPr>
                      <w:r w:rsidRPr="00A06029">
                        <w:rPr>
                          <w:rFonts w:asciiTheme="minorHAnsi" w:hAnsiTheme="minorHAnsi" w:cstheme="minorHAnsi"/>
                          <w:sz w:val="22"/>
                          <w:szCs w:val="22"/>
                        </w:rPr>
                        <w:t>Information used to make funding decisions</w:t>
                      </w:r>
                    </w:p>
                    <w:p w14:paraId="0E3A7F92" w14:textId="77777777" w:rsidR="00EC5175" w:rsidRPr="00A06029" w:rsidRDefault="00EC5175" w:rsidP="00E221DE">
                      <w:pPr>
                        <w:numPr>
                          <w:ilvl w:val="0"/>
                          <w:numId w:val="8"/>
                        </w:numPr>
                        <w:spacing w:after="120"/>
                        <w:rPr>
                          <w:rFonts w:asciiTheme="minorHAnsi" w:hAnsiTheme="minorHAnsi" w:cstheme="minorHAnsi"/>
                          <w:b/>
                          <w:bCs/>
                          <w:sz w:val="22"/>
                          <w:szCs w:val="22"/>
                        </w:rPr>
                      </w:pPr>
                      <w:r w:rsidRPr="00A06029">
                        <w:rPr>
                          <w:rFonts w:asciiTheme="minorHAnsi" w:hAnsiTheme="minorHAnsi" w:cstheme="minorHAnsi"/>
                          <w:b/>
                          <w:bCs/>
                          <w:sz w:val="22"/>
                          <w:szCs w:val="22"/>
                        </w:rPr>
                        <w:t>Resources</w:t>
                      </w:r>
                    </w:p>
                    <w:p w14:paraId="753CB484" w14:textId="1993FBAF" w:rsidR="00EC5175" w:rsidRPr="00A06029" w:rsidRDefault="00EC5175" w:rsidP="00FD2125">
                      <w:pPr>
                        <w:numPr>
                          <w:ilvl w:val="0"/>
                          <w:numId w:val="8"/>
                        </w:numPr>
                        <w:spacing w:before="80" w:after="120"/>
                        <w:rPr>
                          <w:rFonts w:asciiTheme="minorHAnsi" w:hAnsiTheme="minorHAnsi" w:cstheme="minorHAnsi"/>
                          <w:b/>
                          <w:bCs/>
                          <w:sz w:val="22"/>
                          <w:szCs w:val="22"/>
                        </w:rPr>
                      </w:pPr>
                      <w:r w:rsidRPr="00A06029">
                        <w:rPr>
                          <w:rFonts w:asciiTheme="minorHAnsi" w:hAnsiTheme="minorHAnsi" w:cstheme="minorHAnsi"/>
                          <w:b/>
                          <w:bCs/>
                          <w:sz w:val="22"/>
                          <w:szCs w:val="22"/>
                        </w:rPr>
                        <w:t>Appendix</w:t>
                      </w:r>
                      <w:r w:rsidRPr="00A06029">
                        <w:rPr>
                          <w:rFonts w:asciiTheme="minorHAnsi" w:hAnsiTheme="minorHAnsi" w:cstheme="minorHAnsi"/>
                          <w:sz w:val="22"/>
                          <w:szCs w:val="22"/>
                        </w:rPr>
                        <w:t xml:space="preserve"> </w:t>
                      </w:r>
                      <w:r w:rsidRPr="00A06029">
                        <w:rPr>
                          <w:rFonts w:asciiTheme="minorHAnsi" w:hAnsiTheme="minorHAnsi" w:cstheme="minorHAnsi"/>
                          <w:b/>
                          <w:sz w:val="22"/>
                          <w:szCs w:val="22"/>
                        </w:rPr>
                        <w:t>A</w:t>
                      </w:r>
                      <w:r w:rsidRPr="00A06029">
                        <w:rPr>
                          <w:rFonts w:asciiTheme="minorHAnsi" w:hAnsiTheme="minorHAnsi" w:cstheme="minorHAnsi"/>
                          <w:sz w:val="22"/>
                          <w:szCs w:val="22"/>
                        </w:rPr>
                        <w:t>: Renewal Application Scoring Rubric</w:t>
                      </w:r>
                    </w:p>
                    <w:p w14:paraId="34E619CD" w14:textId="5AB4A6D3" w:rsidR="00EC5175" w:rsidRPr="00A06029" w:rsidRDefault="00EC5175" w:rsidP="00182FAC">
                      <w:pPr>
                        <w:spacing w:after="120"/>
                        <w:rPr>
                          <w:rFonts w:asciiTheme="minorHAnsi" w:hAnsiTheme="minorHAnsi" w:cstheme="minorHAnsi"/>
                          <w:sz w:val="22"/>
                          <w:szCs w:val="22"/>
                          <w:highlight w:val="yellow"/>
                        </w:rPr>
                      </w:pPr>
                    </w:p>
                    <w:p w14:paraId="2AA76AA3" w14:textId="77777777" w:rsidR="00EC5175" w:rsidRPr="00A06029" w:rsidRDefault="00EC5175" w:rsidP="007F0BBB">
                      <w:pPr>
                        <w:rPr>
                          <w:rFonts w:ascii="Palatino Linotype" w:hAnsi="Palatino Linotype"/>
                          <w:b/>
                          <w:bCs/>
                          <w:sz w:val="22"/>
                          <w:szCs w:val="22"/>
                        </w:rPr>
                      </w:pPr>
                    </w:p>
                  </w:txbxContent>
                </v:textbox>
                <w10:wrap type="tight" anchorx="margin"/>
              </v:shape>
            </w:pict>
          </mc:Fallback>
        </mc:AlternateContent>
      </w:r>
    </w:p>
    <w:p w14:paraId="162D4AEC" w14:textId="77777777" w:rsidR="00185DF6" w:rsidRPr="00A06029" w:rsidRDefault="00185DF6" w:rsidP="004069E0">
      <w:pPr>
        <w:spacing w:before="40" w:after="40"/>
        <w:rPr>
          <w:b/>
          <w:sz w:val="22"/>
          <w:szCs w:val="22"/>
          <w:u w:val="single"/>
        </w:rPr>
      </w:pPr>
    </w:p>
    <w:p w14:paraId="62A000FF" w14:textId="77777777" w:rsidR="007106FD" w:rsidRPr="00A06029" w:rsidRDefault="007106FD" w:rsidP="004069E0">
      <w:pPr>
        <w:spacing w:before="40" w:after="40"/>
        <w:rPr>
          <w:b/>
          <w:sz w:val="22"/>
          <w:szCs w:val="22"/>
          <w:u w:val="single"/>
        </w:rPr>
        <w:sectPr w:rsidR="007106FD" w:rsidRPr="00A06029" w:rsidSect="00F24B31">
          <w:headerReference w:type="even" r:id="rId13"/>
          <w:headerReference w:type="default" r:id="rId14"/>
          <w:footerReference w:type="even" r:id="rId15"/>
          <w:footerReference w:type="default" r:id="rId16"/>
          <w:pgSz w:w="12240" w:h="15840"/>
          <w:pgMar w:top="1728" w:right="1440" w:bottom="1296" w:left="1440" w:header="720" w:footer="720" w:gutter="0"/>
          <w:cols w:space="720"/>
        </w:sectPr>
      </w:pPr>
    </w:p>
    <w:p w14:paraId="5A4A8F09" w14:textId="77777777" w:rsidR="008C028A" w:rsidRPr="00A06029" w:rsidRDefault="008C028A" w:rsidP="008C028A">
      <w:pPr>
        <w:spacing w:before="80" w:after="120"/>
        <w:outlineLvl w:val="0"/>
        <w:rPr>
          <w:b/>
          <w:sz w:val="22"/>
          <w:szCs w:val="22"/>
          <w:u w:val="single"/>
        </w:rPr>
      </w:pPr>
    </w:p>
    <w:p w14:paraId="21DF7C28" w14:textId="6BC1A829" w:rsidR="00C4344F" w:rsidRPr="00A06029" w:rsidRDefault="00C4344F" w:rsidP="008C028A">
      <w:pPr>
        <w:pStyle w:val="ListParagraph"/>
        <w:numPr>
          <w:ilvl w:val="0"/>
          <w:numId w:val="56"/>
        </w:numPr>
        <w:spacing w:before="80" w:after="120"/>
        <w:outlineLvl w:val="0"/>
        <w:rPr>
          <w:rFonts w:asciiTheme="minorHAnsi" w:hAnsiTheme="minorHAnsi" w:cstheme="minorHAnsi"/>
          <w:b/>
          <w:sz w:val="26"/>
          <w:szCs w:val="26"/>
        </w:rPr>
      </w:pPr>
      <w:r w:rsidRPr="00A06029">
        <w:rPr>
          <w:rFonts w:asciiTheme="minorHAnsi" w:hAnsiTheme="minorHAnsi" w:cstheme="minorHAnsi"/>
          <w:b/>
          <w:sz w:val="26"/>
          <w:szCs w:val="26"/>
        </w:rPr>
        <w:t>Submission Requirements and Important Dates</w:t>
      </w:r>
    </w:p>
    <w:p w14:paraId="15AAD0F7" w14:textId="77777777" w:rsidR="00C4344F" w:rsidRPr="00A06029" w:rsidRDefault="00C4344F" w:rsidP="00FE5F30">
      <w:pPr>
        <w:spacing w:before="40" w:after="40"/>
        <w:rPr>
          <w:rFonts w:asciiTheme="minorHAnsi" w:hAnsiTheme="minorHAnsi" w:cstheme="minorHAnsi"/>
          <w:bCs/>
          <w:sz w:val="22"/>
          <w:szCs w:val="22"/>
        </w:rPr>
      </w:pPr>
    </w:p>
    <w:p w14:paraId="551F63AE" w14:textId="6C160675" w:rsidR="00C4344F" w:rsidRPr="00A06029" w:rsidRDefault="002F72EB" w:rsidP="00FE5F30">
      <w:pPr>
        <w:spacing w:before="40" w:after="40"/>
        <w:rPr>
          <w:rFonts w:asciiTheme="minorHAnsi" w:hAnsiTheme="minorHAnsi" w:cstheme="minorHAnsi"/>
          <w:bCs/>
          <w:sz w:val="22"/>
          <w:szCs w:val="22"/>
        </w:rPr>
      </w:pPr>
      <w:r w:rsidRPr="00A06029">
        <w:rPr>
          <w:rFonts w:asciiTheme="minorHAnsi" w:hAnsiTheme="minorHAnsi" w:cstheme="minorHAnsi"/>
          <w:bCs/>
          <w:sz w:val="22"/>
          <w:szCs w:val="22"/>
        </w:rPr>
        <w:t>FY20</w:t>
      </w:r>
      <w:r w:rsidR="00777063" w:rsidRPr="00A06029">
        <w:rPr>
          <w:rFonts w:asciiTheme="minorHAnsi" w:hAnsiTheme="minorHAnsi" w:cstheme="minorHAnsi"/>
          <w:bCs/>
          <w:sz w:val="22"/>
          <w:szCs w:val="22"/>
        </w:rPr>
        <w:t xml:space="preserve"> SRG Renewal Application Packet includes</w:t>
      </w:r>
      <w:r w:rsidR="00FF5EE8" w:rsidRPr="00A06029">
        <w:rPr>
          <w:rFonts w:asciiTheme="minorHAnsi" w:hAnsiTheme="minorHAnsi" w:cstheme="minorHAnsi"/>
          <w:bCs/>
          <w:sz w:val="22"/>
          <w:szCs w:val="22"/>
        </w:rPr>
        <w:t xml:space="preserve"> the following two parts</w:t>
      </w:r>
      <w:r w:rsidR="00777063" w:rsidRPr="00A06029">
        <w:rPr>
          <w:rFonts w:asciiTheme="minorHAnsi" w:hAnsiTheme="minorHAnsi" w:cstheme="minorHAnsi"/>
          <w:bCs/>
          <w:sz w:val="22"/>
          <w:szCs w:val="22"/>
        </w:rPr>
        <w:t>:</w:t>
      </w:r>
    </w:p>
    <w:p w14:paraId="303FDCC9" w14:textId="3FFD924C" w:rsidR="00C4344F" w:rsidRPr="00A06029" w:rsidRDefault="00EB2F11" w:rsidP="00E221DE">
      <w:pPr>
        <w:numPr>
          <w:ilvl w:val="0"/>
          <w:numId w:val="14"/>
        </w:numPr>
        <w:spacing w:before="40" w:after="40"/>
        <w:rPr>
          <w:rFonts w:asciiTheme="minorHAnsi" w:hAnsiTheme="minorHAnsi" w:cstheme="minorHAnsi"/>
          <w:bCs/>
          <w:sz w:val="22"/>
          <w:szCs w:val="22"/>
        </w:rPr>
      </w:pPr>
      <w:r w:rsidRPr="00A06029">
        <w:rPr>
          <w:rFonts w:asciiTheme="minorHAnsi" w:hAnsiTheme="minorHAnsi" w:cstheme="minorHAnsi"/>
          <w:bCs/>
          <w:sz w:val="22"/>
          <w:szCs w:val="22"/>
        </w:rPr>
        <w:t>FY</w:t>
      </w:r>
      <w:r w:rsidR="002F72EB" w:rsidRPr="00A06029">
        <w:rPr>
          <w:rFonts w:asciiTheme="minorHAnsi" w:hAnsiTheme="minorHAnsi" w:cstheme="minorHAnsi"/>
          <w:bCs/>
          <w:sz w:val="22"/>
          <w:szCs w:val="22"/>
        </w:rPr>
        <w:t>20</w:t>
      </w:r>
      <w:r w:rsidRPr="00A06029">
        <w:rPr>
          <w:rFonts w:asciiTheme="minorHAnsi" w:hAnsiTheme="minorHAnsi" w:cstheme="minorHAnsi"/>
          <w:bCs/>
          <w:sz w:val="22"/>
          <w:szCs w:val="22"/>
        </w:rPr>
        <w:t xml:space="preserve"> </w:t>
      </w:r>
      <w:r w:rsidR="00C4344F" w:rsidRPr="00A06029">
        <w:rPr>
          <w:rFonts w:asciiTheme="minorHAnsi" w:hAnsiTheme="minorHAnsi" w:cstheme="minorHAnsi"/>
          <w:bCs/>
          <w:sz w:val="22"/>
          <w:szCs w:val="22"/>
        </w:rPr>
        <w:t>Renewal Application</w:t>
      </w:r>
      <w:r w:rsidR="00FF5EE8" w:rsidRPr="00A06029">
        <w:rPr>
          <w:rFonts w:asciiTheme="minorHAnsi" w:hAnsiTheme="minorHAnsi" w:cstheme="minorHAnsi"/>
          <w:bCs/>
          <w:sz w:val="22"/>
          <w:szCs w:val="22"/>
        </w:rPr>
        <w:t xml:space="preserve"> (updated Turnaround Plan)</w:t>
      </w:r>
    </w:p>
    <w:p w14:paraId="1D05C4F1" w14:textId="79FC2E53" w:rsidR="00C4344F" w:rsidRPr="00A06029" w:rsidRDefault="002F72EB" w:rsidP="00E221DE">
      <w:pPr>
        <w:numPr>
          <w:ilvl w:val="0"/>
          <w:numId w:val="14"/>
        </w:numPr>
        <w:spacing w:before="40" w:after="40"/>
        <w:rPr>
          <w:rFonts w:asciiTheme="minorHAnsi" w:hAnsiTheme="minorHAnsi" w:cstheme="minorHAnsi"/>
          <w:bCs/>
          <w:sz w:val="22"/>
          <w:szCs w:val="22"/>
        </w:rPr>
      </w:pPr>
      <w:r w:rsidRPr="00A06029">
        <w:rPr>
          <w:rFonts w:asciiTheme="minorHAnsi" w:hAnsiTheme="minorHAnsi" w:cstheme="minorHAnsi"/>
          <w:bCs/>
          <w:sz w:val="22"/>
          <w:szCs w:val="22"/>
        </w:rPr>
        <w:t>FY20</w:t>
      </w:r>
      <w:r w:rsidR="00C4344F" w:rsidRPr="00A06029">
        <w:rPr>
          <w:rFonts w:asciiTheme="minorHAnsi" w:hAnsiTheme="minorHAnsi" w:cstheme="minorHAnsi"/>
          <w:bCs/>
          <w:sz w:val="22"/>
          <w:szCs w:val="22"/>
        </w:rPr>
        <w:t xml:space="preserve"> Budget Workbook</w:t>
      </w:r>
      <w:r w:rsidR="00A46551" w:rsidRPr="00A06029">
        <w:rPr>
          <w:rFonts w:asciiTheme="minorHAnsi" w:hAnsiTheme="minorHAnsi" w:cstheme="minorHAnsi"/>
          <w:bCs/>
          <w:sz w:val="22"/>
          <w:szCs w:val="22"/>
        </w:rPr>
        <w:t xml:space="preserve"> </w:t>
      </w:r>
      <w:r w:rsidR="0087288F" w:rsidRPr="00A06029">
        <w:rPr>
          <w:rFonts w:asciiTheme="minorHAnsi" w:hAnsiTheme="minorHAnsi" w:cstheme="minorHAnsi"/>
          <w:bCs/>
          <w:sz w:val="22"/>
          <w:szCs w:val="22"/>
        </w:rPr>
        <w:t>(</w:t>
      </w:r>
      <w:r w:rsidR="00A46551" w:rsidRPr="00A06029">
        <w:rPr>
          <w:rFonts w:asciiTheme="minorHAnsi" w:hAnsiTheme="minorHAnsi" w:cstheme="minorHAnsi"/>
          <w:bCs/>
          <w:sz w:val="22"/>
          <w:szCs w:val="22"/>
        </w:rPr>
        <w:t>the sign</w:t>
      </w:r>
      <w:r w:rsidR="0087288F" w:rsidRPr="00A06029">
        <w:rPr>
          <w:rFonts w:asciiTheme="minorHAnsi" w:hAnsiTheme="minorHAnsi" w:cstheme="minorHAnsi"/>
          <w:bCs/>
          <w:sz w:val="22"/>
          <w:szCs w:val="22"/>
        </w:rPr>
        <w:t xml:space="preserve">ed cover page </w:t>
      </w:r>
      <w:r w:rsidR="00A46551" w:rsidRPr="00A06029">
        <w:rPr>
          <w:rFonts w:asciiTheme="minorHAnsi" w:hAnsiTheme="minorHAnsi" w:cstheme="minorHAnsi"/>
          <w:bCs/>
          <w:sz w:val="22"/>
          <w:szCs w:val="22"/>
        </w:rPr>
        <w:t>will be due upon DESE approval of the grant)</w:t>
      </w:r>
      <w:r w:rsidR="00182FAC" w:rsidRPr="00A06029">
        <w:rPr>
          <w:rFonts w:asciiTheme="minorHAnsi" w:hAnsiTheme="minorHAnsi" w:cstheme="minorHAnsi"/>
          <w:bCs/>
          <w:sz w:val="22"/>
          <w:szCs w:val="22"/>
        </w:rPr>
        <w:t>. Note: Budget Workbook directions are in the Budget Workbook Excel spreadsheet.</w:t>
      </w:r>
    </w:p>
    <w:p w14:paraId="016114B1" w14:textId="77777777" w:rsidR="00C4344F" w:rsidRPr="00A06029" w:rsidRDefault="00C4344F" w:rsidP="00FE5F30">
      <w:pPr>
        <w:spacing w:before="40" w:after="40"/>
        <w:rPr>
          <w:rFonts w:asciiTheme="minorHAnsi" w:hAnsiTheme="minorHAnsi" w:cstheme="minorHAnsi"/>
          <w:bCs/>
          <w:sz w:val="22"/>
          <w:szCs w:val="22"/>
        </w:rPr>
      </w:pPr>
    </w:p>
    <w:p w14:paraId="04637431" w14:textId="6DDBFA2A" w:rsidR="00D658B2" w:rsidRPr="00A06029" w:rsidRDefault="002F72EB">
      <w:pPr>
        <w:spacing w:before="40" w:after="40"/>
        <w:rPr>
          <w:rFonts w:asciiTheme="minorHAnsi" w:hAnsiTheme="minorHAnsi" w:cstheme="minorHAnsi"/>
          <w:b/>
          <w:bCs/>
          <w:sz w:val="22"/>
          <w:szCs w:val="22"/>
        </w:rPr>
      </w:pPr>
      <w:r w:rsidRPr="00A06029">
        <w:rPr>
          <w:rFonts w:asciiTheme="minorHAnsi" w:hAnsiTheme="minorHAnsi" w:cstheme="minorHAnsi"/>
          <w:b/>
          <w:bCs/>
          <w:sz w:val="22"/>
          <w:szCs w:val="22"/>
        </w:rPr>
        <w:t xml:space="preserve">By </w:t>
      </w:r>
      <w:r w:rsidRPr="00A06029">
        <w:rPr>
          <w:rFonts w:asciiTheme="minorHAnsi" w:hAnsiTheme="minorHAnsi" w:cstheme="minorHAnsi"/>
          <w:b/>
          <w:bCs/>
          <w:sz w:val="22"/>
          <w:szCs w:val="22"/>
          <w:u w:val="single"/>
        </w:rPr>
        <w:t>noon on April 30, 2019</w:t>
      </w:r>
      <w:r w:rsidR="0024265E" w:rsidRPr="00A06029">
        <w:rPr>
          <w:rFonts w:asciiTheme="minorHAnsi" w:hAnsiTheme="minorHAnsi" w:cstheme="minorHAnsi"/>
          <w:b/>
          <w:bCs/>
          <w:sz w:val="22"/>
          <w:szCs w:val="22"/>
        </w:rPr>
        <w:t xml:space="preserve"> </w:t>
      </w:r>
      <w:r w:rsidR="0036088C" w:rsidRPr="00A06029">
        <w:rPr>
          <w:rFonts w:asciiTheme="minorHAnsi" w:hAnsiTheme="minorHAnsi" w:cstheme="minorHAnsi"/>
          <w:b/>
          <w:bCs/>
          <w:sz w:val="22"/>
          <w:szCs w:val="22"/>
        </w:rPr>
        <w:t>email</w:t>
      </w:r>
      <w:r w:rsidR="00777063" w:rsidRPr="00A06029">
        <w:rPr>
          <w:rFonts w:asciiTheme="minorHAnsi" w:hAnsiTheme="minorHAnsi" w:cstheme="minorHAnsi"/>
          <w:b/>
          <w:bCs/>
          <w:sz w:val="22"/>
          <w:szCs w:val="22"/>
        </w:rPr>
        <w:t xml:space="preserve"> </w:t>
      </w:r>
      <w:r w:rsidR="00FF5EE8" w:rsidRPr="00A06029">
        <w:rPr>
          <w:rFonts w:asciiTheme="minorHAnsi" w:hAnsiTheme="minorHAnsi" w:cstheme="minorHAnsi"/>
          <w:b/>
          <w:bCs/>
          <w:sz w:val="22"/>
          <w:szCs w:val="22"/>
        </w:rPr>
        <w:t xml:space="preserve">the application </w:t>
      </w:r>
      <w:r w:rsidR="0087288F" w:rsidRPr="00A06029">
        <w:rPr>
          <w:rFonts w:asciiTheme="minorHAnsi" w:hAnsiTheme="minorHAnsi" w:cstheme="minorHAnsi"/>
          <w:b/>
          <w:bCs/>
          <w:sz w:val="22"/>
          <w:szCs w:val="22"/>
        </w:rPr>
        <w:t xml:space="preserve">packet </w:t>
      </w:r>
      <w:r w:rsidR="00FF5EE8" w:rsidRPr="00A06029">
        <w:rPr>
          <w:rFonts w:asciiTheme="minorHAnsi" w:hAnsiTheme="minorHAnsi" w:cstheme="minorHAnsi"/>
          <w:b/>
          <w:bCs/>
          <w:sz w:val="22"/>
          <w:szCs w:val="22"/>
        </w:rPr>
        <w:t xml:space="preserve">to </w:t>
      </w:r>
      <w:r w:rsidR="00777063" w:rsidRPr="00A06029">
        <w:rPr>
          <w:rFonts w:asciiTheme="minorHAnsi" w:hAnsiTheme="minorHAnsi" w:cstheme="minorHAnsi"/>
          <w:b/>
          <w:bCs/>
          <w:sz w:val="22"/>
          <w:szCs w:val="22"/>
        </w:rPr>
        <w:t>SRG@doe.mass.edu</w:t>
      </w:r>
      <w:r w:rsidR="0024265E" w:rsidRPr="00A06029">
        <w:rPr>
          <w:rFonts w:asciiTheme="minorHAnsi" w:hAnsiTheme="minorHAnsi" w:cstheme="minorHAnsi"/>
          <w:b/>
          <w:bCs/>
          <w:sz w:val="22"/>
          <w:szCs w:val="22"/>
        </w:rPr>
        <w:t>:</w:t>
      </w:r>
    </w:p>
    <w:p w14:paraId="31BFD34E" w14:textId="2CE12FA5" w:rsidR="00D658B2" w:rsidRPr="00A06029" w:rsidRDefault="00D658B2" w:rsidP="00F84702">
      <w:pPr>
        <w:spacing w:before="40" w:after="40"/>
        <w:rPr>
          <w:rFonts w:asciiTheme="minorHAnsi" w:hAnsiTheme="minorHAnsi" w:cstheme="minorHAnsi"/>
          <w:sz w:val="22"/>
          <w:szCs w:val="22"/>
        </w:rPr>
      </w:pPr>
    </w:p>
    <w:p w14:paraId="671C66F2" w14:textId="77777777" w:rsidR="00182FAC" w:rsidRPr="00A06029" w:rsidRDefault="00182FAC" w:rsidP="00182FAC">
      <w:pPr>
        <w:spacing w:before="40" w:after="40"/>
        <w:outlineLvl w:val="0"/>
        <w:rPr>
          <w:rFonts w:asciiTheme="minorHAnsi" w:hAnsiTheme="minorHAnsi" w:cstheme="minorHAnsi"/>
          <w:b/>
          <w:sz w:val="22"/>
          <w:szCs w:val="22"/>
        </w:rPr>
      </w:pPr>
      <w:r w:rsidRPr="00A06029">
        <w:rPr>
          <w:rFonts w:asciiTheme="minorHAnsi" w:hAnsiTheme="minorHAnsi" w:cstheme="minorHAnsi"/>
          <w:b/>
          <w:sz w:val="22"/>
          <w:szCs w:val="22"/>
        </w:rPr>
        <w:t>The SRG application process includes the following components</w:t>
      </w:r>
    </w:p>
    <w:p w14:paraId="47A63040" w14:textId="77777777" w:rsidR="00182FAC" w:rsidRPr="00A06029"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District and school completion and submission of the application for each SRG school by </w:t>
      </w:r>
      <w:r w:rsidRPr="00A06029">
        <w:rPr>
          <w:rFonts w:asciiTheme="minorHAnsi" w:hAnsiTheme="minorHAnsi" w:cstheme="minorHAnsi"/>
          <w:b/>
          <w:sz w:val="22"/>
          <w:szCs w:val="22"/>
        </w:rPr>
        <w:t>April 30, 2019</w:t>
      </w:r>
    </w:p>
    <w:p w14:paraId="4D95D506" w14:textId="551F398A" w:rsidR="00182FAC" w:rsidRPr="00A06029"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Formal review of each SRG application by DESE based on the scoring rubric (the rubric is Appendix A, provided below) in early to mid-May</w:t>
      </w:r>
    </w:p>
    <w:p w14:paraId="7090AA88" w14:textId="42127113" w:rsidR="00182FAC" w:rsidRPr="00A06029" w:rsidRDefault="00182FAC" w:rsidP="00182FAC">
      <w:pPr>
        <w:pStyle w:val="ColorfulList-Accent11"/>
        <w:numPr>
          <w:ilvl w:val="0"/>
          <w:numId w:val="2"/>
        </w:numPr>
        <w:spacing w:before="120" w:after="120"/>
        <w:rPr>
          <w:rFonts w:asciiTheme="minorHAnsi" w:hAnsiTheme="minorHAnsi" w:cstheme="minorHAnsi"/>
          <w:sz w:val="22"/>
          <w:szCs w:val="22"/>
        </w:rPr>
      </w:pPr>
      <w:r w:rsidRPr="00A06029">
        <w:rPr>
          <w:rFonts w:asciiTheme="minorHAnsi" w:hAnsiTheme="minorHAnsi" w:cstheme="minorHAnsi"/>
          <w:sz w:val="22"/>
          <w:szCs w:val="22"/>
        </w:rPr>
        <w:t>Announcement of award of FY20 funding by June, 2019</w:t>
      </w:r>
    </w:p>
    <w:p w14:paraId="271A3752" w14:textId="6936A24C" w:rsidR="00771E45" w:rsidRPr="00A06029" w:rsidRDefault="00BA645B" w:rsidP="00771E45">
      <w:pPr>
        <w:rPr>
          <w:rFonts w:asciiTheme="minorHAnsi" w:hAnsiTheme="minorHAnsi" w:cstheme="minorHAnsi"/>
          <w:b/>
          <w:sz w:val="22"/>
          <w:szCs w:val="22"/>
        </w:rPr>
      </w:pPr>
      <w:r w:rsidRPr="00A06029">
        <w:rPr>
          <w:rFonts w:asciiTheme="minorHAnsi" w:hAnsiTheme="minorHAnsi" w:cstheme="minorHAnsi"/>
          <w:b/>
          <w:sz w:val="22"/>
          <w:szCs w:val="22"/>
        </w:rPr>
        <w:t>Other I</w:t>
      </w:r>
      <w:r w:rsidR="00D90033" w:rsidRPr="00A06029">
        <w:rPr>
          <w:rFonts w:asciiTheme="minorHAnsi" w:hAnsiTheme="minorHAnsi" w:cstheme="minorHAnsi"/>
          <w:b/>
          <w:sz w:val="22"/>
          <w:szCs w:val="22"/>
        </w:rPr>
        <w:t>mportant No</w:t>
      </w:r>
      <w:r w:rsidR="00771E45" w:rsidRPr="00A06029">
        <w:rPr>
          <w:rFonts w:asciiTheme="minorHAnsi" w:hAnsiTheme="minorHAnsi" w:cstheme="minorHAnsi"/>
          <w:b/>
          <w:sz w:val="22"/>
          <w:szCs w:val="22"/>
        </w:rPr>
        <w:t>tes:</w:t>
      </w:r>
    </w:p>
    <w:p w14:paraId="304608BC" w14:textId="77777777" w:rsidR="00182FAC" w:rsidRPr="00A06029" w:rsidRDefault="00182FAC" w:rsidP="00182FAC">
      <w:pPr>
        <w:pStyle w:val="ListParagraph"/>
        <w:numPr>
          <w:ilvl w:val="0"/>
          <w:numId w:val="55"/>
        </w:numPr>
        <w:rPr>
          <w:rFonts w:asciiTheme="minorHAnsi" w:hAnsiTheme="minorHAnsi" w:cstheme="minorHAnsi"/>
          <w:bCs/>
          <w:sz w:val="22"/>
          <w:szCs w:val="22"/>
        </w:rPr>
      </w:pPr>
      <w:r w:rsidRPr="00A06029">
        <w:rPr>
          <w:rFonts w:asciiTheme="minorHAnsi" w:hAnsiTheme="minorHAnsi" w:cstheme="minorHAnsi"/>
          <w:bCs/>
          <w:sz w:val="22"/>
          <w:szCs w:val="22"/>
        </w:rPr>
        <w:t>Applications will be scored using a review process by DESE according to the Scoring Rubric (Appendix A)</w:t>
      </w:r>
    </w:p>
    <w:p w14:paraId="09C9E466" w14:textId="77777777" w:rsidR="00182FAC" w:rsidRPr="00A06029" w:rsidRDefault="00182FAC" w:rsidP="00182FAC">
      <w:pPr>
        <w:pStyle w:val="Default"/>
        <w:numPr>
          <w:ilvl w:val="0"/>
          <w:numId w:val="55"/>
        </w:numPr>
        <w:spacing w:after="112"/>
        <w:rPr>
          <w:rFonts w:asciiTheme="minorHAnsi" w:hAnsiTheme="minorHAnsi" w:cstheme="minorHAnsi"/>
          <w:bCs/>
          <w:sz w:val="22"/>
          <w:szCs w:val="22"/>
        </w:rPr>
      </w:pPr>
      <w:r w:rsidRPr="00A06029">
        <w:rPr>
          <w:rFonts w:asciiTheme="minorHAnsi" w:hAnsiTheme="minorHAnsi" w:cstheme="minorHAnsi"/>
          <w:sz w:val="22"/>
          <w:szCs w:val="22"/>
        </w:rPr>
        <w:t xml:space="preserve">We </w:t>
      </w:r>
      <w:r w:rsidRPr="00A06029">
        <w:rPr>
          <w:rFonts w:asciiTheme="minorHAnsi" w:hAnsiTheme="minorHAnsi" w:cstheme="minorHAnsi"/>
          <w:i/>
          <w:sz w:val="22"/>
          <w:szCs w:val="22"/>
          <w:u w:val="single"/>
        </w:rPr>
        <w:t>strongly recommend</w:t>
      </w:r>
      <w:r w:rsidRPr="00A06029">
        <w:rPr>
          <w:rFonts w:asciiTheme="minorHAnsi" w:hAnsiTheme="minorHAnsi" w:cstheme="minorHAnsi"/>
          <w:sz w:val="22"/>
          <w:szCs w:val="22"/>
        </w:rPr>
        <w:t xml:space="preserve"> reviewing the scoring rubric. This will help schools ensure the application aligns with grant expectations.</w:t>
      </w:r>
      <w:r w:rsidRPr="00A06029">
        <w:rPr>
          <w:rFonts w:asciiTheme="minorHAnsi" w:hAnsiTheme="minorHAnsi" w:cstheme="minorHAnsi"/>
          <w:b/>
          <w:sz w:val="22"/>
          <w:szCs w:val="22"/>
        </w:rPr>
        <w:t xml:space="preserve"> </w:t>
      </w:r>
      <w:r w:rsidRPr="00A06029">
        <w:rPr>
          <w:rFonts w:asciiTheme="minorHAnsi" w:hAnsiTheme="minorHAnsi" w:cstheme="minorHAnsi"/>
          <w:sz w:val="22"/>
          <w:szCs w:val="22"/>
        </w:rPr>
        <w:t xml:space="preserve">Schools applying for funding should carefully review ALL rubric items and grant requirements to ensure they are addressed in the turnaround plan narrative </w:t>
      </w:r>
      <w:r w:rsidRPr="00A06029">
        <w:rPr>
          <w:rFonts w:asciiTheme="minorHAnsi" w:hAnsiTheme="minorHAnsi" w:cstheme="minorHAnsi"/>
          <w:i/>
          <w:sz w:val="22"/>
          <w:szCs w:val="22"/>
        </w:rPr>
        <w:t>prior</w:t>
      </w:r>
      <w:r w:rsidRPr="00A06029">
        <w:rPr>
          <w:rFonts w:asciiTheme="minorHAnsi" w:hAnsiTheme="minorHAnsi" w:cstheme="minorHAnsi"/>
          <w:sz w:val="22"/>
          <w:szCs w:val="22"/>
        </w:rPr>
        <w:t xml:space="preserve"> to submitting the grant application.</w:t>
      </w:r>
    </w:p>
    <w:p w14:paraId="214BD734" w14:textId="77777777" w:rsidR="00182FAC" w:rsidRPr="00A06029" w:rsidRDefault="00182FAC" w:rsidP="00182FAC">
      <w:pPr>
        <w:pStyle w:val="ListParagraph"/>
        <w:numPr>
          <w:ilvl w:val="0"/>
          <w:numId w:val="55"/>
        </w:numPr>
        <w:rPr>
          <w:rFonts w:asciiTheme="minorHAnsi" w:hAnsiTheme="minorHAnsi" w:cstheme="minorHAnsi"/>
          <w:bCs/>
          <w:sz w:val="22"/>
          <w:szCs w:val="22"/>
        </w:rPr>
      </w:pPr>
      <w:r w:rsidRPr="00A06029">
        <w:rPr>
          <w:rFonts w:asciiTheme="minorHAnsi" w:hAnsiTheme="minorHAnsi" w:cstheme="minorHAnsi"/>
          <w:bCs/>
          <w:sz w:val="22"/>
          <w:szCs w:val="22"/>
        </w:rPr>
        <w:t xml:space="preserve">Any questions regarding the SRG application should be directed to Michael Seymour at </w:t>
      </w:r>
      <w:hyperlink r:id="rId17" w:history="1">
        <w:r w:rsidRPr="00A06029">
          <w:rPr>
            <w:rStyle w:val="Hyperlink"/>
            <w:rFonts w:asciiTheme="minorHAnsi" w:hAnsiTheme="minorHAnsi" w:cstheme="minorHAnsi"/>
            <w:bCs/>
            <w:sz w:val="22"/>
            <w:szCs w:val="22"/>
          </w:rPr>
          <w:t>mseymour@doe.mass.edu</w:t>
        </w:r>
      </w:hyperlink>
      <w:r w:rsidRPr="00A06029">
        <w:rPr>
          <w:rFonts w:asciiTheme="minorHAnsi" w:hAnsiTheme="minorHAnsi" w:cstheme="minorHAnsi"/>
          <w:bCs/>
          <w:sz w:val="22"/>
          <w:szCs w:val="22"/>
        </w:rPr>
        <w:t xml:space="preserve"> or 781-338-3514.  </w:t>
      </w:r>
    </w:p>
    <w:p w14:paraId="43D44D3E" w14:textId="77777777" w:rsidR="00771E45" w:rsidRPr="00A06029" w:rsidRDefault="00771E45" w:rsidP="00771E45">
      <w:pPr>
        <w:rPr>
          <w:rFonts w:asciiTheme="minorHAnsi" w:hAnsiTheme="minorHAnsi" w:cstheme="minorHAnsi"/>
          <w:bCs/>
          <w:sz w:val="20"/>
        </w:rPr>
      </w:pPr>
    </w:p>
    <w:p w14:paraId="42A40A1B" w14:textId="77777777" w:rsidR="006D5DCE" w:rsidRPr="00A06029" w:rsidRDefault="006D5DCE" w:rsidP="003341BD">
      <w:pPr>
        <w:spacing w:before="40" w:after="40"/>
        <w:rPr>
          <w:b/>
          <w:sz w:val="22"/>
          <w:szCs w:val="22"/>
        </w:rPr>
        <w:sectPr w:rsidR="006D5DCE" w:rsidRPr="00A06029" w:rsidSect="004836F1">
          <w:headerReference w:type="default" r:id="rId18"/>
          <w:pgSz w:w="12240" w:h="15840"/>
          <w:pgMar w:top="1152" w:right="1440" w:bottom="1152" w:left="1440" w:header="720" w:footer="720" w:gutter="0"/>
          <w:cols w:space="720"/>
        </w:sectPr>
      </w:pPr>
    </w:p>
    <w:p w14:paraId="2A248BB2" w14:textId="77777777" w:rsidR="004836F1" w:rsidRPr="00A06029" w:rsidRDefault="004836F1" w:rsidP="00BF3B27">
      <w:pPr>
        <w:spacing w:before="40" w:after="40"/>
        <w:outlineLvl w:val="0"/>
        <w:rPr>
          <w:b/>
          <w:sz w:val="22"/>
          <w:szCs w:val="22"/>
          <w:u w:val="single"/>
        </w:rPr>
      </w:pPr>
    </w:p>
    <w:p w14:paraId="570FF5FE" w14:textId="714C1B7C" w:rsidR="004D4641" w:rsidRPr="00A06029" w:rsidRDefault="00CE23A2" w:rsidP="008C028A">
      <w:pPr>
        <w:pStyle w:val="ListParagraph"/>
        <w:numPr>
          <w:ilvl w:val="0"/>
          <w:numId w:val="56"/>
        </w:numPr>
        <w:spacing w:before="40" w:after="40"/>
        <w:outlineLvl w:val="0"/>
        <w:rPr>
          <w:rFonts w:asciiTheme="minorHAnsi" w:hAnsiTheme="minorHAnsi" w:cstheme="minorHAnsi"/>
          <w:b/>
          <w:sz w:val="26"/>
          <w:szCs w:val="26"/>
        </w:rPr>
      </w:pPr>
      <w:r w:rsidRPr="00A06029">
        <w:rPr>
          <w:rFonts w:asciiTheme="minorHAnsi" w:hAnsiTheme="minorHAnsi" w:cstheme="minorHAnsi"/>
          <w:b/>
          <w:sz w:val="26"/>
          <w:szCs w:val="26"/>
        </w:rPr>
        <w:t xml:space="preserve">Overview </w:t>
      </w:r>
    </w:p>
    <w:p w14:paraId="0FC747B4" w14:textId="77777777" w:rsidR="008C028A" w:rsidRPr="00A06029" w:rsidRDefault="008C028A" w:rsidP="008C028A">
      <w:pPr>
        <w:pStyle w:val="ListParagraph"/>
        <w:spacing w:before="40" w:after="40"/>
        <w:outlineLvl w:val="0"/>
        <w:rPr>
          <w:rFonts w:asciiTheme="minorHAnsi" w:hAnsiTheme="minorHAnsi" w:cstheme="minorHAnsi"/>
          <w:b/>
          <w:sz w:val="26"/>
          <w:szCs w:val="26"/>
          <w:u w:val="single"/>
        </w:rPr>
      </w:pPr>
    </w:p>
    <w:p w14:paraId="1A5CF24F" w14:textId="4D4BB651" w:rsidR="003439FF" w:rsidRPr="00A06029" w:rsidRDefault="00885460" w:rsidP="00D979F2">
      <w:pPr>
        <w:pStyle w:val="Normal1"/>
        <w:ind w:left="360"/>
        <w:rPr>
          <w:rFonts w:asciiTheme="minorHAnsi" w:hAnsiTheme="minorHAnsi" w:cstheme="minorHAnsi"/>
          <w:sz w:val="22"/>
          <w:szCs w:val="22"/>
        </w:rPr>
      </w:pPr>
      <w:r w:rsidRPr="00A06029">
        <w:rPr>
          <w:rFonts w:asciiTheme="minorHAnsi" w:hAnsiTheme="minorHAnsi" w:cstheme="minorHAnsi"/>
          <w:sz w:val="22"/>
          <w:szCs w:val="22"/>
          <w:lang w:eastAsia="ja-JP"/>
        </w:rPr>
        <w:t xml:space="preserve">The School Redesign Grant (SRG) </w:t>
      </w:r>
      <w:r w:rsidR="007F0BBB" w:rsidRPr="00A06029">
        <w:rPr>
          <w:rFonts w:asciiTheme="minorHAnsi" w:hAnsiTheme="minorHAnsi" w:cstheme="minorHAnsi"/>
          <w:sz w:val="22"/>
          <w:szCs w:val="22"/>
          <w:lang w:eastAsia="ja-JP"/>
        </w:rPr>
        <w:t>R</w:t>
      </w:r>
      <w:r w:rsidRPr="00A06029">
        <w:rPr>
          <w:rFonts w:asciiTheme="minorHAnsi" w:hAnsiTheme="minorHAnsi" w:cstheme="minorHAnsi"/>
          <w:sz w:val="22"/>
          <w:szCs w:val="22"/>
          <w:lang w:eastAsia="ja-JP"/>
        </w:rPr>
        <w:t xml:space="preserve">enewal </w:t>
      </w:r>
      <w:r w:rsidR="007F0BBB" w:rsidRPr="00A06029">
        <w:rPr>
          <w:rFonts w:asciiTheme="minorHAnsi" w:hAnsiTheme="minorHAnsi" w:cstheme="minorHAnsi"/>
          <w:sz w:val="22"/>
          <w:szCs w:val="22"/>
          <w:lang w:eastAsia="ja-JP"/>
        </w:rPr>
        <w:t xml:space="preserve">Application </w:t>
      </w:r>
      <w:r w:rsidR="00E84183" w:rsidRPr="00A06029">
        <w:rPr>
          <w:rFonts w:asciiTheme="minorHAnsi" w:hAnsiTheme="minorHAnsi" w:cstheme="minorHAnsi"/>
          <w:sz w:val="22"/>
          <w:szCs w:val="22"/>
          <w:lang w:eastAsia="ja-JP"/>
        </w:rPr>
        <w:t>is designed</w:t>
      </w:r>
      <w:r w:rsidRPr="00A06029">
        <w:rPr>
          <w:rFonts w:asciiTheme="minorHAnsi" w:hAnsiTheme="minorHAnsi" w:cstheme="minorHAnsi"/>
          <w:sz w:val="22"/>
          <w:szCs w:val="22"/>
          <w:lang w:eastAsia="ja-JP"/>
        </w:rPr>
        <w:t xml:space="preserve"> to </w:t>
      </w:r>
      <w:r w:rsidR="00CA0049" w:rsidRPr="00A06029">
        <w:rPr>
          <w:rFonts w:asciiTheme="minorHAnsi" w:hAnsiTheme="minorHAnsi" w:cstheme="minorHAnsi"/>
          <w:sz w:val="22"/>
          <w:szCs w:val="22"/>
          <w:lang w:eastAsia="ja-JP"/>
        </w:rPr>
        <w:t xml:space="preserve">provide an </w:t>
      </w:r>
      <w:r w:rsidRPr="00A06029">
        <w:rPr>
          <w:rFonts w:asciiTheme="minorHAnsi" w:hAnsiTheme="minorHAnsi" w:cstheme="minorHAnsi"/>
          <w:sz w:val="22"/>
          <w:szCs w:val="22"/>
          <w:lang w:eastAsia="ja-JP"/>
        </w:rPr>
        <w:t>opportunity for districts and schools to</w:t>
      </w:r>
      <w:r w:rsidR="002F72EB" w:rsidRPr="00A06029">
        <w:rPr>
          <w:rFonts w:asciiTheme="minorHAnsi" w:hAnsiTheme="minorHAnsi" w:cstheme="minorHAnsi"/>
          <w:sz w:val="22"/>
          <w:szCs w:val="22"/>
          <w:lang w:eastAsia="ja-JP"/>
        </w:rPr>
        <w:t>: (1)</w:t>
      </w:r>
      <w:r w:rsidRPr="00A06029">
        <w:rPr>
          <w:rFonts w:asciiTheme="minorHAnsi" w:hAnsiTheme="minorHAnsi" w:cstheme="minorHAnsi"/>
          <w:sz w:val="22"/>
          <w:szCs w:val="22"/>
          <w:lang w:eastAsia="ja-JP"/>
        </w:rPr>
        <w:t xml:space="preserve"> reflect upon successes and challenges of the past year</w:t>
      </w:r>
      <w:r w:rsidR="002809E8" w:rsidRPr="00A06029">
        <w:rPr>
          <w:rFonts w:asciiTheme="minorHAnsi" w:hAnsiTheme="minorHAnsi" w:cstheme="minorHAnsi"/>
          <w:sz w:val="22"/>
          <w:szCs w:val="22"/>
          <w:lang w:eastAsia="ja-JP"/>
        </w:rPr>
        <w:t>, within the context of the school’s turnaround plan and the turnaround practices</w:t>
      </w:r>
      <w:r w:rsidR="00E84183" w:rsidRPr="00A06029">
        <w:rPr>
          <w:rFonts w:asciiTheme="minorHAnsi" w:hAnsiTheme="minorHAnsi" w:cstheme="minorHAnsi"/>
          <w:sz w:val="22"/>
          <w:szCs w:val="22"/>
          <w:lang w:eastAsia="ja-JP"/>
        </w:rPr>
        <w:t>;</w:t>
      </w:r>
      <w:r w:rsidRPr="00A06029">
        <w:rPr>
          <w:rFonts w:asciiTheme="minorHAnsi" w:hAnsiTheme="minorHAnsi" w:cstheme="minorHAnsi"/>
          <w:sz w:val="22"/>
          <w:szCs w:val="22"/>
          <w:lang w:eastAsia="ja-JP"/>
        </w:rPr>
        <w:t xml:space="preserve"> (2) </w:t>
      </w:r>
      <w:r w:rsidR="00574AB9" w:rsidRPr="00A06029">
        <w:rPr>
          <w:rFonts w:asciiTheme="minorHAnsi" w:hAnsiTheme="minorHAnsi" w:cstheme="minorHAnsi"/>
          <w:sz w:val="22"/>
          <w:szCs w:val="22"/>
          <w:lang w:eastAsia="ja-JP"/>
        </w:rPr>
        <w:t xml:space="preserve">identify key strategies or modifications to strategies </w:t>
      </w:r>
      <w:r w:rsidR="003A01BD" w:rsidRPr="00A06029">
        <w:rPr>
          <w:rFonts w:asciiTheme="minorHAnsi" w:hAnsiTheme="minorHAnsi" w:cstheme="minorHAnsi"/>
          <w:sz w:val="22"/>
          <w:szCs w:val="22"/>
          <w:lang w:eastAsia="ja-JP"/>
        </w:rPr>
        <w:t xml:space="preserve">that build upon successes and challenges and </w:t>
      </w:r>
      <w:r w:rsidR="00574AB9" w:rsidRPr="00A06029">
        <w:rPr>
          <w:rFonts w:asciiTheme="minorHAnsi" w:hAnsiTheme="minorHAnsi" w:cstheme="minorHAnsi"/>
          <w:sz w:val="22"/>
          <w:szCs w:val="22"/>
          <w:lang w:eastAsia="ja-JP"/>
        </w:rPr>
        <w:t xml:space="preserve">that will serve </w:t>
      </w:r>
      <w:r w:rsidR="002809E8" w:rsidRPr="00A06029">
        <w:rPr>
          <w:rFonts w:asciiTheme="minorHAnsi" w:hAnsiTheme="minorHAnsi" w:cstheme="minorHAnsi"/>
          <w:sz w:val="22"/>
          <w:szCs w:val="22"/>
          <w:lang w:eastAsia="ja-JP"/>
        </w:rPr>
        <w:t xml:space="preserve">as </w:t>
      </w:r>
      <w:r w:rsidR="00574AB9" w:rsidRPr="00A06029">
        <w:rPr>
          <w:rFonts w:asciiTheme="minorHAnsi" w:hAnsiTheme="minorHAnsi" w:cstheme="minorHAnsi"/>
          <w:sz w:val="22"/>
          <w:szCs w:val="22"/>
          <w:lang w:eastAsia="ja-JP"/>
        </w:rPr>
        <w:t>the focus in the coming year</w:t>
      </w:r>
      <w:r w:rsidR="003A01BD" w:rsidRPr="00A06029">
        <w:rPr>
          <w:rFonts w:asciiTheme="minorHAnsi" w:hAnsiTheme="minorHAnsi" w:cstheme="minorHAnsi"/>
          <w:sz w:val="22"/>
          <w:szCs w:val="22"/>
          <w:lang w:eastAsia="ja-JP"/>
        </w:rPr>
        <w:t xml:space="preserve">; and (3) </w:t>
      </w:r>
      <w:r w:rsidR="003A01BD" w:rsidRPr="00A06029">
        <w:rPr>
          <w:rFonts w:asciiTheme="minorHAnsi" w:hAnsiTheme="minorHAnsi" w:cstheme="minorHAnsi"/>
          <w:sz w:val="22"/>
          <w:szCs w:val="22"/>
        </w:rPr>
        <w:t xml:space="preserve">provide a budget update and justification for the coming school year. </w:t>
      </w:r>
    </w:p>
    <w:p w14:paraId="7AC87CCA" w14:textId="77777777" w:rsidR="00487350" w:rsidRPr="00A06029" w:rsidRDefault="00487350" w:rsidP="003341BD">
      <w:pPr>
        <w:spacing w:before="40" w:after="40"/>
        <w:rPr>
          <w:rFonts w:asciiTheme="minorHAnsi" w:hAnsiTheme="minorHAnsi" w:cstheme="minorHAnsi"/>
          <w:sz w:val="22"/>
          <w:szCs w:val="22"/>
        </w:rPr>
      </w:pPr>
    </w:p>
    <w:p w14:paraId="78684525" w14:textId="77777777" w:rsidR="00885460" w:rsidRPr="00A06029" w:rsidRDefault="00893D7B" w:rsidP="00BE4FF9">
      <w:pPr>
        <w:spacing w:before="40" w:after="40"/>
        <w:outlineLvl w:val="0"/>
        <w:rPr>
          <w:rFonts w:asciiTheme="minorHAnsi" w:hAnsiTheme="minorHAnsi" w:cstheme="minorHAnsi"/>
          <w:b/>
          <w:sz w:val="22"/>
          <w:szCs w:val="22"/>
        </w:rPr>
      </w:pPr>
      <w:r w:rsidRPr="00A06029">
        <w:rPr>
          <w:rFonts w:asciiTheme="minorHAnsi" w:hAnsiTheme="minorHAnsi" w:cstheme="minorHAnsi"/>
          <w:b/>
          <w:sz w:val="22"/>
          <w:szCs w:val="22"/>
        </w:rPr>
        <w:t xml:space="preserve">    </w:t>
      </w:r>
      <w:r w:rsidR="00885460" w:rsidRPr="00A06029">
        <w:rPr>
          <w:rFonts w:asciiTheme="minorHAnsi" w:hAnsiTheme="minorHAnsi" w:cstheme="minorHAnsi"/>
          <w:b/>
          <w:sz w:val="22"/>
          <w:szCs w:val="22"/>
        </w:rPr>
        <w:t xml:space="preserve">The SRG Renewal </w:t>
      </w:r>
      <w:r w:rsidR="007F0BBB" w:rsidRPr="00A06029">
        <w:rPr>
          <w:rFonts w:asciiTheme="minorHAnsi" w:hAnsiTheme="minorHAnsi" w:cstheme="minorHAnsi"/>
          <w:b/>
          <w:sz w:val="22"/>
          <w:szCs w:val="22"/>
        </w:rPr>
        <w:t xml:space="preserve">Application </w:t>
      </w:r>
      <w:r w:rsidR="007F38E8" w:rsidRPr="00A06029">
        <w:rPr>
          <w:rFonts w:asciiTheme="minorHAnsi" w:hAnsiTheme="minorHAnsi" w:cstheme="minorHAnsi"/>
          <w:b/>
          <w:sz w:val="22"/>
          <w:szCs w:val="22"/>
        </w:rPr>
        <w:t>p</w:t>
      </w:r>
      <w:r w:rsidR="00885460" w:rsidRPr="00A06029">
        <w:rPr>
          <w:rFonts w:asciiTheme="minorHAnsi" w:hAnsiTheme="minorHAnsi" w:cstheme="minorHAnsi"/>
          <w:b/>
          <w:sz w:val="22"/>
          <w:szCs w:val="22"/>
        </w:rPr>
        <w:t>rocess is focused on the following questions:</w:t>
      </w:r>
    </w:p>
    <w:p w14:paraId="461F5EB8" w14:textId="74ADD083" w:rsidR="00AB09BA" w:rsidRPr="00A06029" w:rsidRDefault="00EB2F11" w:rsidP="003439FF">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What worked</w:t>
      </w:r>
      <w:r w:rsidR="00AB09BA" w:rsidRPr="00A06029">
        <w:rPr>
          <w:rFonts w:asciiTheme="minorHAnsi" w:hAnsiTheme="minorHAnsi" w:cstheme="minorHAnsi"/>
          <w:sz w:val="22"/>
          <w:szCs w:val="22"/>
        </w:rPr>
        <w:t>?</w:t>
      </w:r>
      <w:r w:rsidR="00133CA5" w:rsidRPr="00A06029">
        <w:rPr>
          <w:rFonts w:asciiTheme="minorHAnsi" w:hAnsiTheme="minorHAnsi" w:cstheme="minorHAnsi"/>
          <w:sz w:val="22"/>
          <w:szCs w:val="22"/>
        </w:rPr>
        <w:t xml:space="preserve"> </w:t>
      </w:r>
    </w:p>
    <w:p w14:paraId="6A330C3D" w14:textId="77777777" w:rsidR="00AB09BA" w:rsidRPr="00A06029" w:rsidRDefault="00AB09BA" w:rsidP="003439FF">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W</w:t>
      </w:r>
      <w:r w:rsidR="00EB2F11" w:rsidRPr="00A06029">
        <w:rPr>
          <w:rFonts w:asciiTheme="minorHAnsi" w:hAnsiTheme="minorHAnsi" w:cstheme="minorHAnsi"/>
          <w:sz w:val="22"/>
          <w:szCs w:val="22"/>
        </w:rPr>
        <w:t>hat did not</w:t>
      </w:r>
      <w:r w:rsidR="00487350" w:rsidRPr="00A06029">
        <w:rPr>
          <w:rFonts w:asciiTheme="minorHAnsi" w:hAnsiTheme="minorHAnsi" w:cstheme="minorHAnsi"/>
          <w:sz w:val="22"/>
          <w:szCs w:val="22"/>
        </w:rPr>
        <w:t xml:space="preserve"> work</w:t>
      </w:r>
      <w:r w:rsidRPr="00A06029">
        <w:rPr>
          <w:rFonts w:asciiTheme="minorHAnsi" w:hAnsiTheme="minorHAnsi" w:cstheme="minorHAnsi"/>
          <w:sz w:val="22"/>
          <w:szCs w:val="22"/>
        </w:rPr>
        <w:t>?</w:t>
      </w:r>
    </w:p>
    <w:p w14:paraId="53318EB5" w14:textId="4FF3BC88" w:rsidR="003439FF" w:rsidRPr="00A06029" w:rsidRDefault="00AB09BA" w:rsidP="003439FF">
      <w:pPr>
        <w:pStyle w:val="Normal1"/>
        <w:numPr>
          <w:ilvl w:val="0"/>
          <w:numId w:val="3"/>
        </w:numPr>
        <w:spacing w:before="40"/>
        <w:contextualSpacing/>
        <w:rPr>
          <w:rFonts w:asciiTheme="minorHAnsi" w:hAnsiTheme="minorHAnsi" w:cstheme="minorHAnsi"/>
          <w:sz w:val="22"/>
          <w:szCs w:val="22"/>
        </w:rPr>
      </w:pPr>
      <w:r w:rsidRPr="00A06029">
        <w:rPr>
          <w:rFonts w:asciiTheme="minorHAnsi" w:hAnsiTheme="minorHAnsi" w:cstheme="minorHAnsi"/>
          <w:sz w:val="22"/>
          <w:szCs w:val="22"/>
        </w:rPr>
        <w:t>H</w:t>
      </w:r>
      <w:r w:rsidR="00487350" w:rsidRPr="00A06029">
        <w:rPr>
          <w:rFonts w:asciiTheme="minorHAnsi" w:hAnsiTheme="minorHAnsi" w:cstheme="minorHAnsi"/>
          <w:sz w:val="22"/>
          <w:szCs w:val="22"/>
        </w:rPr>
        <w:t>ow do you know?</w:t>
      </w:r>
      <w:r w:rsidR="00133CA5" w:rsidRPr="00A06029">
        <w:rPr>
          <w:rFonts w:asciiTheme="minorHAnsi" w:hAnsiTheme="minorHAnsi" w:cstheme="minorHAnsi"/>
          <w:sz w:val="22"/>
          <w:szCs w:val="22"/>
        </w:rPr>
        <w:t xml:space="preserve"> </w:t>
      </w:r>
    </w:p>
    <w:p w14:paraId="2F3C8FBE" w14:textId="7BBE00F2" w:rsidR="003439FF" w:rsidRPr="00A06029" w:rsidRDefault="00525F90">
      <w:pPr>
        <w:pStyle w:val="ColorfulList-Accent11"/>
        <w:numPr>
          <w:ilvl w:val="0"/>
          <w:numId w:val="3"/>
        </w:numPr>
        <w:spacing w:before="40" w:after="40"/>
        <w:rPr>
          <w:rFonts w:asciiTheme="minorHAnsi" w:hAnsiTheme="minorHAnsi" w:cstheme="minorHAnsi"/>
          <w:sz w:val="22"/>
          <w:szCs w:val="22"/>
        </w:rPr>
      </w:pPr>
      <w:r w:rsidRPr="00A06029">
        <w:rPr>
          <w:rFonts w:asciiTheme="minorHAnsi" w:hAnsiTheme="minorHAnsi" w:cstheme="minorHAnsi"/>
          <w:sz w:val="22"/>
          <w:szCs w:val="22"/>
        </w:rPr>
        <w:t>Given this analysis, w</w:t>
      </w:r>
      <w:r w:rsidR="00487350" w:rsidRPr="00A06029">
        <w:rPr>
          <w:rFonts w:asciiTheme="minorHAnsi" w:hAnsiTheme="minorHAnsi" w:cstheme="minorHAnsi"/>
          <w:sz w:val="22"/>
          <w:szCs w:val="22"/>
        </w:rPr>
        <w:t>ha</w:t>
      </w:r>
      <w:r w:rsidRPr="00A06029">
        <w:rPr>
          <w:rFonts w:asciiTheme="minorHAnsi" w:hAnsiTheme="minorHAnsi" w:cstheme="minorHAnsi"/>
          <w:sz w:val="22"/>
          <w:szCs w:val="22"/>
        </w:rPr>
        <w:t>t</w:t>
      </w:r>
      <w:r w:rsidR="001B5A43" w:rsidRPr="00A06029">
        <w:rPr>
          <w:rFonts w:asciiTheme="minorHAnsi" w:hAnsiTheme="minorHAnsi" w:cstheme="minorHAnsi"/>
          <w:sz w:val="22"/>
          <w:szCs w:val="22"/>
        </w:rPr>
        <w:t xml:space="preserve"> successes will be leveraged and/or</w:t>
      </w:r>
      <w:r w:rsidRPr="00A06029">
        <w:rPr>
          <w:rFonts w:asciiTheme="minorHAnsi" w:hAnsiTheme="minorHAnsi" w:cstheme="minorHAnsi"/>
          <w:sz w:val="22"/>
          <w:szCs w:val="22"/>
        </w:rPr>
        <w:t xml:space="preserve"> changes will be implemented for</w:t>
      </w:r>
      <w:r w:rsidR="00487350" w:rsidRPr="00A06029">
        <w:rPr>
          <w:rFonts w:asciiTheme="minorHAnsi" w:hAnsiTheme="minorHAnsi" w:cstheme="minorHAnsi"/>
          <w:sz w:val="22"/>
          <w:szCs w:val="22"/>
        </w:rPr>
        <w:t xml:space="preserve"> the coming year?</w:t>
      </w:r>
    </w:p>
    <w:p w14:paraId="0853F5B2" w14:textId="77777777" w:rsidR="00AB09BA" w:rsidRPr="00A06029" w:rsidRDefault="00AB09BA" w:rsidP="00AB09BA">
      <w:pPr>
        <w:pStyle w:val="ColorfulList-Accent11"/>
        <w:spacing w:before="40" w:after="40"/>
        <w:ind w:left="432"/>
        <w:rPr>
          <w:rFonts w:asciiTheme="minorHAnsi" w:hAnsiTheme="minorHAnsi" w:cstheme="minorHAnsi"/>
          <w:sz w:val="22"/>
          <w:szCs w:val="22"/>
        </w:rPr>
      </w:pPr>
    </w:p>
    <w:p w14:paraId="7D1BB8D0" w14:textId="5353B5E0" w:rsidR="00AB09BA" w:rsidRPr="00A06029" w:rsidRDefault="00AB09BA" w:rsidP="00AB09BA">
      <w:pPr>
        <w:pStyle w:val="ColorfulList-Accent11"/>
        <w:spacing w:before="40" w:after="40"/>
        <w:ind w:left="432"/>
        <w:rPr>
          <w:rFonts w:asciiTheme="minorHAnsi" w:hAnsiTheme="minorHAnsi" w:cstheme="minorHAnsi"/>
          <w:sz w:val="22"/>
          <w:szCs w:val="22"/>
          <w:u w:val="single"/>
        </w:rPr>
      </w:pPr>
      <w:r w:rsidRPr="00A06029">
        <w:rPr>
          <w:rFonts w:asciiTheme="minorHAnsi" w:hAnsiTheme="minorHAnsi" w:cstheme="minorHAnsi"/>
          <w:sz w:val="22"/>
          <w:szCs w:val="22"/>
          <w:u w:val="single"/>
        </w:rPr>
        <w:t>Please provide evidence and data to support your responses.</w:t>
      </w:r>
    </w:p>
    <w:p w14:paraId="41634BA2" w14:textId="77777777" w:rsidR="004D4641" w:rsidRPr="00A06029" w:rsidRDefault="004D4641" w:rsidP="003341BD">
      <w:pPr>
        <w:spacing w:before="40" w:after="40"/>
        <w:rPr>
          <w:rFonts w:asciiTheme="minorHAnsi" w:hAnsiTheme="minorHAnsi" w:cstheme="minorHAnsi"/>
          <w:sz w:val="22"/>
          <w:szCs w:val="22"/>
        </w:rPr>
      </w:pPr>
    </w:p>
    <w:p w14:paraId="19595700" w14:textId="77777777" w:rsidR="004D4641" w:rsidRPr="00A06029" w:rsidRDefault="00893D7B" w:rsidP="00BF3B27">
      <w:pPr>
        <w:spacing w:before="40" w:after="40"/>
        <w:outlineLvl w:val="0"/>
        <w:rPr>
          <w:rFonts w:asciiTheme="minorHAnsi" w:hAnsiTheme="minorHAnsi" w:cstheme="minorHAnsi"/>
          <w:b/>
          <w:sz w:val="22"/>
          <w:szCs w:val="22"/>
        </w:rPr>
      </w:pPr>
      <w:r w:rsidRPr="00A06029">
        <w:rPr>
          <w:rFonts w:asciiTheme="minorHAnsi" w:hAnsiTheme="minorHAnsi" w:cstheme="minorHAnsi"/>
          <w:sz w:val="22"/>
          <w:szCs w:val="22"/>
        </w:rPr>
        <w:t xml:space="preserve">    </w:t>
      </w:r>
      <w:r w:rsidR="004D4641" w:rsidRPr="00A06029">
        <w:rPr>
          <w:rFonts w:asciiTheme="minorHAnsi" w:hAnsiTheme="minorHAnsi" w:cstheme="minorHAnsi"/>
          <w:b/>
          <w:sz w:val="22"/>
          <w:szCs w:val="22"/>
        </w:rPr>
        <w:t xml:space="preserve">The </w:t>
      </w:r>
      <w:r w:rsidR="000577EA" w:rsidRPr="00A06029">
        <w:rPr>
          <w:rFonts w:asciiTheme="minorHAnsi" w:hAnsiTheme="minorHAnsi" w:cstheme="minorHAnsi"/>
          <w:b/>
          <w:sz w:val="22"/>
          <w:szCs w:val="22"/>
        </w:rPr>
        <w:t xml:space="preserve">SRG </w:t>
      </w:r>
      <w:r w:rsidR="000B7348" w:rsidRPr="00A06029">
        <w:rPr>
          <w:rFonts w:asciiTheme="minorHAnsi" w:hAnsiTheme="minorHAnsi" w:cstheme="minorHAnsi"/>
          <w:b/>
          <w:sz w:val="22"/>
          <w:szCs w:val="22"/>
        </w:rPr>
        <w:t>appl</w:t>
      </w:r>
      <w:r w:rsidR="007F0BBB" w:rsidRPr="00A06029">
        <w:rPr>
          <w:rFonts w:asciiTheme="minorHAnsi" w:hAnsiTheme="minorHAnsi" w:cstheme="minorHAnsi"/>
          <w:b/>
          <w:sz w:val="22"/>
          <w:szCs w:val="22"/>
        </w:rPr>
        <w:t xml:space="preserve">ication </w:t>
      </w:r>
      <w:r w:rsidR="007F38E8" w:rsidRPr="00A06029">
        <w:rPr>
          <w:rFonts w:asciiTheme="minorHAnsi" w:hAnsiTheme="minorHAnsi" w:cstheme="minorHAnsi"/>
          <w:b/>
          <w:sz w:val="22"/>
          <w:szCs w:val="22"/>
        </w:rPr>
        <w:t>p</w:t>
      </w:r>
      <w:r w:rsidR="004D4641" w:rsidRPr="00A06029">
        <w:rPr>
          <w:rFonts w:asciiTheme="minorHAnsi" w:hAnsiTheme="minorHAnsi" w:cstheme="minorHAnsi"/>
          <w:b/>
          <w:sz w:val="22"/>
          <w:szCs w:val="22"/>
        </w:rPr>
        <w:t>rocess includes the following components</w:t>
      </w:r>
    </w:p>
    <w:p w14:paraId="136B69FA" w14:textId="1A3FB2CB" w:rsidR="004D4641" w:rsidRPr="00A06029" w:rsidRDefault="00E502FA" w:rsidP="002F01C0">
      <w:pPr>
        <w:pStyle w:val="ColorfulList-Accent11"/>
        <w:numPr>
          <w:ilvl w:val="0"/>
          <w:numId w:val="58"/>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District and school completion and submission of </w:t>
      </w:r>
      <w:r w:rsidR="007F38E8" w:rsidRPr="00A06029">
        <w:rPr>
          <w:rFonts w:asciiTheme="minorHAnsi" w:hAnsiTheme="minorHAnsi" w:cstheme="minorHAnsi"/>
          <w:sz w:val="22"/>
          <w:szCs w:val="22"/>
        </w:rPr>
        <w:t>r</w:t>
      </w:r>
      <w:r w:rsidRPr="00A06029">
        <w:rPr>
          <w:rFonts w:asciiTheme="minorHAnsi" w:hAnsiTheme="minorHAnsi" w:cstheme="minorHAnsi"/>
          <w:sz w:val="22"/>
          <w:szCs w:val="22"/>
        </w:rPr>
        <w:t xml:space="preserve">enewal </w:t>
      </w:r>
      <w:r w:rsidR="007F38E8" w:rsidRPr="00A06029">
        <w:rPr>
          <w:rFonts w:asciiTheme="minorHAnsi" w:hAnsiTheme="minorHAnsi" w:cstheme="minorHAnsi"/>
          <w:sz w:val="22"/>
          <w:szCs w:val="22"/>
        </w:rPr>
        <w:t>a</w:t>
      </w:r>
      <w:r w:rsidRPr="00A06029">
        <w:rPr>
          <w:rFonts w:asciiTheme="minorHAnsi" w:hAnsiTheme="minorHAnsi" w:cstheme="minorHAnsi"/>
          <w:sz w:val="22"/>
          <w:szCs w:val="22"/>
        </w:rPr>
        <w:t xml:space="preserve">pplication </w:t>
      </w:r>
      <w:r w:rsidR="004836F1" w:rsidRPr="00A06029">
        <w:rPr>
          <w:rFonts w:asciiTheme="minorHAnsi" w:hAnsiTheme="minorHAnsi" w:cstheme="minorHAnsi"/>
          <w:sz w:val="22"/>
          <w:szCs w:val="22"/>
        </w:rPr>
        <w:t>for each SRG school</w:t>
      </w:r>
      <w:r w:rsidR="00081C96" w:rsidRPr="00A06029">
        <w:rPr>
          <w:rFonts w:asciiTheme="minorHAnsi" w:hAnsiTheme="minorHAnsi" w:cstheme="minorHAnsi"/>
          <w:sz w:val="22"/>
          <w:szCs w:val="22"/>
        </w:rPr>
        <w:t xml:space="preserve"> by </w:t>
      </w:r>
      <w:r w:rsidR="000B7348" w:rsidRPr="00A06029">
        <w:rPr>
          <w:rFonts w:asciiTheme="minorHAnsi" w:hAnsiTheme="minorHAnsi" w:cstheme="minorHAnsi"/>
          <w:b/>
          <w:sz w:val="22"/>
          <w:szCs w:val="22"/>
        </w:rPr>
        <w:t>April 30</w:t>
      </w:r>
      <w:r w:rsidR="00EB2F11" w:rsidRPr="00A06029">
        <w:rPr>
          <w:rFonts w:asciiTheme="minorHAnsi" w:hAnsiTheme="minorHAnsi" w:cstheme="minorHAnsi"/>
          <w:b/>
          <w:sz w:val="22"/>
          <w:szCs w:val="22"/>
        </w:rPr>
        <w:t>, 201</w:t>
      </w:r>
      <w:r w:rsidR="000B7348" w:rsidRPr="00A06029">
        <w:rPr>
          <w:rFonts w:asciiTheme="minorHAnsi" w:hAnsiTheme="minorHAnsi" w:cstheme="minorHAnsi"/>
          <w:b/>
          <w:sz w:val="22"/>
          <w:szCs w:val="22"/>
        </w:rPr>
        <w:t>9</w:t>
      </w:r>
    </w:p>
    <w:p w14:paraId="1ACD6088" w14:textId="65D82EE6" w:rsidR="00CE23A2" w:rsidRPr="00A06029" w:rsidRDefault="00E502FA" w:rsidP="002F01C0">
      <w:pPr>
        <w:pStyle w:val="ColorfulList-Accent11"/>
        <w:numPr>
          <w:ilvl w:val="0"/>
          <w:numId w:val="58"/>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Formal review of </w:t>
      </w:r>
      <w:r w:rsidR="00EF6FF0" w:rsidRPr="00A06029">
        <w:rPr>
          <w:rFonts w:asciiTheme="minorHAnsi" w:hAnsiTheme="minorHAnsi" w:cstheme="minorHAnsi"/>
          <w:sz w:val="22"/>
          <w:szCs w:val="22"/>
        </w:rPr>
        <w:t>each SRG</w:t>
      </w:r>
      <w:r w:rsidR="007F38E8" w:rsidRPr="00A06029">
        <w:rPr>
          <w:rFonts w:asciiTheme="minorHAnsi" w:hAnsiTheme="minorHAnsi" w:cstheme="minorHAnsi"/>
          <w:sz w:val="22"/>
          <w:szCs w:val="22"/>
        </w:rPr>
        <w:t xml:space="preserve"> a</w:t>
      </w:r>
      <w:r w:rsidR="00AB09BA" w:rsidRPr="00A06029">
        <w:rPr>
          <w:rFonts w:asciiTheme="minorHAnsi" w:hAnsiTheme="minorHAnsi" w:cstheme="minorHAnsi"/>
          <w:sz w:val="22"/>
          <w:szCs w:val="22"/>
        </w:rPr>
        <w:t>pplication</w:t>
      </w:r>
      <w:r w:rsidR="007F0BBB" w:rsidRPr="00A06029">
        <w:rPr>
          <w:rFonts w:asciiTheme="minorHAnsi" w:hAnsiTheme="minorHAnsi" w:cstheme="minorHAnsi"/>
          <w:sz w:val="22"/>
          <w:szCs w:val="22"/>
        </w:rPr>
        <w:t xml:space="preserve"> </w:t>
      </w:r>
      <w:r w:rsidRPr="00A06029">
        <w:rPr>
          <w:rFonts w:asciiTheme="minorHAnsi" w:hAnsiTheme="minorHAnsi" w:cstheme="minorHAnsi"/>
          <w:sz w:val="22"/>
          <w:szCs w:val="22"/>
        </w:rPr>
        <w:t xml:space="preserve">by </w:t>
      </w:r>
      <w:r w:rsidR="001B5A43" w:rsidRPr="00A06029">
        <w:rPr>
          <w:rFonts w:asciiTheme="minorHAnsi" w:hAnsiTheme="minorHAnsi" w:cstheme="minorHAnsi"/>
          <w:sz w:val="22"/>
          <w:szCs w:val="22"/>
        </w:rPr>
        <w:t xml:space="preserve">the </w:t>
      </w:r>
      <w:r w:rsidR="000B7348" w:rsidRPr="00A06029">
        <w:rPr>
          <w:rFonts w:asciiTheme="minorHAnsi" w:hAnsiTheme="minorHAnsi" w:cstheme="minorHAnsi"/>
          <w:sz w:val="22"/>
          <w:szCs w:val="22"/>
        </w:rPr>
        <w:t>D</w:t>
      </w:r>
      <w:r w:rsidRPr="00A06029">
        <w:rPr>
          <w:rFonts w:asciiTheme="minorHAnsi" w:hAnsiTheme="minorHAnsi" w:cstheme="minorHAnsi"/>
          <w:sz w:val="22"/>
          <w:szCs w:val="22"/>
        </w:rPr>
        <w:t>ESE</w:t>
      </w:r>
      <w:r w:rsidR="00D97A0F" w:rsidRPr="00A06029">
        <w:rPr>
          <w:rFonts w:asciiTheme="minorHAnsi" w:hAnsiTheme="minorHAnsi" w:cstheme="minorHAnsi"/>
          <w:sz w:val="22"/>
          <w:szCs w:val="22"/>
        </w:rPr>
        <w:t xml:space="preserve"> based on </w:t>
      </w:r>
      <w:r w:rsidR="00A30379" w:rsidRPr="00A06029">
        <w:rPr>
          <w:rFonts w:asciiTheme="minorHAnsi" w:hAnsiTheme="minorHAnsi" w:cstheme="minorHAnsi"/>
          <w:sz w:val="22"/>
          <w:szCs w:val="22"/>
        </w:rPr>
        <w:t xml:space="preserve">the </w:t>
      </w:r>
      <w:r w:rsidR="007F38E8" w:rsidRPr="00A06029">
        <w:rPr>
          <w:rFonts w:asciiTheme="minorHAnsi" w:hAnsiTheme="minorHAnsi" w:cstheme="minorHAnsi"/>
          <w:sz w:val="22"/>
          <w:szCs w:val="22"/>
        </w:rPr>
        <w:t>s</w:t>
      </w:r>
      <w:r w:rsidR="00A30379" w:rsidRPr="00A06029">
        <w:rPr>
          <w:rFonts w:asciiTheme="minorHAnsi" w:hAnsiTheme="minorHAnsi" w:cstheme="minorHAnsi"/>
          <w:sz w:val="22"/>
          <w:szCs w:val="22"/>
        </w:rPr>
        <w:t xml:space="preserve">coring </w:t>
      </w:r>
      <w:r w:rsidR="007F38E8" w:rsidRPr="00A06029">
        <w:rPr>
          <w:rFonts w:asciiTheme="minorHAnsi" w:hAnsiTheme="minorHAnsi" w:cstheme="minorHAnsi"/>
          <w:sz w:val="22"/>
          <w:szCs w:val="22"/>
        </w:rPr>
        <w:t>r</w:t>
      </w:r>
      <w:r w:rsidR="00A30379" w:rsidRPr="00A06029">
        <w:rPr>
          <w:rFonts w:asciiTheme="minorHAnsi" w:hAnsiTheme="minorHAnsi" w:cstheme="minorHAnsi"/>
          <w:sz w:val="22"/>
          <w:szCs w:val="22"/>
        </w:rPr>
        <w:t>ubric</w:t>
      </w:r>
      <w:r w:rsidR="00133CA5" w:rsidRPr="00A06029">
        <w:rPr>
          <w:rFonts w:asciiTheme="minorHAnsi" w:hAnsiTheme="minorHAnsi" w:cstheme="minorHAnsi"/>
          <w:sz w:val="22"/>
          <w:szCs w:val="22"/>
        </w:rPr>
        <w:t xml:space="preserve"> (the rubric is Appendix A, provided below)</w:t>
      </w:r>
    </w:p>
    <w:p w14:paraId="53FD0A89" w14:textId="3A1B5DEF" w:rsidR="00081C96" w:rsidRPr="00A06029" w:rsidRDefault="00C320AD" w:rsidP="002F01C0">
      <w:pPr>
        <w:pStyle w:val="ColorfulList-Accent11"/>
        <w:numPr>
          <w:ilvl w:val="0"/>
          <w:numId w:val="58"/>
        </w:num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Announcement of </w:t>
      </w:r>
      <w:r w:rsidR="007F38E8" w:rsidRPr="00A06029">
        <w:rPr>
          <w:rFonts w:asciiTheme="minorHAnsi" w:hAnsiTheme="minorHAnsi" w:cstheme="minorHAnsi"/>
          <w:sz w:val="22"/>
          <w:szCs w:val="22"/>
        </w:rPr>
        <w:t>a</w:t>
      </w:r>
      <w:r w:rsidR="00E502FA" w:rsidRPr="00A06029">
        <w:rPr>
          <w:rFonts w:asciiTheme="minorHAnsi" w:hAnsiTheme="minorHAnsi" w:cstheme="minorHAnsi"/>
          <w:sz w:val="22"/>
          <w:szCs w:val="22"/>
        </w:rPr>
        <w:t xml:space="preserve">ward of </w:t>
      </w:r>
      <w:r w:rsidR="000B7348" w:rsidRPr="00A06029">
        <w:rPr>
          <w:rFonts w:asciiTheme="minorHAnsi" w:hAnsiTheme="minorHAnsi" w:cstheme="minorHAnsi"/>
          <w:sz w:val="22"/>
          <w:szCs w:val="22"/>
        </w:rPr>
        <w:t>FY20</w:t>
      </w:r>
      <w:r w:rsidR="00EB2F11" w:rsidRPr="00A06029">
        <w:rPr>
          <w:rFonts w:asciiTheme="minorHAnsi" w:hAnsiTheme="minorHAnsi" w:cstheme="minorHAnsi"/>
          <w:sz w:val="22"/>
          <w:szCs w:val="22"/>
        </w:rPr>
        <w:t xml:space="preserve"> </w:t>
      </w:r>
      <w:r w:rsidR="00E502FA" w:rsidRPr="00A06029">
        <w:rPr>
          <w:rFonts w:asciiTheme="minorHAnsi" w:hAnsiTheme="minorHAnsi" w:cstheme="minorHAnsi"/>
          <w:sz w:val="22"/>
          <w:szCs w:val="22"/>
        </w:rPr>
        <w:t>funding</w:t>
      </w:r>
      <w:r w:rsidR="00081C96" w:rsidRPr="00A06029">
        <w:rPr>
          <w:rFonts w:asciiTheme="minorHAnsi" w:hAnsiTheme="minorHAnsi" w:cstheme="minorHAnsi"/>
          <w:sz w:val="22"/>
          <w:szCs w:val="22"/>
        </w:rPr>
        <w:t xml:space="preserve"> by </w:t>
      </w:r>
      <w:r w:rsidR="00C143D4" w:rsidRPr="00A06029">
        <w:rPr>
          <w:rFonts w:asciiTheme="minorHAnsi" w:hAnsiTheme="minorHAnsi" w:cstheme="minorHAnsi"/>
          <w:sz w:val="22"/>
          <w:szCs w:val="22"/>
        </w:rPr>
        <w:t>June</w:t>
      </w:r>
      <w:r w:rsidR="007D2AF6" w:rsidRPr="00A06029">
        <w:rPr>
          <w:rFonts w:asciiTheme="minorHAnsi" w:hAnsiTheme="minorHAnsi" w:cstheme="minorHAnsi"/>
          <w:sz w:val="22"/>
          <w:szCs w:val="22"/>
        </w:rPr>
        <w:t xml:space="preserve"> 201</w:t>
      </w:r>
      <w:r w:rsidR="000B7348" w:rsidRPr="00A06029">
        <w:rPr>
          <w:rFonts w:asciiTheme="minorHAnsi" w:hAnsiTheme="minorHAnsi" w:cstheme="minorHAnsi"/>
          <w:sz w:val="22"/>
          <w:szCs w:val="22"/>
        </w:rPr>
        <w:t>9</w:t>
      </w:r>
    </w:p>
    <w:p w14:paraId="2D8A0E66" w14:textId="77777777" w:rsidR="00CE23A2" w:rsidRPr="00A06029" w:rsidRDefault="00CE23A2" w:rsidP="00CE23A2">
      <w:pPr>
        <w:pStyle w:val="ColorfulList-Accent11"/>
        <w:spacing w:before="120" w:after="120"/>
        <w:ind w:left="0"/>
        <w:rPr>
          <w:rFonts w:asciiTheme="minorHAnsi" w:hAnsiTheme="minorHAnsi" w:cstheme="minorHAnsi"/>
          <w:sz w:val="22"/>
          <w:szCs w:val="22"/>
        </w:rPr>
      </w:pPr>
    </w:p>
    <w:p w14:paraId="40DB1E9D" w14:textId="77777777" w:rsidR="00406CEE" w:rsidRPr="00A06029" w:rsidRDefault="00406CEE" w:rsidP="004069E0">
      <w:pPr>
        <w:rPr>
          <w:rFonts w:asciiTheme="minorHAnsi" w:hAnsiTheme="minorHAnsi" w:cstheme="minorHAnsi"/>
          <w:sz w:val="22"/>
          <w:szCs w:val="22"/>
        </w:rPr>
      </w:pPr>
    </w:p>
    <w:p w14:paraId="017DF357" w14:textId="4B0C28F1" w:rsidR="006806EB" w:rsidRPr="00A06029" w:rsidRDefault="00557461" w:rsidP="00AC1831">
      <w:pPr>
        <w:rPr>
          <w:rFonts w:asciiTheme="minorHAnsi" w:hAnsiTheme="minorHAnsi" w:cstheme="minorHAnsi"/>
          <w:b/>
          <w:sz w:val="22"/>
          <w:szCs w:val="22"/>
        </w:rPr>
      </w:pPr>
      <w:r w:rsidRPr="00A06029">
        <w:rPr>
          <w:rFonts w:asciiTheme="minorHAnsi" w:hAnsiTheme="minorHAnsi" w:cstheme="minorHAnsi"/>
          <w:sz w:val="22"/>
          <w:szCs w:val="22"/>
        </w:rPr>
        <w:t xml:space="preserve"> </w:t>
      </w:r>
      <w:r w:rsidR="00C022EB" w:rsidRPr="00A06029">
        <w:rPr>
          <w:rFonts w:asciiTheme="minorHAnsi" w:hAnsiTheme="minorHAnsi" w:cstheme="minorHAnsi"/>
          <w:sz w:val="22"/>
          <w:szCs w:val="22"/>
        </w:rPr>
        <w:t xml:space="preserve"> </w:t>
      </w:r>
      <w:r w:rsidR="00CE23A2" w:rsidRPr="00A06029">
        <w:rPr>
          <w:rFonts w:asciiTheme="minorHAnsi" w:hAnsiTheme="minorHAnsi" w:cstheme="minorHAnsi"/>
          <w:sz w:val="22"/>
          <w:szCs w:val="22"/>
        </w:rPr>
        <w:t xml:space="preserve"> </w:t>
      </w:r>
    </w:p>
    <w:p w14:paraId="57ED013C" w14:textId="7B98C5E6" w:rsidR="00C115CC" w:rsidRPr="00A06029" w:rsidRDefault="00C115CC" w:rsidP="00771DB4">
      <w:pPr>
        <w:spacing w:before="40" w:after="40"/>
        <w:rPr>
          <w:b/>
          <w:sz w:val="22"/>
          <w:szCs w:val="22"/>
        </w:rPr>
        <w:sectPr w:rsidR="00C115CC" w:rsidRPr="00A06029" w:rsidSect="005413AD">
          <w:headerReference w:type="default" r:id="rId19"/>
          <w:pgSz w:w="12240" w:h="15840" w:code="1"/>
          <w:pgMar w:top="720" w:right="720" w:bottom="720" w:left="720" w:header="720" w:footer="432" w:gutter="0"/>
          <w:cols w:space="720"/>
          <w:docGrid w:linePitch="326"/>
        </w:sectPr>
      </w:pPr>
    </w:p>
    <w:p w14:paraId="3A553038" w14:textId="77777777" w:rsidR="00CE23A2" w:rsidRPr="00A06029" w:rsidRDefault="00CE23A2" w:rsidP="008C028A">
      <w:pPr>
        <w:numPr>
          <w:ilvl w:val="0"/>
          <w:numId w:val="56"/>
        </w:numPr>
        <w:spacing w:before="40" w:after="40"/>
        <w:rPr>
          <w:rFonts w:asciiTheme="minorHAnsi" w:hAnsiTheme="minorHAnsi" w:cstheme="minorHAnsi"/>
          <w:b/>
          <w:bCs/>
          <w:sz w:val="26"/>
          <w:szCs w:val="26"/>
        </w:rPr>
      </w:pPr>
      <w:r w:rsidRPr="00A06029">
        <w:rPr>
          <w:rFonts w:asciiTheme="minorHAnsi" w:hAnsiTheme="minorHAnsi" w:cstheme="minorHAnsi"/>
          <w:b/>
          <w:bCs/>
          <w:sz w:val="26"/>
          <w:szCs w:val="26"/>
        </w:rPr>
        <w:lastRenderedPageBreak/>
        <w:t>Guidance</w:t>
      </w:r>
    </w:p>
    <w:p w14:paraId="712795FA" w14:textId="77777777" w:rsidR="00CE23A2" w:rsidRPr="00A06029" w:rsidRDefault="00CE23A2" w:rsidP="00771DB4">
      <w:pPr>
        <w:spacing w:before="40" w:after="40"/>
        <w:rPr>
          <w:rFonts w:asciiTheme="minorHAnsi" w:hAnsiTheme="minorHAnsi" w:cstheme="minorHAnsi"/>
          <w:sz w:val="22"/>
          <w:szCs w:val="22"/>
        </w:rPr>
      </w:pPr>
    </w:p>
    <w:p w14:paraId="16B19C85" w14:textId="138D6DA8" w:rsidR="00CE23A2" w:rsidRPr="00A06029" w:rsidRDefault="00777063" w:rsidP="00CE23A2">
      <w:pPr>
        <w:spacing w:before="40" w:after="120"/>
        <w:outlineLvl w:val="0"/>
        <w:rPr>
          <w:rFonts w:asciiTheme="minorHAnsi" w:hAnsiTheme="minorHAnsi" w:cstheme="minorHAnsi"/>
          <w:sz w:val="22"/>
          <w:szCs w:val="22"/>
        </w:rPr>
      </w:pPr>
      <w:r w:rsidRPr="00A06029">
        <w:rPr>
          <w:rFonts w:asciiTheme="minorHAnsi" w:hAnsiTheme="minorHAnsi" w:cstheme="minorHAnsi"/>
          <w:sz w:val="22"/>
          <w:szCs w:val="22"/>
        </w:rPr>
        <w:t xml:space="preserve">The SRG </w:t>
      </w:r>
      <w:r w:rsidR="00E73505" w:rsidRPr="00A06029">
        <w:rPr>
          <w:rFonts w:asciiTheme="minorHAnsi" w:hAnsiTheme="minorHAnsi" w:cstheme="minorHAnsi"/>
          <w:sz w:val="22"/>
          <w:szCs w:val="22"/>
        </w:rPr>
        <w:t xml:space="preserve">renewal </w:t>
      </w:r>
      <w:r w:rsidR="0052509C" w:rsidRPr="00A06029">
        <w:rPr>
          <w:rFonts w:asciiTheme="minorHAnsi" w:hAnsiTheme="minorHAnsi" w:cstheme="minorHAnsi"/>
          <w:sz w:val="22"/>
          <w:szCs w:val="22"/>
        </w:rPr>
        <w:t>a</w:t>
      </w:r>
      <w:r w:rsidRPr="00A06029">
        <w:rPr>
          <w:rFonts w:asciiTheme="minorHAnsi" w:hAnsiTheme="minorHAnsi" w:cstheme="minorHAnsi"/>
          <w:sz w:val="22"/>
          <w:szCs w:val="22"/>
        </w:rPr>
        <w:t>pplication has multiple purposes:</w:t>
      </w:r>
    </w:p>
    <w:tbl>
      <w:tblPr>
        <w:tblW w:w="0" w:type="auto"/>
        <w:tblBorders>
          <w:top w:val="single" w:sz="4" w:space="0" w:color="auto"/>
          <w:bottom w:val="single" w:sz="4" w:space="0" w:color="auto"/>
        </w:tblBorders>
        <w:tblLook w:val="04A0" w:firstRow="1" w:lastRow="0" w:firstColumn="1" w:lastColumn="0" w:noHBand="0" w:noVBand="1"/>
      </w:tblPr>
      <w:tblGrid>
        <w:gridCol w:w="4675"/>
        <w:gridCol w:w="4685"/>
      </w:tblGrid>
      <w:tr w:rsidR="00CE23A2" w:rsidRPr="00A06029" w14:paraId="203D0025" w14:textId="77777777">
        <w:tc>
          <w:tcPr>
            <w:tcW w:w="5148" w:type="dxa"/>
            <w:shd w:val="clear" w:color="auto" w:fill="auto"/>
          </w:tcPr>
          <w:p w14:paraId="36CE682B" w14:textId="77777777"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Pr="00A06029">
              <w:rPr>
                <w:rFonts w:asciiTheme="minorHAnsi" w:hAnsiTheme="minorHAnsi" w:cstheme="minorHAnsi"/>
                <w:b/>
                <w:sz w:val="22"/>
                <w:szCs w:val="22"/>
              </w:rPr>
              <w:t>districts and schools,</w:t>
            </w:r>
            <w:r w:rsidRPr="00A06029">
              <w:rPr>
                <w:rFonts w:asciiTheme="minorHAnsi" w:hAnsiTheme="minorHAnsi" w:cstheme="minorHAnsi"/>
                <w:sz w:val="22"/>
                <w:szCs w:val="22"/>
              </w:rPr>
              <w:t xml:space="preserve"> the renewal process is intended to:</w:t>
            </w:r>
          </w:p>
          <w:p w14:paraId="277F08E6" w14:textId="7E31E6B1"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Provide an opportunity for district and school leaders to formally share their assessment and analysis of school redesign efforts with </w:t>
            </w:r>
            <w:r w:rsidR="00CC06E7" w:rsidRPr="00A06029">
              <w:rPr>
                <w:rFonts w:asciiTheme="minorHAnsi" w:hAnsiTheme="minorHAnsi" w:cstheme="minorHAnsi"/>
                <w:sz w:val="22"/>
                <w:szCs w:val="22"/>
              </w:rPr>
              <w:t>D</w:t>
            </w:r>
            <w:r w:rsidRPr="00A06029">
              <w:rPr>
                <w:rFonts w:asciiTheme="minorHAnsi" w:hAnsiTheme="minorHAnsi" w:cstheme="minorHAnsi"/>
                <w:sz w:val="22"/>
                <w:szCs w:val="22"/>
              </w:rPr>
              <w:t>ESE.</w:t>
            </w:r>
          </w:p>
          <w:p w14:paraId="4F8519C6" w14:textId="77777777"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 xml:space="preserve">Ensure that there is ongoing district and school interaction with respect to the implementation and monitoring of school redesign efforts. </w:t>
            </w:r>
          </w:p>
          <w:p w14:paraId="403A9FF0" w14:textId="4FA619E9" w:rsidR="00CE23A2" w:rsidRPr="00A06029" w:rsidRDefault="00CE23A2" w:rsidP="00E221DE">
            <w:pPr>
              <w:pStyle w:val="ColorfulList-Accent11"/>
              <w:numPr>
                <w:ilvl w:val="0"/>
                <w:numId w:val="1"/>
              </w:numPr>
              <w:spacing w:before="40" w:after="40"/>
              <w:ind w:left="360"/>
              <w:rPr>
                <w:rFonts w:asciiTheme="minorHAnsi" w:hAnsiTheme="minorHAnsi" w:cstheme="minorHAnsi"/>
                <w:sz w:val="22"/>
                <w:szCs w:val="22"/>
              </w:rPr>
            </w:pPr>
            <w:r w:rsidRPr="00A06029">
              <w:rPr>
                <w:rFonts w:asciiTheme="minorHAnsi" w:hAnsiTheme="minorHAnsi" w:cstheme="minorHAnsi"/>
                <w:sz w:val="22"/>
                <w:szCs w:val="22"/>
              </w:rPr>
              <w:t>Document district and school analysis of data and subsequent setting of and revising</w:t>
            </w:r>
            <w:r w:rsidR="002E6FB8" w:rsidRPr="00A06029">
              <w:rPr>
                <w:rFonts w:asciiTheme="minorHAnsi" w:hAnsiTheme="minorHAnsi" w:cstheme="minorHAnsi"/>
                <w:sz w:val="22"/>
                <w:szCs w:val="22"/>
              </w:rPr>
              <w:t xml:space="preserve"> priorities, strategies,</w:t>
            </w:r>
            <w:r w:rsidRPr="00A06029">
              <w:rPr>
                <w:rFonts w:asciiTheme="minorHAnsi" w:hAnsiTheme="minorHAnsi" w:cstheme="minorHAnsi"/>
                <w:sz w:val="22"/>
                <w:szCs w:val="22"/>
              </w:rPr>
              <w:t xml:space="preserve"> benchmarks for the coming year.</w:t>
            </w:r>
          </w:p>
        </w:tc>
        <w:tc>
          <w:tcPr>
            <w:tcW w:w="5148" w:type="dxa"/>
            <w:shd w:val="clear" w:color="auto" w:fill="auto"/>
          </w:tcPr>
          <w:p w14:paraId="2416A051" w14:textId="6344FF74" w:rsidR="00CE23A2" w:rsidRPr="00A06029" w:rsidRDefault="00CE23A2" w:rsidP="00EC7769">
            <w:pPr>
              <w:spacing w:before="40" w:after="40"/>
              <w:rPr>
                <w:rFonts w:asciiTheme="minorHAnsi" w:hAnsiTheme="minorHAnsi" w:cstheme="minorHAnsi"/>
                <w:sz w:val="22"/>
                <w:szCs w:val="22"/>
              </w:rPr>
            </w:pPr>
            <w:r w:rsidRPr="00A06029">
              <w:rPr>
                <w:rFonts w:asciiTheme="minorHAnsi" w:hAnsiTheme="minorHAnsi" w:cstheme="minorHAnsi"/>
                <w:sz w:val="22"/>
                <w:szCs w:val="22"/>
              </w:rPr>
              <w:t xml:space="preserve">For </w:t>
            </w:r>
            <w:r w:rsidR="00CC06E7" w:rsidRPr="00A06029">
              <w:rPr>
                <w:rFonts w:asciiTheme="minorHAnsi" w:hAnsiTheme="minorHAnsi" w:cstheme="minorHAnsi"/>
                <w:b/>
                <w:sz w:val="22"/>
                <w:szCs w:val="22"/>
              </w:rPr>
              <w:t>DES</w:t>
            </w:r>
            <w:r w:rsidRPr="00A06029">
              <w:rPr>
                <w:rFonts w:asciiTheme="minorHAnsi" w:hAnsiTheme="minorHAnsi" w:cstheme="minorHAnsi"/>
                <w:b/>
                <w:sz w:val="22"/>
                <w:szCs w:val="22"/>
              </w:rPr>
              <w:t>E</w:t>
            </w:r>
            <w:r w:rsidRPr="00A06029">
              <w:rPr>
                <w:rFonts w:asciiTheme="minorHAnsi" w:hAnsiTheme="minorHAnsi" w:cstheme="minorHAnsi"/>
                <w:sz w:val="22"/>
                <w:szCs w:val="22"/>
              </w:rPr>
              <w:t>, the renewal process:</w:t>
            </w:r>
          </w:p>
          <w:p w14:paraId="13110D02" w14:textId="77777777" w:rsidR="00CE23A2" w:rsidRPr="00A06029" w:rsidRDefault="00CE23A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Serves as a way to collect and document effective and promising strategies, practices, and policies across school and district turnaround efforts.</w:t>
            </w:r>
          </w:p>
          <w:p w14:paraId="102CC771" w14:textId="3703753C" w:rsidR="00CE23A2" w:rsidRPr="00A06029" w:rsidRDefault="00F84702"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rPr>
              <w:t>Serves as</w:t>
            </w:r>
            <w:r w:rsidR="00CE23A2" w:rsidRPr="00A06029">
              <w:rPr>
                <w:rFonts w:asciiTheme="minorHAnsi" w:hAnsiTheme="minorHAnsi" w:cstheme="minorHAnsi"/>
                <w:sz w:val="22"/>
                <w:szCs w:val="22"/>
              </w:rPr>
              <w:t xml:space="preserve"> the primary means of </w:t>
            </w:r>
            <w:r w:rsidR="00CE23A2" w:rsidRPr="00A06029">
              <w:rPr>
                <w:rFonts w:asciiTheme="minorHAnsi" w:hAnsiTheme="minorHAnsi" w:cstheme="minorHAnsi"/>
                <w:sz w:val="22"/>
                <w:szCs w:val="22"/>
                <w:lang w:eastAsia="ja-JP"/>
              </w:rPr>
              <w:t>formally reviewing the progress of SRG</w:t>
            </w:r>
            <w:r w:rsidR="00CC06E7" w:rsidRPr="00A06029">
              <w:rPr>
                <w:rFonts w:asciiTheme="minorHAnsi" w:hAnsiTheme="minorHAnsi" w:cstheme="minorHAnsi"/>
                <w:sz w:val="22"/>
                <w:szCs w:val="22"/>
                <w:lang w:eastAsia="ja-JP"/>
              </w:rPr>
              <w:t>-</w:t>
            </w:r>
            <w:r w:rsidR="00CE23A2" w:rsidRPr="00A06029">
              <w:rPr>
                <w:rFonts w:asciiTheme="minorHAnsi" w:hAnsiTheme="minorHAnsi" w:cstheme="minorHAnsi"/>
                <w:sz w:val="22"/>
                <w:szCs w:val="22"/>
                <w:lang w:eastAsia="ja-JP"/>
              </w:rPr>
              <w:t xml:space="preserve">funded schools and districts in reference to stated goals and implementation </w:t>
            </w:r>
            <w:r w:rsidR="00C56B1B" w:rsidRPr="00A06029">
              <w:rPr>
                <w:rFonts w:asciiTheme="minorHAnsi" w:hAnsiTheme="minorHAnsi" w:cstheme="minorHAnsi"/>
                <w:sz w:val="22"/>
                <w:szCs w:val="22"/>
                <w:lang w:eastAsia="ja-JP"/>
              </w:rPr>
              <w:t xml:space="preserve">of </w:t>
            </w:r>
            <w:r w:rsidR="00CE23A2" w:rsidRPr="00A06029">
              <w:rPr>
                <w:rFonts w:asciiTheme="minorHAnsi" w:hAnsiTheme="minorHAnsi" w:cstheme="minorHAnsi"/>
                <w:sz w:val="22"/>
                <w:szCs w:val="22"/>
                <w:lang w:eastAsia="ja-JP"/>
              </w:rPr>
              <w:t>benchmarks.</w:t>
            </w:r>
          </w:p>
          <w:p w14:paraId="20EBF8FE" w14:textId="77777777" w:rsidR="00D3359E" w:rsidRPr="00A06029" w:rsidRDefault="00D3359E" w:rsidP="00E221DE">
            <w:pPr>
              <w:pStyle w:val="ColorfulList-Accent11"/>
              <w:numPr>
                <w:ilvl w:val="0"/>
                <w:numId w:val="1"/>
              </w:numPr>
              <w:spacing w:before="40" w:after="40"/>
              <w:ind w:left="432"/>
              <w:rPr>
                <w:rFonts w:asciiTheme="minorHAnsi" w:hAnsiTheme="minorHAnsi" w:cstheme="minorHAnsi"/>
                <w:sz w:val="22"/>
                <w:szCs w:val="22"/>
              </w:rPr>
            </w:pPr>
            <w:r w:rsidRPr="00A06029">
              <w:rPr>
                <w:rFonts w:asciiTheme="minorHAnsi" w:hAnsiTheme="minorHAnsi" w:cstheme="minorHAnsi"/>
                <w:sz w:val="22"/>
                <w:szCs w:val="22"/>
                <w:lang w:eastAsia="ja-JP"/>
              </w:rPr>
              <w:t xml:space="preserve">Is used as a critical piece of evidence for making </w:t>
            </w:r>
            <w:r w:rsidR="00C2262B" w:rsidRPr="00A06029">
              <w:rPr>
                <w:rFonts w:asciiTheme="minorHAnsi" w:hAnsiTheme="minorHAnsi" w:cstheme="minorHAnsi"/>
                <w:sz w:val="22"/>
                <w:szCs w:val="22"/>
                <w:lang w:eastAsia="ja-JP"/>
              </w:rPr>
              <w:t>continuation</w:t>
            </w:r>
            <w:r w:rsidRPr="00A06029">
              <w:rPr>
                <w:rFonts w:asciiTheme="minorHAnsi" w:hAnsiTheme="minorHAnsi" w:cstheme="minorHAnsi"/>
                <w:sz w:val="22"/>
                <w:szCs w:val="22"/>
                <w:lang w:eastAsia="ja-JP"/>
              </w:rPr>
              <w:t xml:space="preserve"> funding decisions </w:t>
            </w:r>
            <w:r w:rsidR="00266557" w:rsidRPr="00A06029">
              <w:rPr>
                <w:rFonts w:asciiTheme="minorHAnsi" w:hAnsiTheme="minorHAnsi" w:cstheme="minorHAnsi"/>
                <w:sz w:val="22"/>
                <w:szCs w:val="22"/>
                <w:lang w:eastAsia="ja-JP"/>
              </w:rPr>
              <w:t>(See “</w:t>
            </w:r>
            <w:r w:rsidR="009832D0" w:rsidRPr="00A06029">
              <w:rPr>
                <w:rFonts w:asciiTheme="minorHAnsi" w:hAnsiTheme="minorHAnsi" w:cstheme="minorHAnsi"/>
                <w:sz w:val="22"/>
                <w:szCs w:val="22"/>
                <w:lang w:eastAsia="ja-JP"/>
              </w:rPr>
              <w:t>Information used to make funding decisions</w:t>
            </w:r>
            <w:r w:rsidR="00266557" w:rsidRPr="00A06029">
              <w:rPr>
                <w:rFonts w:asciiTheme="minorHAnsi" w:hAnsiTheme="minorHAnsi" w:cstheme="minorHAnsi"/>
                <w:sz w:val="22"/>
                <w:szCs w:val="22"/>
                <w:lang w:eastAsia="ja-JP"/>
              </w:rPr>
              <w:t>” below)</w:t>
            </w:r>
            <w:r w:rsidR="0052509C" w:rsidRPr="00A06029">
              <w:rPr>
                <w:rFonts w:asciiTheme="minorHAnsi" w:hAnsiTheme="minorHAnsi" w:cstheme="minorHAnsi"/>
                <w:sz w:val="22"/>
                <w:szCs w:val="22"/>
                <w:lang w:eastAsia="ja-JP"/>
              </w:rPr>
              <w:t>.</w:t>
            </w:r>
            <w:r w:rsidRPr="00A06029">
              <w:rPr>
                <w:rFonts w:asciiTheme="minorHAnsi" w:hAnsiTheme="minorHAnsi" w:cstheme="minorHAnsi"/>
                <w:sz w:val="22"/>
                <w:szCs w:val="22"/>
                <w:lang w:eastAsia="ja-JP"/>
              </w:rPr>
              <w:t xml:space="preserve">  </w:t>
            </w:r>
          </w:p>
          <w:p w14:paraId="17BBF1EE" w14:textId="77777777" w:rsidR="00CE23A2" w:rsidRPr="00A06029" w:rsidRDefault="00CE23A2" w:rsidP="00D3359E">
            <w:pPr>
              <w:pStyle w:val="ColorfulList-Accent11"/>
              <w:spacing w:before="40" w:after="40"/>
              <w:ind w:left="432"/>
              <w:rPr>
                <w:rFonts w:asciiTheme="minorHAnsi" w:hAnsiTheme="minorHAnsi" w:cstheme="minorHAnsi"/>
                <w:sz w:val="22"/>
                <w:szCs w:val="22"/>
              </w:rPr>
            </w:pPr>
          </w:p>
        </w:tc>
      </w:tr>
    </w:tbl>
    <w:p w14:paraId="19A3C33F" w14:textId="73B9CFCD" w:rsidR="00AB09BA" w:rsidRPr="00A06029" w:rsidRDefault="0024265E" w:rsidP="001A301D">
      <w:pPr>
        <w:spacing w:before="120" w:after="120"/>
        <w:rPr>
          <w:rFonts w:asciiTheme="minorHAnsi" w:hAnsiTheme="minorHAnsi" w:cstheme="minorHAnsi"/>
          <w:b/>
          <w:sz w:val="22"/>
          <w:szCs w:val="22"/>
        </w:rPr>
      </w:pPr>
      <w:r w:rsidRPr="00A06029">
        <w:rPr>
          <w:rFonts w:asciiTheme="minorHAnsi" w:hAnsiTheme="minorHAnsi" w:cstheme="minorHAnsi"/>
          <w:b/>
          <w:sz w:val="22"/>
          <w:szCs w:val="22"/>
        </w:rPr>
        <w:t xml:space="preserve">SRG </w:t>
      </w:r>
      <w:r w:rsidR="002F72EB" w:rsidRPr="00A06029">
        <w:rPr>
          <w:rFonts w:asciiTheme="minorHAnsi" w:hAnsiTheme="minorHAnsi" w:cstheme="minorHAnsi"/>
          <w:b/>
          <w:sz w:val="22"/>
          <w:szCs w:val="22"/>
        </w:rPr>
        <w:t xml:space="preserve">renewal </w:t>
      </w:r>
      <w:r w:rsidR="0052509C" w:rsidRPr="00A06029">
        <w:rPr>
          <w:rFonts w:asciiTheme="minorHAnsi" w:hAnsiTheme="minorHAnsi" w:cstheme="minorHAnsi"/>
          <w:b/>
          <w:sz w:val="22"/>
          <w:szCs w:val="22"/>
        </w:rPr>
        <w:t>a</w:t>
      </w:r>
      <w:r w:rsidRPr="00A06029">
        <w:rPr>
          <w:rFonts w:asciiTheme="minorHAnsi" w:hAnsiTheme="minorHAnsi" w:cstheme="minorHAnsi"/>
          <w:b/>
          <w:sz w:val="22"/>
          <w:szCs w:val="22"/>
        </w:rPr>
        <w:t xml:space="preserve">pplication </w:t>
      </w:r>
      <w:r w:rsidR="00AC1831" w:rsidRPr="00A06029">
        <w:rPr>
          <w:rFonts w:asciiTheme="minorHAnsi" w:hAnsiTheme="minorHAnsi" w:cstheme="minorHAnsi"/>
          <w:b/>
          <w:sz w:val="22"/>
          <w:szCs w:val="22"/>
        </w:rPr>
        <w:t>process</w:t>
      </w:r>
      <w:r w:rsidRPr="00A06029">
        <w:rPr>
          <w:rFonts w:asciiTheme="minorHAnsi" w:hAnsiTheme="minorHAnsi" w:cstheme="minorHAnsi"/>
          <w:b/>
          <w:sz w:val="22"/>
          <w:szCs w:val="22"/>
        </w:rPr>
        <w:t>:</w:t>
      </w:r>
      <w:r w:rsidR="00F37361" w:rsidRPr="00A06029">
        <w:rPr>
          <w:rFonts w:asciiTheme="minorHAnsi" w:hAnsiTheme="minorHAnsi" w:cstheme="minorHAnsi"/>
          <w:b/>
          <w:sz w:val="22"/>
          <w:szCs w:val="22"/>
        </w:rPr>
        <w:t xml:space="preserve"> </w:t>
      </w:r>
    </w:p>
    <w:p w14:paraId="081CBF1F" w14:textId="46EF7742" w:rsidR="00E212CF" w:rsidRPr="00A06029" w:rsidRDefault="00AB09BA" w:rsidP="001A301D">
      <w:pPr>
        <w:spacing w:before="120" w:after="120"/>
        <w:rPr>
          <w:rFonts w:asciiTheme="minorHAnsi" w:hAnsiTheme="minorHAnsi" w:cstheme="minorHAnsi"/>
          <w:sz w:val="22"/>
          <w:szCs w:val="22"/>
          <w:u w:val="single"/>
        </w:rPr>
      </w:pPr>
      <w:r w:rsidRPr="00A06029">
        <w:rPr>
          <w:rFonts w:asciiTheme="minorHAnsi" w:hAnsiTheme="minorHAnsi" w:cstheme="minorHAnsi"/>
          <w:sz w:val="22"/>
          <w:szCs w:val="22"/>
        </w:rPr>
        <w:t xml:space="preserve">The SRG renewal process has been streamlined for the 2019-2020 school year. The updates the school makes to their turnaround plan will provide the great majority of the application for </w:t>
      </w:r>
      <w:r w:rsidR="00362430" w:rsidRPr="00A06029">
        <w:rPr>
          <w:rFonts w:asciiTheme="minorHAnsi" w:hAnsiTheme="minorHAnsi" w:cstheme="minorHAnsi"/>
          <w:sz w:val="22"/>
          <w:szCs w:val="22"/>
        </w:rPr>
        <w:t xml:space="preserve">the </w:t>
      </w:r>
      <w:r w:rsidRPr="00A06029">
        <w:rPr>
          <w:rFonts w:asciiTheme="minorHAnsi" w:hAnsiTheme="minorHAnsi" w:cstheme="minorHAnsi"/>
          <w:sz w:val="22"/>
          <w:szCs w:val="22"/>
        </w:rPr>
        <w:t>SRG. Please note, DESE is not asking schools to rewrite their turnaround plan.</w:t>
      </w:r>
      <w:r w:rsidR="00F84702" w:rsidRPr="00A06029">
        <w:rPr>
          <w:rFonts w:asciiTheme="minorHAnsi" w:hAnsiTheme="minorHAnsi" w:cstheme="minorHAnsi"/>
          <w:sz w:val="22"/>
          <w:szCs w:val="22"/>
        </w:rPr>
        <w:t xml:space="preserve"> </w:t>
      </w:r>
      <w:r w:rsidR="004A27CB" w:rsidRPr="00A06029">
        <w:rPr>
          <w:rFonts w:asciiTheme="minorHAnsi" w:hAnsiTheme="minorHAnsi" w:cstheme="minorHAnsi"/>
          <w:sz w:val="22"/>
          <w:szCs w:val="22"/>
        </w:rPr>
        <w:t xml:space="preserve">Instead, we </w:t>
      </w:r>
      <w:r w:rsidR="00F84702" w:rsidRPr="00A06029">
        <w:rPr>
          <w:rFonts w:asciiTheme="minorHAnsi" w:hAnsiTheme="minorHAnsi" w:cstheme="minorHAnsi"/>
          <w:sz w:val="22"/>
          <w:szCs w:val="22"/>
        </w:rPr>
        <w:t>are asking schools to</w:t>
      </w:r>
      <w:r w:rsidRPr="00A06029">
        <w:rPr>
          <w:rFonts w:asciiTheme="minorHAnsi" w:hAnsiTheme="minorHAnsi" w:cstheme="minorHAnsi"/>
          <w:sz w:val="22"/>
          <w:szCs w:val="22"/>
        </w:rPr>
        <w:t xml:space="preserve"> add language to the end of sections that reflect their most current thinking</w:t>
      </w:r>
      <w:r w:rsidR="00F84702" w:rsidRPr="00A06029">
        <w:rPr>
          <w:rFonts w:asciiTheme="minorHAnsi" w:hAnsiTheme="minorHAnsi" w:cstheme="minorHAnsi"/>
          <w:sz w:val="22"/>
          <w:szCs w:val="22"/>
        </w:rPr>
        <w:t xml:space="preserve"> and</w:t>
      </w:r>
      <w:r w:rsidR="00E212CF" w:rsidRPr="00A06029">
        <w:rPr>
          <w:rFonts w:asciiTheme="minorHAnsi" w:hAnsiTheme="minorHAnsi" w:cstheme="minorHAnsi"/>
          <w:sz w:val="22"/>
          <w:szCs w:val="22"/>
        </w:rPr>
        <w:t xml:space="preserve"> </w:t>
      </w:r>
      <w:r w:rsidR="001B5A43" w:rsidRPr="00A06029">
        <w:rPr>
          <w:rFonts w:asciiTheme="minorHAnsi" w:hAnsiTheme="minorHAnsi" w:cstheme="minorHAnsi"/>
          <w:sz w:val="22"/>
          <w:szCs w:val="22"/>
        </w:rPr>
        <w:t xml:space="preserve">to </w:t>
      </w:r>
      <w:r w:rsidR="00E212CF" w:rsidRPr="00A06029">
        <w:rPr>
          <w:rFonts w:asciiTheme="minorHAnsi" w:hAnsiTheme="minorHAnsi" w:cstheme="minorHAnsi"/>
          <w:sz w:val="22"/>
          <w:szCs w:val="22"/>
        </w:rPr>
        <w:t xml:space="preserve">replace last year’s benchmarks and Measurable Annual Goals (MAGs) with new benchmarks and goals for the upcoming year. </w:t>
      </w:r>
      <w:r w:rsidR="00E212CF" w:rsidRPr="00A06029">
        <w:rPr>
          <w:rFonts w:asciiTheme="minorHAnsi" w:hAnsiTheme="minorHAnsi" w:cstheme="minorHAnsi"/>
          <w:sz w:val="22"/>
          <w:szCs w:val="22"/>
          <w:u w:val="single"/>
        </w:rPr>
        <w:t>This is an update to the turnaround plan, not a rewriting of one.</w:t>
      </w:r>
    </w:p>
    <w:p w14:paraId="7C43B7D6" w14:textId="710AF203" w:rsidR="00E212CF" w:rsidRPr="00A06029" w:rsidRDefault="00E212CF" w:rsidP="001A301D">
      <w:pPr>
        <w:spacing w:before="120" w:after="120"/>
        <w:rPr>
          <w:rFonts w:asciiTheme="minorHAnsi" w:hAnsiTheme="minorHAnsi" w:cstheme="minorHAnsi"/>
          <w:sz w:val="22"/>
          <w:szCs w:val="22"/>
        </w:rPr>
      </w:pPr>
      <w:r w:rsidRPr="00A06029">
        <w:rPr>
          <w:rFonts w:asciiTheme="minorHAnsi" w:hAnsiTheme="minorHAnsi" w:cstheme="minorHAnsi"/>
          <w:sz w:val="22"/>
          <w:szCs w:val="22"/>
        </w:rPr>
        <w:t>Below, schools</w:t>
      </w:r>
      <w:r w:rsidR="002E6FB8" w:rsidRPr="00A06029">
        <w:rPr>
          <w:rFonts w:asciiTheme="minorHAnsi" w:hAnsiTheme="minorHAnsi" w:cstheme="minorHAnsi"/>
          <w:sz w:val="22"/>
          <w:szCs w:val="22"/>
        </w:rPr>
        <w:t xml:space="preserve"> and districts can see where and how</w:t>
      </w:r>
      <w:r w:rsidRPr="00A06029">
        <w:rPr>
          <w:rFonts w:asciiTheme="minorHAnsi" w:hAnsiTheme="minorHAnsi" w:cstheme="minorHAnsi"/>
          <w:sz w:val="22"/>
          <w:szCs w:val="22"/>
        </w:rPr>
        <w:t xml:space="preserve"> their </w:t>
      </w:r>
      <w:r w:rsidR="008C028A" w:rsidRPr="00A06029">
        <w:rPr>
          <w:rFonts w:asciiTheme="minorHAnsi" w:hAnsiTheme="minorHAnsi" w:cstheme="minorHAnsi"/>
          <w:sz w:val="22"/>
          <w:szCs w:val="22"/>
        </w:rPr>
        <w:t xml:space="preserve">school’s </w:t>
      </w:r>
      <w:r w:rsidRPr="00A06029">
        <w:rPr>
          <w:rFonts w:asciiTheme="minorHAnsi" w:hAnsiTheme="minorHAnsi" w:cstheme="minorHAnsi"/>
          <w:sz w:val="22"/>
          <w:szCs w:val="22"/>
        </w:rPr>
        <w:t>existing turnaround plan</w:t>
      </w:r>
      <w:r w:rsidR="002E6FB8" w:rsidRPr="00A06029">
        <w:rPr>
          <w:rFonts w:asciiTheme="minorHAnsi" w:hAnsiTheme="minorHAnsi" w:cstheme="minorHAnsi"/>
          <w:sz w:val="22"/>
          <w:szCs w:val="22"/>
        </w:rPr>
        <w:t xml:space="preserve"> is to be updated</w:t>
      </w:r>
      <w:r w:rsidRPr="00A06029">
        <w:rPr>
          <w:rFonts w:asciiTheme="minorHAnsi" w:hAnsiTheme="minorHAnsi" w:cstheme="minorHAnsi"/>
          <w:sz w:val="22"/>
          <w:szCs w:val="22"/>
        </w:rPr>
        <w:t>. This is not to be used</w:t>
      </w:r>
      <w:r w:rsidR="002E6FB8" w:rsidRPr="00A06029">
        <w:rPr>
          <w:rFonts w:asciiTheme="minorHAnsi" w:hAnsiTheme="minorHAnsi" w:cstheme="minorHAnsi"/>
          <w:sz w:val="22"/>
          <w:szCs w:val="22"/>
        </w:rPr>
        <w:t xml:space="preserve"> as a template, rather it is </w:t>
      </w:r>
      <w:r w:rsidRPr="00A06029">
        <w:rPr>
          <w:rFonts w:asciiTheme="minorHAnsi" w:hAnsiTheme="minorHAnsi" w:cstheme="minorHAnsi"/>
          <w:sz w:val="22"/>
          <w:szCs w:val="22"/>
        </w:rPr>
        <w:t>provide</w:t>
      </w:r>
      <w:r w:rsidR="002E6FB8" w:rsidRPr="00A06029">
        <w:rPr>
          <w:rFonts w:asciiTheme="minorHAnsi" w:hAnsiTheme="minorHAnsi" w:cstheme="minorHAnsi"/>
          <w:sz w:val="22"/>
          <w:szCs w:val="22"/>
        </w:rPr>
        <w:t>d</w:t>
      </w:r>
      <w:r w:rsidRPr="00A06029">
        <w:rPr>
          <w:rFonts w:asciiTheme="minorHAnsi" w:hAnsiTheme="minorHAnsi" w:cstheme="minorHAnsi"/>
          <w:sz w:val="22"/>
          <w:szCs w:val="22"/>
        </w:rPr>
        <w:t xml:space="preserve"> </w:t>
      </w:r>
      <w:r w:rsidR="002E6FB8" w:rsidRPr="00A06029">
        <w:rPr>
          <w:rFonts w:asciiTheme="minorHAnsi" w:hAnsiTheme="minorHAnsi" w:cstheme="minorHAnsi"/>
          <w:sz w:val="22"/>
          <w:szCs w:val="22"/>
        </w:rPr>
        <w:t xml:space="preserve">as </w:t>
      </w:r>
      <w:r w:rsidRPr="00A06029">
        <w:rPr>
          <w:rFonts w:asciiTheme="minorHAnsi" w:hAnsiTheme="minorHAnsi" w:cstheme="minorHAnsi"/>
          <w:sz w:val="22"/>
          <w:szCs w:val="22"/>
        </w:rPr>
        <w:t xml:space="preserve">a visual example of where the updates to the turnaround plans will be placed. </w:t>
      </w:r>
      <w:r w:rsidR="000B315B" w:rsidRPr="00A06029">
        <w:rPr>
          <w:rFonts w:asciiTheme="minorHAnsi" w:hAnsiTheme="minorHAnsi" w:cstheme="minorHAnsi"/>
          <w:sz w:val="22"/>
          <w:szCs w:val="22"/>
        </w:rPr>
        <w:t xml:space="preserve">The DESE has provided myriad resources around turnaround plan guidance. Even schools that are updating their turnaround plan can find resources to aid in the process. Go </w:t>
      </w:r>
      <w:hyperlink r:id="rId20" w:history="1">
        <w:r w:rsidR="000B315B" w:rsidRPr="00A06029">
          <w:rPr>
            <w:rStyle w:val="Hyperlink"/>
            <w:rFonts w:asciiTheme="minorHAnsi" w:hAnsiTheme="minorHAnsi" w:cstheme="minorHAnsi"/>
            <w:sz w:val="22"/>
            <w:szCs w:val="22"/>
          </w:rPr>
          <w:t>here</w:t>
        </w:r>
      </w:hyperlink>
      <w:r w:rsidR="000B315B" w:rsidRPr="00A06029">
        <w:rPr>
          <w:rFonts w:asciiTheme="minorHAnsi" w:hAnsiTheme="minorHAnsi" w:cstheme="minorHAnsi"/>
          <w:sz w:val="22"/>
          <w:szCs w:val="22"/>
        </w:rPr>
        <w:t xml:space="preserve"> for turnaround plan guidance.</w:t>
      </w:r>
    </w:p>
    <w:p w14:paraId="3C772D4F" w14:textId="20E498D0" w:rsidR="00AC1831" w:rsidRPr="00A06029" w:rsidRDefault="00AC1831" w:rsidP="00AC1831">
      <w:pPr>
        <w:rPr>
          <w:rFonts w:asciiTheme="minorHAnsi" w:eastAsia="Calibri" w:hAnsiTheme="minorHAnsi" w:cstheme="minorHAnsi"/>
          <w:b/>
          <w:bCs/>
          <w:color w:val="000066"/>
          <w:sz w:val="22"/>
          <w:szCs w:val="22"/>
        </w:rPr>
      </w:pPr>
      <w:bookmarkStart w:id="0" w:name="Executive_Summary"/>
      <w:bookmarkStart w:id="1" w:name="_Toc399668988"/>
      <w:r w:rsidRPr="00A06029">
        <w:rPr>
          <w:rFonts w:asciiTheme="minorHAnsi" w:eastAsia="Calibri" w:hAnsiTheme="minorHAnsi" w:cstheme="minorHAnsi"/>
          <w:b/>
          <w:color w:val="000066"/>
          <w:sz w:val="22"/>
          <w:szCs w:val="22"/>
        </w:rPr>
        <w:t>SECTION I: Executive Summary</w:t>
      </w:r>
      <w:bookmarkEnd w:id="0"/>
      <w:bookmarkEnd w:id="1"/>
      <w:r w:rsidRPr="00A06029">
        <w:rPr>
          <w:rFonts w:asciiTheme="minorHAnsi" w:eastAsia="Calibri" w:hAnsiTheme="minorHAnsi" w:cstheme="minorHAnsi"/>
          <w:b/>
          <w:color w:val="000066"/>
          <w:sz w:val="22"/>
          <w:szCs w:val="22"/>
        </w:rPr>
        <w:tab/>
      </w:r>
    </w:p>
    <w:p w14:paraId="7B0C6B9C" w14:textId="1EE325ED" w:rsidR="00A156DB" w:rsidRPr="00A06029" w:rsidRDefault="00A156DB" w:rsidP="00A156DB">
      <w:pPr>
        <w:spacing w:before="40"/>
        <w:rPr>
          <w:rFonts w:asciiTheme="minorHAnsi" w:hAnsiTheme="minorHAnsi" w:cstheme="minorHAnsi"/>
          <w:b/>
          <w:sz w:val="22"/>
          <w:szCs w:val="22"/>
        </w:rPr>
      </w:pPr>
      <w:r w:rsidRPr="00A06029">
        <w:rPr>
          <w:rFonts w:asciiTheme="minorHAnsi" w:hAnsiTheme="minorHAnsi" w:cstheme="minorHAnsi"/>
          <w:sz w:val="22"/>
          <w:szCs w:val="22"/>
        </w:rPr>
        <w:t xml:space="preserve">This section is intended to succinctly summarize the turnaround plan for the school. The verbiage should be written in a manner that the average person can comprehend the overall approach of the school. </w:t>
      </w:r>
    </w:p>
    <w:p w14:paraId="077B29DD" w14:textId="77777777" w:rsidR="00A156DB" w:rsidRPr="00A06029" w:rsidRDefault="00A156DB" w:rsidP="00AC1831">
      <w:pPr>
        <w:rPr>
          <w:rFonts w:asciiTheme="minorHAnsi" w:eastAsia="Times New Roman" w:hAnsiTheme="minorHAnsi" w:cstheme="minorHAnsi"/>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AC1831" w:rsidRPr="00A06029" w14:paraId="747EEAA5" w14:textId="77777777" w:rsidTr="00AC1831">
        <w:trPr>
          <w:trHeight w:val="710"/>
        </w:trPr>
        <w:tc>
          <w:tcPr>
            <w:tcW w:w="9756" w:type="dxa"/>
            <w:shd w:val="clear" w:color="auto" w:fill="auto"/>
          </w:tcPr>
          <w:p w14:paraId="23614333" w14:textId="0D3FF2A3" w:rsidR="00AC1831" w:rsidRPr="00A06029" w:rsidRDefault="00AC1831" w:rsidP="00AC1831">
            <w:pPr>
              <w:spacing w:line="276" w:lineRule="auto"/>
              <w:rPr>
                <w:rFonts w:asciiTheme="minorHAnsi" w:eastAsia="Times New Roman" w:hAnsiTheme="minorHAnsi" w:cstheme="minorHAnsi"/>
                <w:sz w:val="22"/>
                <w:szCs w:val="22"/>
              </w:rPr>
            </w:pPr>
            <w:r w:rsidRPr="00A06029">
              <w:rPr>
                <w:rFonts w:asciiTheme="minorHAnsi" w:eastAsia="Times New Roman" w:hAnsiTheme="minorHAnsi" w:cstheme="minorHAnsi"/>
                <w:sz w:val="22"/>
                <w:szCs w:val="22"/>
              </w:rPr>
              <w:t>School will keep the language that was already written for previous iter</w:t>
            </w:r>
            <w:r w:rsidR="004A3A9D" w:rsidRPr="00A06029">
              <w:rPr>
                <w:rFonts w:asciiTheme="minorHAnsi" w:eastAsia="Times New Roman" w:hAnsiTheme="minorHAnsi" w:cstheme="minorHAnsi"/>
                <w:sz w:val="22"/>
                <w:szCs w:val="22"/>
              </w:rPr>
              <w:t xml:space="preserve">ations of their turnaround plan, and provide an update </w:t>
            </w:r>
            <w:r w:rsidR="00E212CF" w:rsidRPr="00A06029">
              <w:rPr>
                <w:rFonts w:asciiTheme="minorHAnsi" w:eastAsia="Times New Roman" w:hAnsiTheme="minorHAnsi" w:cstheme="minorHAnsi"/>
                <w:sz w:val="22"/>
                <w:szCs w:val="22"/>
              </w:rPr>
              <w:t>at the end</w:t>
            </w:r>
            <w:r w:rsidRPr="00A06029">
              <w:rPr>
                <w:rFonts w:asciiTheme="minorHAnsi" w:eastAsia="Times New Roman" w:hAnsiTheme="minorHAnsi" w:cstheme="minorHAnsi"/>
                <w:sz w:val="22"/>
                <w:szCs w:val="22"/>
              </w:rPr>
              <w:t>.</w:t>
            </w:r>
          </w:p>
          <w:p w14:paraId="655BB7EB" w14:textId="77777777" w:rsidR="00AC1831" w:rsidRPr="00A06029" w:rsidRDefault="00AC1831" w:rsidP="00AC1831">
            <w:pPr>
              <w:tabs>
                <w:tab w:val="left" w:pos="7308"/>
                <w:tab w:val="left" w:pos="8568"/>
              </w:tabs>
              <w:rPr>
                <w:rFonts w:asciiTheme="minorHAnsi" w:eastAsia="Times New Roman" w:hAnsiTheme="minorHAnsi" w:cstheme="minorHAnsi"/>
                <w:i/>
                <w:sz w:val="22"/>
                <w:szCs w:val="22"/>
              </w:rPr>
            </w:pPr>
          </w:p>
          <w:p w14:paraId="0AAB9BA6" w14:textId="3E860960" w:rsidR="00AC1831" w:rsidRPr="00A06029" w:rsidRDefault="00AC1831" w:rsidP="00AC1831">
            <w:pPr>
              <w:tabs>
                <w:tab w:val="left" w:pos="7308"/>
                <w:tab w:val="left" w:pos="8568"/>
              </w:tabs>
              <w:rPr>
                <w:rFonts w:asciiTheme="minorHAnsi" w:eastAsia="Times New Roman" w:hAnsiTheme="minorHAnsi" w:cstheme="minorHAnsi"/>
                <w:sz w:val="22"/>
                <w:szCs w:val="22"/>
              </w:rPr>
            </w:pPr>
            <w:r w:rsidRPr="00A06029">
              <w:rPr>
                <w:rFonts w:asciiTheme="minorHAnsi" w:eastAsia="Times New Roman" w:hAnsiTheme="minorHAnsi" w:cstheme="minorHAnsi"/>
                <w:sz w:val="22"/>
                <w:szCs w:val="22"/>
                <w:highlight w:val="yellow"/>
              </w:rPr>
              <w:t>FY20 Update</w:t>
            </w:r>
            <w:r w:rsidR="00362430" w:rsidRPr="00A06029">
              <w:rPr>
                <w:rFonts w:asciiTheme="minorHAnsi" w:eastAsia="Times New Roman" w:hAnsiTheme="minorHAnsi" w:cstheme="minorHAnsi"/>
                <w:sz w:val="22"/>
                <w:szCs w:val="22"/>
              </w:rPr>
              <w:t xml:space="preserve">: </w:t>
            </w:r>
            <w:r w:rsidRPr="00A06029">
              <w:rPr>
                <w:rFonts w:asciiTheme="minorHAnsi" w:eastAsia="Times New Roman" w:hAnsiTheme="minorHAnsi" w:cstheme="minorHAnsi"/>
                <w:sz w:val="22"/>
                <w:szCs w:val="22"/>
              </w:rPr>
              <w:t>Add any changes and updates to the turnaround plan</w:t>
            </w:r>
            <w:r w:rsidR="00362430" w:rsidRPr="00A06029">
              <w:rPr>
                <w:rFonts w:asciiTheme="minorHAnsi" w:eastAsia="Times New Roman" w:hAnsiTheme="minorHAnsi" w:cstheme="minorHAnsi"/>
                <w:sz w:val="22"/>
                <w:szCs w:val="22"/>
              </w:rPr>
              <w:t xml:space="preserve"> for the 2019-2020 school year.</w:t>
            </w:r>
          </w:p>
        </w:tc>
      </w:tr>
    </w:tbl>
    <w:p w14:paraId="43FCB6C0" w14:textId="0ADA23B2" w:rsidR="00AC1831" w:rsidRPr="00A06029" w:rsidRDefault="00AC1831" w:rsidP="00AC1831">
      <w:pPr>
        <w:rPr>
          <w:rFonts w:asciiTheme="minorHAnsi" w:eastAsia="Calibri" w:hAnsiTheme="minorHAnsi" w:cstheme="minorHAnsi"/>
          <w:bCs/>
          <w:color w:val="000066"/>
          <w:sz w:val="22"/>
          <w:szCs w:val="22"/>
        </w:rPr>
      </w:pPr>
      <w:bookmarkStart w:id="2" w:name="_Toc399668989"/>
      <w:bookmarkStart w:id="3" w:name="Priority_Areas"/>
    </w:p>
    <w:p w14:paraId="62BE8091" w14:textId="77777777" w:rsidR="00B43ED1" w:rsidRPr="00A06029" w:rsidRDefault="00B43ED1" w:rsidP="00AC1831">
      <w:pPr>
        <w:rPr>
          <w:rFonts w:asciiTheme="minorHAnsi" w:eastAsia="Calibri" w:hAnsiTheme="minorHAnsi" w:cstheme="minorHAnsi"/>
          <w:b/>
          <w:bCs/>
          <w:color w:val="000066"/>
          <w:sz w:val="22"/>
          <w:szCs w:val="22"/>
        </w:rPr>
      </w:pPr>
    </w:p>
    <w:p w14:paraId="0E28AFA6" w14:textId="5AD2C438" w:rsidR="00AC1831" w:rsidRPr="00A06029" w:rsidRDefault="00AC1831" w:rsidP="00AC1831">
      <w:pPr>
        <w:rPr>
          <w:rFonts w:asciiTheme="minorHAnsi" w:eastAsia="Calibri" w:hAnsiTheme="minorHAnsi" w:cstheme="minorHAnsi"/>
          <w:b/>
          <w:bCs/>
          <w:color w:val="000066"/>
          <w:sz w:val="22"/>
          <w:szCs w:val="22"/>
        </w:rPr>
      </w:pPr>
      <w:r w:rsidRPr="00A06029">
        <w:rPr>
          <w:rFonts w:asciiTheme="minorHAnsi" w:eastAsia="Calibri" w:hAnsiTheme="minorHAnsi" w:cstheme="minorHAnsi"/>
          <w:b/>
          <w:bCs/>
          <w:color w:val="000066"/>
          <w:sz w:val="22"/>
          <w:szCs w:val="22"/>
        </w:rPr>
        <w:t>SECTION II: Turnaround Practices for the School and District</w:t>
      </w:r>
      <w:bookmarkEnd w:id="2"/>
      <w:r w:rsidRPr="00A06029">
        <w:rPr>
          <w:rFonts w:asciiTheme="minorHAnsi" w:eastAsia="Calibri" w:hAnsiTheme="minorHAnsi" w:cstheme="minorHAnsi"/>
          <w:b/>
          <w:bCs/>
          <w:color w:val="000066"/>
          <w:sz w:val="22"/>
          <w:szCs w:val="22"/>
        </w:rPr>
        <w:t xml:space="preserve"> </w:t>
      </w:r>
    </w:p>
    <w:bookmarkEnd w:id="3"/>
    <w:p w14:paraId="353D497F" w14:textId="551F5121" w:rsidR="00A156DB" w:rsidRPr="00A06029" w:rsidRDefault="00A156DB" w:rsidP="00A156DB">
      <w:pPr>
        <w:spacing w:before="40"/>
        <w:rPr>
          <w:rFonts w:asciiTheme="minorHAnsi" w:hAnsiTheme="minorHAnsi" w:cstheme="minorHAnsi"/>
          <w:sz w:val="22"/>
          <w:szCs w:val="22"/>
        </w:rPr>
      </w:pPr>
      <w:r w:rsidRPr="00A06029">
        <w:rPr>
          <w:rFonts w:asciiTheme="minorHAnsi" w:hAnsiTheme="minorHAnsi" w:cstheme="minorHAnsi"/>
          <w:sz w:val="22"/>
          <w:szCs w:val="22"/>
        </w:rPr>
        <w:t xml:space="preserve">This section is intended for schools to list the current turnaround strategies, what they plan on modifying or changing for next year, and what benchmarks will be used to gauge progress. This section will capture the essential questions of what worked, what did not work, how did you know, what </w:t>
      </w:r>
      <w:r w:rsidRPr="00A06029">
        <w:rPr>
          <w:rFonts w:asciiTheme="minorHAnsi" w:hAnsiTheme="minorHAnsi" w:cstheme="minorHAnsi"/>
          <w:sz w:val="22"/>
          <w:szCs w:val="22"/>
        </w:rPr>
        <w:lastRenderedPageBreak/>
        <w:t>successes will be leveraged</w:t>
      </w:r>
      <w:r w:rsidR="00B43ED1" w:rsidRPr="00A06029">
        <w:rPr>
          <w:rFonts w:asciiTheme="minorHAnsi" w:hAnsiTheme="minorHAnsi" w:cstheme="minorHAnsi"/>
          <w:sz w:val="22"/>
          <w:szCs w:val="22"/>
        </w:rPr>
        <w:t>,</w:t>
      </w:r>
      <w:r w:rsidRPr="00A06029">
        <w:rPr>
          <w:rFonts w:asciiTheme="minorHAnsi" w:hAnsiTheme="minorHAnsi" w:cstheme="minorHAnsi"/>
          <w:sz w:val="22"/>
          <w:szCs w:val="22"/>
        </w:rPr>
        <w:t xml:space="preserve"> and what changes will be made. The school will use evidence and data to support their answers. Schools will answer the aforementioned questions for </w:t>
      </w:r>
      <w:r w:rsidRPr="00A06029">
        <w:rPr>
          <w:rFonts w:asciiTheme="minorHAnsi" w:hAnsiTheme="minorHAnsi" w:cstheme="minorHAnsi"/>
          <w:sz w:val="22"/>
          <w:szCs w:val="22"/>
          <w:u w:val="single"/>
        </w:rPr>
        <w:t>each</w:t>
      </w:r>
      <w:r w:rsidRPr="00A06029">
        <w:rPr>
          <w:rFonts w:asciiTheme="minorHAnsi" w:hAnsiTheme="minorHAnsi" w:cstheme="minorHAnsi"/>
          <w:sz w:val="22"/>
          <w:szCs w:val="22"/>
        </w:rPr>
        <w:t xml:space="preserve"> turnaround practice.</w:t>
      </w:r>
    </w:p>
    <w:p w14:paraId="0B395A64" w14:textId="77777777" w:rsidR="00A156DB" w:rsidRPr="00A06029" w:rsidRDefault="00A156DB" w:rsidP="00A156DB">
      <w:pPr>
        <w:spacing w:before="40"/>
        <w:rPr>
          <w:rFonts w:asciiTheme="minorHAnsi" w:hAnsiTheme="minorHAnsi" w:cstheme="minorHAnsi"/>
          <w:sz w:val="22"/>
          <w:szCs w:val="22"/>
        </w:rPr>
      </w:pPr>
    </w:p>
    <w:p w14:paraId="324D6C38" w14:textId="39B47F0A" w:rsidR="00A156DB" w:rsidRPr="00A06029" w:rsidRDefault="00B43ED1" w:rsidP="00A156DB">
      <w:pPr>
        <w:spacing w:before="40"/>
        <w:rPr>
          <w:rFonts w:asciiTheme="minorHAnsi" w:hAnsiTheme="minorHAnsi" w:cstheme="minorHAnsi"/>
          <w:sz w:val="22"/>
          <w:szCs w:val="22"/>
        </w:rPr>
      </w:pPr>
      <w:r w:rsidRPr="00A06029">
        <w:rPr>
          <w:rFonts w:asciiTheme="minorHAnsi" w:hAnsiTheme="minorHAnsi" w:cstheme="minorHAnsi"/>
          <w:sz w:val="22"/>
          <w:szCs w:val="22"/>
        </w:rPr>
        <w:t>Next, f</w:t>
      </w:r>
      <w:r w:rsidR="00A156DB" w:rsidRPr="00A06029">
        <w:rPr>
          <w:rFonts w:asciiTheme="minorHAnsi" w:hAnsiTheme="minorHAnsi" w:cstheme="minorHAnsi"/>
          <w:sz w:val="22"/>
          <w:szCs w:val="22"/>
        </w:rPr>
        <w:t xml:space="preserve">or </w:t>
      </w:r>
      <w:r w:rsidR="00A156DB" w:rsidRPr="00A06029">
        <w:rPr>
          <w:rFonts w:asciiTheme="minorHAnsi" w:hAnsiTheme="minorHAnsi" w:cstheme="minorHAnsi"/>
          <w:sz w:val="22"/>
          <w:szCs w:val="22"/>
          <w:u w:val="single"/>
        </w:rPr>
        <w:t>at least one</w:t>
      </w:r>
      <w:r w:rsidR="00A156DB" w:rsidRPr="00A06029">
        <w:rPr>
          <w:rFonts w:asciiTheme="minorHAnsi" w:hAnsiTheme="minorHAnsi" w:cstheme="minorHAnsi"/>
          <w:sz w:val="22"/>
          <w:szCs w:val="22"/>
        </w:rPr>
        <w:t xml:space="preserve"> turnaround practice, the school will provide explanation on:</w:t>
      </w:r>
    </w:p>
    <w:p w14:paraId="5F3D7B88" w14:textId="4FF5CF27" w:rsidR="00A156DB" w:rsidRPr="00A06029" w:rsidRDefault="00A156DB" w:rsidP="00A156DB">
      <w:pPr>
        <w:pStyle w:val="ListParagraph"/>
        <w:numPr>
          <w:ilvl w:val="0"/>
          <w:numId w:val="47"/>
        </w:numPr>
        <w:spacing w:before="40"/>
        <w:ind w:left="780"/>
        <w:rPr>
          <w:rFonts w:asciiTheme="minorHAnsi" w:hAnsiTheme="minorHAnsi" w:cstheme="minorHAnsi"/>
          <w:sz w:val="22"/>
          <w:szCs w:val="22"/>
        </w:rPr>
      </w:pPr>
      <w:r w:rsidRPr="00A06029">
        <w:rPr>
          <w:rFonts w:asciiTheme="minorHAnsi" w:hAnsiTheme="minorHAnsi" w:cstheme="minorHAnsi"/>
          <w:sz w:val="22"/>
          <w:szCs w:val="22"/>
        </w:rPr>
        <w:t>What supports are the district providing to aid in turnaround efforts at the school</w:t>
      </w:r>
      <w:r w:rsidR="002E6FB8" w:rsidRPr="00A06029">
        <w:rPr>
          <w:rFonts w:asciiTheme="minorHAnsi" w:hAnsiTheme="minorHAnsi" w:cstheme="minorHAnsi"/>
          <w:sz w:val="22"/>
          <w:szCs w:val="22"/>
        </w:rPr>
        <w:t xml:space="preserve"> AND</w:t>
      </w:r>
    </w:p>
    <w:p w14:paraId="2418E083" w14:textId="4A661DE0" w:rsidR="00D3684B" w:rsidRPr="00A06029" w:rsidRDefault="00D3684B" w:rsidP="00A156DB">
      <w:pPr>
        <w:pStyle w:val="ListParagraph"/>
        <w:numPr>
          <w:ilvl w:val="0"/>
          <w:numId w:val="47"/>
        </w:numPr>
        <w:spacing w:before="40"/>
        <w:ind w:left="780"/>
        <w:rPr>
          <w:rFonts w:asciiTheme="minorHAnsi" w:hAnsiTheme="minorHAnsi" w:cstheme="minorHAnsi"/>
          <w:sz w:val="22"/>
          <w:szCs w:val="22"/>
        </w:rPr>
      </w:pPr>
      <w:r w:rsidRPr="00A06029">
        <w:rPr>
          <w:rFonts w:asciiTheme="minorHAnsi" w:hAnsiTheme="minorHAnsi" w:cstheme="minorHAnsi"/>
          <w:sz w:val="22"/>
          <w:szCs w:val="22"/>
        </w:rPr>
        <w:t>District efforts to monitor implementation of turnaround plan initiatives AND</w:t>
      </w:r>
    </w:p>
    <w:p w14:paraId="54B8EC6B" w14:textId="77777777" w:rsidR="00A156DB" w:rsidRPr="00A06029" w:rsidRDefault="00A156DB" w:rsidP="00A156DB">
      <w:pPr>
        <w:pStyle w:val="ListParagraph"/>
        <w:numPr>
          <w:ilvl w:val="0"/>
          <w:numId w:val="47"/>
        </w:numPr>
        <w:spacing w:before="40"/>
        <w:ind w:left="780"/>
        <w:rPr>
          <w:rFonts w:asciiTheme="minorHAnsi" w:hAnsiTheme="minorHAnsi" w:cstheme="minorHAnsi"/>
          <w:sz w:val="22"/>
          <w:szCs w:val="22"/>
        </w:rPr>
      </w:pPr>
      <w:r w:rsidRPr="00A06029">
        <w:rPr>
          <w:rFonts w:asciiTheme="minorHAnsi" w:hAnsiTheme="minorHAnsi" w:cstheme="minorHAnsi"/>
          <w:sz w:val="22"/>
          <w:szCs w:val="22"/>
        </w:rPr>
        <w:t>What supports are specifically intended to meet the needs of the students of color at the school</w:t>
      </w:r>
    </w:p>
    <w:p w14:paraId="5552A0CF" w14:textId="77777777" w:rsidR="00A156DB" w:rsidRPr="00A06029" w:rsidRDefault="00A156DB" w:rsidP="00A156DB">
      <w:pPr>
        <w:spacing w:before="40"/>
        <w:rPr>
          <w:rFonts w:asciiTheme="minorHAnsi" w:hAnsiTheme="minorHAnsi" w:cstheme="minorHAnsi"/>
          <w:sz w:val="22"/>
          <w:szCs w:val="22"/>
        </w:rPr>
      </w:pPr>
    </w:p>
    <w:p w14:paraId="5DEFFA2B" w14:textId="71CDA890" w:rsidR="00A156DB" w:rsidRPr="00A06029" w:rsidRDefault="00A156DB" w:rsidP="00A156DB">
      <w:pPr>
        <w:spacing w:before="40"/>
        <w:rPr>
          <w:rFonts w:asciiTheme="minorHAnsi" w:hAnsiTheme="minorHAnsi" w:cstheme="minorHAnsi"/>
          <w:sz w:val="22"/>
          <w:szCs w:val="22"/>
        </w:rPr>
      </w:pPr>
      <w:r w:rsidRPr="00A06029">
        <w:rPr>
          <w:rFonts w:asciiTheme="minorHAnsi" w:hAnsiTheme="minorHAnsi" w:cstheme="minorHAnsi"/>
          <w:sz w:val="22"/>
          <w:szCs w:val="22"/>
        </w:rPr>
        <w:t>The school may select different turnaroun</w:t>
      </w:r>
      <w:r w:rsidR="00D3684B" w:rsidRPr="00A06029">
        <w:rPr>
          <w:rFonts w:asciiTheme="minorHAnsi" w:hAnsiTheme="minorHAnsi" w:cstheme="minorHAnsi"/>
          <w:sz w:val="22"/>
          <w:szCs w:val="22"/>
        </w:rPr>
        <w:t>d practices to address these three</w:t>
      </w:r>
      <w:r w:rsidRPr="00A06029">
        <w:rPr>
          <w:rFonts w:asciiTheme="minorHAnsi" w:hAnsiTheme="minorHAnsi" w:cstheme="minorHAnsi"/>
          <w:sz w:val="22"/>
          <w:szCs w:val="22"/>
        </w:rPr>
        <w:t xml:space="preserve"> areas. For instance, the school may select Turnaround Practice 1 to demonstrate the level of support the district is providing the leaders of the school, </w:t>
      </w:r>
      <w:r w:rsidR="00924217" w:rsidRPr="00A06029">
        <w:rPr>
          <w:rFonts w:asciiTheme="minorHAnsi" w:hAnsiTheme="minorHAnsi" w:cstheme="minorHAnsi"/>
          <w:sz w:val="22"/>
          <w:szCs w:val="22"/>
        </w:rPr>
        <w:t xml:space="preserve">Turnaround Practice 3 to demonstrate how they are monitoring student specific supports, </w:t>
      </w:r>
      <w:r w:rsidRPr="00A06029">
        <w:rPr>
          <w:rFonts w:asciiTheme="minorHAnsi" w:hAnsiTheme="minorHAnsi" w:cstheme="minorHAnsi"/>
          <w:sz w:val="22"/>
          <w:szCs w:val="22"/>
        </w:rPr>
        <w:t xml:space="preserve">whereas Turnaround Practice 4 may capture the steps being taken to address the climate of the school as it relates to students of color feeling more included in the learning environment.  </w:t>
      </w:r>
    </w:p>
    <w:p w14:paraId="40916008" w14:textId="684CD148" w:rsidR="00FB2F02" w:rsidRPr="00A06029" w:rsidRDefault="00A156DB" w:rsidP="00D1593D">
      <w:pPr>
        <w:spacing w:before="120" w:after="120"/>
        <w:rPr>
          <w:rFonts w:asciiTheme="minorHAnsi" w:hAnsiTheme="minorHAnsi" w:cstheme="minorHAnsi"/>
          <w:sz w:val="22"/>
          <w:szCs w:val="22"/>
        </w:rPr>
      </w:pPr>
      <w:r w:rsidRPr="00A06029">
        <w:rPr>
          <w:rFonts w:asciiTheme="minorHAnsi" w:hAnsiTheme="minorHAnsi" w:cstheme="minorHAnsi"/>
          <w:sz w:val="22"/>
          <w:szCs w:val="22"/>
        </w:rPr>
        <w:t xml:space="preserve">The question on students of color is included because our data reveals a persistent </w:t>
      </w:r>
      <w:r w:rsidR="002337EA" w:rsidRPr="00A06029">
        <w:rPr>
          <w:rFonts w:asciiTheme="minorHAnsi" w:hAnsiTheme="minorHAnsi" w:cstheme="minorHAnsi"/>
          <w:sz w:val="22"/>
          <w:szCs w:val="22"/>
        </w:rPr>
        <w:t xml:space="preserve">opportunity and </w:t>
      </w:r>
      <w:r w:rsidRPr="00A06029">
        <w:rPr>
          <w:rFonts w:asciiTheme="minorHAnsi" w:hAnsiTheme="minorHAnsi" w:cstheme="minorHAnsi"/>
          <w:sz w:val="22"/>
          <w:szCs w:val="22"/>
        </w:rPr>
        <w:t>achievement gap</w:t>
      </w:r>
      <w:r w:rsidR="002337EA" w:rsidRPr="00A06029">
        <w:rPr>
          <w:rFonts w:asciiTheme="minorHAnsi" w:hAnsiTheme="minorHAnsi" w:cstheme="minorHAnsi"/>
          <w:sz w:val="22"/>
          <w:szCs w:val="22"/>
        </w:rPr>
        <w:t>s</w:t>
      </w:r>
      <w:r w:rsidRPr="00A06029">
        <w:rPr>
          <w:rFonts w:asciiTheme="minorHAnsi" w:hAnsiTheme="minorHAnsi" w:cstheme="minorHAnsi"/>
          <w:sz w:val="22"/>
          <w:szCs w:val="22"/>
        </w:rPr>
        <w:t xml:space="preserve"> between students of color and white students in the Commonwealth. These gaps are revealed in myriad ways from achievement data, to graduation and drop-out rates, </w:t>
      </w:r>
      <w:r w:rsidR="002337EA" w:rsidRPr="00A06029">
        <w:rPr>
          <w:rFonts w:asciiTheme="minorHAnsi" w:hAnsiTheme="minorHAnsi" w:cstheme="minorHAnsi"/>
          <w:sz w:val="22"/>
          <w:szCs w:val="22"/>
        </w:rPr>
        <w:t xml:space="preserve">to lack of culturally relevant curriculum, </w:t>
      </w:r>
      <w:r w:rsidRPr="00A06029">
        <w:rPr>
          <w:rFonts w:asciiTheme="minorHAnsi" w:hAnsiTheme="minorHAnsi" w:cstheme="minorHAnsi"/>
          <w:sz w:val="22"/>
          <w:szCs w:val="22"/>
        </w:rPr>
        <w:t xml:space="preserve">to </w:t>
      </w:r>
      <w:r w:rsidR="002337EA" w:rsidRPr="00A06029">
        <w:rPr>
          <w:rFonts w:asciiTheme="minorHAnsi" w:hAnsiTheme="minorHAnsi" w:cstheme="minorHAnsi"/>
          <w:sz w:val="22"/>
          <w:szCs w:val="22"/>
        </w:rPr>
        <w:t xml:space="preserve">(lack of) </w:t>
      </w:r>
      <w:r w:rsidRPr="00A06029">
        <w:rPr>
          <w:rFonts w:asciiTheme="minorHAnsi" w:hAnsiTheme="minorHAnsi" w:cstheme="minorHAnsi"/>
          <w:sz w:val="22"/>
          <w:szCs w:val="22"/>
        </w:rPr>
        <w:t>AP course offerings, to suspension rates, among others. By implementing strategies that target students of color, schools can better serve a chronically underserved group of students.</w:t>
      </w:r>
      <w:r w:rsidR="00D1593D" w:rsidRPr="00A06029">
        <w:rPr>
          <w:rFonts w:asciiTheme="minorHAnsi" w:hAnsiTheme="minorHAnsi" w:cstheme="minorHAnsi"/>
          <w:sz w:val="22"/>
          <w:szCs w:val="22"/>
        </w:rPr>
        <w:t xml:space="preserve">  </w:t>
      </w:r>
    </w:p>
    <w:p w14:paraId="6698B527" w14:textId="77777777" w:rsidR="00FB2F02" w:rsidRPr="00A06029" w:rsidRDefault="00FB2F02" w:rsidP="00AC1831">
      <w:pPr>
        <w:jc w:val="center"/>
        <w:rPr>
          <w:rFonts w:asciiTheme="minorHAnsi" w:eastAsia="Times New Roman" w:hAnsiTheme="minorHAnsi"/>
          <w:b/>
          <w:color w:val="000099"/>
          <w:szCs w:val="24"/>
          <w:u w:val="single"/>
        </w:rPr>
      </w:pPr>
    </w:p>
    <w:p w14:paraId="43885B2C" w14:textId="643C813B" w:rsidR="00AC1831" w:rsidRPr="00A06029" w:rsidRDefault="00AC1831" w:rsidP="00AC1831">
      <w:pPr>
        <w:jc w:val="center"/>
        <w:rPr>
          <w:rFonts w:asciiTheme="minorHAnsi" w:eastAsia="Times New Roman" w:hAnsiTheme="minorHAnsi"/>
          <w:b/>
          <w:color w:val="000099"/>
          <w:szCs w:val="24"/>
          <w:u w:val="single"/>
        </w:rPr>
      </w:pPr>
      <w:r w:rsidRPr="00A06029">
        <w:rPr>
          <w:rFonts w:asciiTheme="minorHAnsi" w:eastAsia="Times New Roman" w:hAnsiTheme="minorHAnsi"/>
          <w:b/>
          <w:color w:val="000099"/>
          <w:szCs w:val="24"/>
          <w:u w:val="single"/>
        </w:rPr>
        <w:t xml:space="preserve">Turnaround Practice #1: </w:t>
      </w:r>
    </w:p>
    <w:p w14:paraId="611E8E4F" w14:textId="77777777" w:rsidR="00AC1831" w:rsidRPr="00A06029" w:rsidRDefault="00AC1831" w:rsidP="00AC1831">
      <w:pPr>
        <w:jc w:val="center"/>
        <w:rPr>
          <w:rFonts w:asciiTheme="minorHAnsi" w:eastAsia="Times New Roman" w:hAnsiTheme="minorHAnsi"/>
          <w:b/>
          <w:color w:val="000099"/>
          <w:szCs w:val="24"/>
        </w:rPr>
      </w:pPr>
      <w:r w:rsidRPr="00A06029">
        <w:rPr>
          <w:rFonts w:asciiTheme="minorHAnsi" w:eastAsia="Times New Roman" w:hAnsiTheme="minorHAnsi"/>
          <w:b/>
          <w:color w:val="000099"/>
          <w:szCs w:val="24"/>
        </w:rPr>
        <w:t>Leadership, shared responsibility and professional collaboration</w:t>
      </w:r>
    </w:p>
    <w:p w14:paraId="6C46590B" w14:textId="77777777" w:rsidR="00AC1831" w:rsidRPr="00A06029" w:rsidRDefault="00AC1831" w:rsidP="00AC1831">
      <w:pPr>
        <w:rPr>
          <w:rFonts w:asciiTheme="minorHAnsi" w:eastAsia="Times New Roman"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831" w:rsidRPr="00A06029" w14:paraId="0D649605" w14:textId="77777777" w:rsidTr="00AC1831">
        <w:trPr>
          <w:trHeight w:val="1250"/>
        </w:trPr>
        <w:tc>
          <w:tcPr>
            <w:tcW w:w="9684" w:type="dxa"/>
            <w:shd w:val="clear" w:color="auto" w:fill="auto"/>
          </w:tcPr>
          <w:p w14:paraId="61D2EDDC" w14:textId="1EF56BEF" w:rsidR="00AC1831" w:rsidRPr="00A06029" w:rsidRDefault="00AC1831" w:rsidP="00AC1831">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School will keep the language that was already written for previous iterations of their turnaround </w:t>
            </w:r>
            <w:r w:rsidR="004A3A9D" w:rsidRPr="00A06029">
              <w:rPr>
                <w:rFonts w:ascii="Calibri" w:eastAsia="Times New Roman" w:hAnsi="Calibri" w:cs="Arial"/>
                <w:sz w:val="22"/>
                <w:szCs w:val="22"/>
              </w:rPr>
              <w:t xml:space="preserve">plan, and provide an update </w:t>
            </w:r>
            <w:r w:rsidR="00E212CF" w:rsidRPr="00A06029">
              <w:rPr>
                <w:rFonts w:ascii="Calibri" w:eastAsia="Times New Roman" w:hAnsi="Calibri" w:cs="Arial"/>
                <w:sz w:val="22"/>
                <w:szCs w:val="22"/>
              </w:rPr>
              <w:t>at the end</w:t>
            </w:r>
            <w:r w:rsidR="004A3A9D" w:rsidRPr="00A06029">
              <w:rPr>
                <w:rFonts w:ascii="Calibri" w:eastAsia="Times New Roman" w:hAnsi="Calibri" w:cs="Arial"/>
                <w:sz w:val="22"/>
                <w:szCs w:val="22"/>
              </w:rPr>
              <w:t>.</w:t>
            </w:r>
          </w:p>
          <w:p w14:paraId="73FBFC4B" w14:textId="77777777" w:rsidR="00AC1831" w:rsidRPr="00A06029" w:rsidRDefault="00AC1831" w:rsidP="00AC1831">
            <w:pPr>
              <w:spacing w:line="276" w:lineRule="auto"/>
              <w:rPr>
                <w:rFonts w:ascii="Calibri" w:eastAsia="Times New Roman" w:hAnsi="Calibri" w:cs="Arial"/>
                <w:sz w:val="22"/>
                <w:szCs w:val="22"/>
              </w:rPr>
            </w:pPr>
          </w:p>
          <w:p w14:paraId="250AAE40" w14:textId="77777777" w:rsidR="00AC1831" w:rsidRPr="00A06029" w:rsidRDefault="00AC1831" w:rsidP="00AC1831">
            <w:pPr>
              <w:spacing w:line="276" w:lineRule="auto"/>
              <w:rPr>
                <w:rFonts w:ascii="Calibri" w:eastAsia="Times New Roman" w:hAnsi="Calibri" w:cs="Arial"/>
                <w:sz w:val="22"/>
                <w:szCs w:val="22"/>
              </w:rPr>
            </w:pPr>
            <w:r w:rsidRPr="00A06029">
              <w:rPr>
                <w:rFonts w:ascii="Calibri" w:eastAsia="Times New Roman" w:hAnsi="Calibri" w:cs="Arial"/>
                <w:sz w:val="22"/>
                <w:szCs w:val="22"/>
                <w:highlight w:val="yellow"/>
              </w:rPr>
              <w:t>FY20 Update</w:t>
            </w:r>
            <w:r w:rsidRPr="00A06029">
              <w:rPr>
                <w:rFonts w:ascii="Calibri" w:eastAsia="Times New Roman" w:hAnsi="Calibri" w:cs="Arial"/>
                <w:sz w:val="22"/>
                <w:szCs w:val="22"/>
              </w:rPr>
              <w:t>: Add any changes and updates to Turnaround Practice #1 for the 2019-2020 school year. Make sure to answer the following questions:</w:t>
            </w:r>
          </w:p>
          <w:p w14:paraId="25CBA165" w14:textId="77777777"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worked last year?</w:t>
            </w:r>
          </w:p>
          <w:p w14:paraId="0FFB78DC" w14:textId="77777777"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did not work last year?</w:t>
            </w:r>
          </w:p>
          <w:p w14:paraId="3D58493E" w14:textId="77777777"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How do you know?</w:t>
            </w:r>
          </w:p>
          <w:p w14:paraId="7EFEA7A3" w14:textId="47875313" w:rsidR="00AC1831" w:rsidRPr="00A06029" w:rsidRDefault="00AC1831" w:rsidP="00924217">
            <w:pPr>
              <w:numPr>
                <w:ilvl w:val="0"/>
                <w:numId w:val="51"/>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changes will be implemented or successes leveraged for the upcoming year?</w:t>
            </w:r>
          </w:p>
          <w:p w14:paraId="12F4F55A" w14:textId="75FC5B40" w:rsidR="000966BD" w:rsidRPr="00A06029" w:rsidRDefault="000966BD" w:rsidP="000966BD">
            <w:pPr>
              <w:pStyle w:val="ColorfulList-Accent11"/>
              <w:spacing w:before="40" w:after="40"/>
              <w:ind w:left="0"/>
              <w:rPr>
                <w:rFonts w:asciiTheme="minorHAnsi" w:hAnsiTheme="minorHAnsi" w:cstheme="minorHAnsi"/>
                <w:sz w:val="22"/>
                <w:szCs w:val="22"/>
              </w:rPr>
            </w:pPr>
            <w:r w:rsidRPr="00A06029">
              <w:rPr>
                <w:rFonts w:asciiTheme="minorHAnsi" w:hAnsiTheme="minorHAnsi" w:cstheme="minorHAnsi"/>
                <w:sz w:val="22"/>
                <w:szCs w:val="22"/>
                <w:u w:val="single"/>
              </w:rPr>
              <w:t>Please provide evidence and data to support your responses.</w:t>
            </w:r>
            <w:r w:rsidRPr="00A06029">
              <w:rPr>
                <w:rFonts w:asciiTheme="minorHAnsi" w:hAnsiTheme="minorHAnsi" w:cstheme="minorHAnsi"/>
                <w:sz w:val="22"/>
                <w:szCs w:val="22"/>
              </w:rPr>
              <w:t xml:space="preserve"> </w:t>
            </w:r>
          </w:p>
          <w:p w14:paraId="0A72096F" w14:textId="47486C78" w:rsidR="00AC1831" w:rsidRPr="00A06029" w:rsidRDefault="00AC1831" w:rsidP="0087288F">
            <w:pPr>
              <w:spacing w:line="276" w:lineRule="auto"/>
              <w:contextualSpacing/>
              <w:rPr>
                <w:rFonts w:ascii="Calibri" w:eastAsia="Times New Roman" w:hAnsi="Calibri" w:cs="Arial"/>
                <w:sz w:val="22"/>
                <w:szCs w:val="22"/>
              </w:rPr>
            </w:pPr>
          </w:p>
          <w:p w14:paraId="53E0AC7B" w14:textId="77777777" w:rsidR="00AC1831" w:rsidRPr="00A06029" w:rsidRDefault="00AC1831" w:rsidP="00AC1831">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**Note: for </w:t>
            </w:r>
            <w:r w:rsidRPr="00A06029">
              <w:rPr>
                <w:rFonts w:ascii="Calibri" w:eastAsia="Times New Roman" w:hAnsi="Calibri" w:cs="Arial"/>
                <w:i/>
                <w:sz w:val="22"/>
                <w:szCs w:val="22"/>
                <w:u w:val="single"/>
              </w:rPr>
              <w:t>at least one</w:t>
            </w:r>
            <w:r w:rsidRPr="00A06029">
              <w:rPr>
                <w:rFonts w:ascii="Calibri" w:eastAsia="Times New Roman" w:hAnsi="Calibri" w:cs="Arial"/>
                <w:sz w:val="22"/>
                <w:szCs w:val="22"/>
              </w:rPr>
              <w:t xml:space="preserve"> turnaround practice, the school will describe:</w:t>
            </w:r>
          </w:p>
          <w:p w14:paraId="6D45DD9F" w14:textId="4DAA6D42" w:rsidR="00AC1831" w:rsidRPr="00A06029" w:rsidRDefault="00AC1831" w:rsidP="00924217">
            <w:pPr>
              <w:pStyle w:val="ListParagraph"/>
              <w:numPr>
                <w:ilvl w:val="0"/>
                <w:numId w:val="57"/>
              </w:numPr>
              <w:spacing w:line="276" w:lineRule="auto"/>
              <w:contextualSpacing/>
              <w:rPr>
                <w:rFonts w:ascii="Calibri" w:hAnsi="Calibri" w:cs="Arial"/>
                <w:sz w:val="22"/>
                <w:szCs w:val="22"/>
              </w:rPr>
            </w:pPr>
            <w:r w:rsidRPr="00A06029">
              <w:rPr>
                <w:rFonts w:ascii="Calibri" w:hAnsi="Calibri" w:cs="Arial"/>
                <w:sz w:val="22"/>
                <w:szCs w:val="22"/>
              </w:rPr>
              <w:t>What supports the district is providing to assist in the school’s turnaround efforts</w:t>
            </w:r>
            <w:r w:rsidR="00362430" w:rsidRPr="00A06029">
              <w:rPr>
                <w:rFonts w:ascii="Calibri" w:hAnsi="Calibri" w:cs="Arial"/>
                <w:sz w:val="22"/>
                <w:szCs w:val="22"/>
              </w:rPr>
              <w:t xml:space="preserve"> AND</w:t>
            </w:r>
          </w:p>
          <w:p w14:paraId="576B2723" w14:textId="47E3AA18" w:rsidR="00924217" w:rsidRPr="00A06029" w:rsidRDefault="00924217" w:rsidP="00924217">
            <w:pPr>
              <w:pStyle w:val="ListParagraph"/>
              <w:numPr>
                <w:ilvl w:val="0"/>
                <w:numId w:val="57"/>
              </w:numPr>
              <w:spacing w:before="40"/>
              <w:rPr>
                <w:rFonts w:asciiTheme="minorHAnsi" w:hAnsiTheme="minorHAnsi" w:cstheme="minorHAnsi"/>
                <w:sz w:val="22"/>
                <w:szCs w:val="22"/>
              </w:rPr>
            </w:pPr>
            <w:r w:rsidRPr="00A06029">
              <w:rPr>
                <w:rFonts w:asciiTheme="minorHAnsi" w:hAnsiTheme="minorHAnsi" w:cstheme="minorHAnsi"/>
                <w:sz w:val="22"/>
                <w:szCs w:val="22"/>
              </w:rPr>
              <w:t>District efforts to monitor implementation of turnaround plan initiatives AND</w:t>
            </w:r>
          </w:p>
          <w:p w14:paraId="2C540F07" w14:textId="77777777" w:rsidR="00AC1831" w:rsidRPr="00A06029" w:rsidRDefault="00AC1831" w:rsidP="00924217">
            <w:pPr>
              <w:numPr>
                <w:ilvl w:val="0"/>
                <w:numId w:val="57"/>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supports the school is providing that specifically addresses the needs of the school’s students of color</w:t>
            </w:r>
          </w:p>
          <w:p w14:paraId="2FD15988" w14:textId="77777777" w:rsidR="00AC1831" w:rsidRPr="00A06029" w:rsidRDefault="00AC1831" w:rsidP="00AC1831">
            <w:pPr>
              <w:spacing w:line="276" w:lineRule="auto"/>
              <w:rPr>
                <w:rFonts w:ascii="Calibri" w:eastAsia="Times New Roman" w:hAnsi="Calibri" w:cs="Arial"/>
                <w:sz w:val="20"/>
              </w:rPr>
            </w:pPr>
          </w:p>
        </w:tc>
      </w:tr>
    </w:tbl>
    <w:p w14:paraId="3E2D2D33" w14:textId="77777777" w:rsidR="00B43ED1" w:rsidRPr="00A06029" w:rsidRDefault="00B43ED1" w:rsidP="00AC1831">
      <w:pPr>
        <w:jc w:val="center"/>
        <w:rPr>
          <w:rFonts w:asciiTheme="minorHAnsi" w:eastAsia="Times New Roman" w:hAnsiTheme="minorHAnsi"/>
          <w:b/>
          <w:color w:val="000099"/>
          <w:szCs w:val="24"/>
          <w:u w:val="single"/>
        </w:rPr>
      </w:pPr>
    </w:p>
    <w:p w14:paraId="481DF571" w14:textId="3EE549BE" w:rsidR="00B43ED1" w:rsidRPr="00A06029" w:rsidRDefault="00B43ED1" w:rsidP="00AC1831">
      <w:pPr>
        <w:jc w:val="center"/>
        <w:rPr>
          <w:rFonts w:asciiTheme="minorHAnsi" w:eastAsia="Times New Roman" w:hAnsiTheme="minorHAnsi"/>
          <w:b/>
          <w:color w:val="000099"/>
          <w:szCs w:val="24"/>
          <w:u w:val="single"/>
        </w:rPr>
      </w:pPr>
      <w:bookmarkStart w:id="4" w:name="_GoBack"/>
      <w:bookmarkEnd w:id="4"/>
    </w:p>
    <w:p w14:paraId="7D4ADD07" w14:textId="07EB38DC" w:rsidR="00C62632" w:rsidRPr="00A06029" w:rsidRDefault="00C62632" w:rsidP="00AC1831">
      <w:pPr>
        <w:jc w:val="center"/>
        <w:rPr>
          <w:rFonts w:asciiTheme="minorHAnsi" w:eastAsia="Times New Roman" w:hAnsiTheme="minorHAnsi"/>
          <w:b/>
          <w:color w:val="000099"/>
          <w:szCs w:val="24"/>
          <w:u w:val="single"/>
        </w:rPr>
      </w:pPr>
    </w:p>
    <w:p w14:paraId="65F101AC" w14:textId="77777777" w:rsidR="00C62632" w:rsidRPr="00A06029" w:rsidRDefault="00C62632" w:rsidP="00AC1831">
      <w:pPr>
        <w:jc w:val="center"/>
        <w:rPr>
          <w:rFonts w:asciiTheme="minorHAnsi" w:eastAsia="Times New Roman" w:hAnsiTheme="minorHAnsi"/>
          <w:b/>
          <w:color w:val="000099"/>
          <w:szCs w:val="24"/>
          <w:u w:val="single"/>
        </w:rPr>
      </w:pPr>
    </w:p>
    <w:p w14:paraId="7FB66471" w14:textId="385C4DB5" w:rsidR="00AC1831" w:rsidRPr="00A06029" w:rsidRDefault="00AC1831" w:rsidP="00AC1831">
      <w:pPr>
        <w:jc w:val="center"/>
        <w:rPr>
          <w:rFonts w:asciiTheme="minorHAnsi" w:eastAsia="Times New Roman" w:hAnsiTheme="minorHAnsi"/>
          <w:b/>
          <w:color w:val="000099"/>
          <w:szCs w:val="24"/>
          <w:u w:val="single"/>
        </w:rPr>
      </w:pPr>
      <w:r w:rsidRPr="00A06029">
        <w:rPr>
          <w:rFonts w:asciiTheme="minorHAnsi" w:eastAsia="Times New Roman" w:hAnsiTheme="minorHAnsi"/>
          <w:b/>
          <w:color w:val="000099"/>
          <w:szCs w:val="24"/>
          <w:u w:val="single"/>
        </w:rPr>
        <w:t xml:space="preserve">Benchmarking Progress: </w:t>
      </w:r>
    </w:p>
    <w:p w14:paraId="1338328C" w14:textId="77777777" w:rsidR="00AC1831" w:rsidRPr="00A06029" w:rsidRDefault="00AC1831" w:rsidP="00AC1831">
      <w:pPr>
        <w:jc w:val="center"/>
        <w:rPr>
          <w:rFonts w:asciiTheme="minorHAnsi" w:eastAsia="Times New Roman" w:hAnsiTheme="minorHAnsi"/>
          <w:b/>
          <w:color w:val="000099"/>
          <w:szCs w:val="24"/>
        </w:rPr>
      </w:pPr>
      <w:r w:rsidRPr="00A06029">
        <w:rPr>
          <w:rFonts w:asciiTheme="minorHAnsi" w:eastAsia="Times New Roman" w:hAnsiTheme="minorHAnsi"/>
          <w:b/>
          <w:color w:val="000099"/>
          <w:szCs w:val="24"/>
        </w:rPr>
        <w:t>Leadership, shared responsibility and professional collaboration</w:t>
      </w:r>
    </w:p>
    <w:p w14:paraId="6DF7E31F" w14:textId="77777777" w:rsidR="00AC1831" w:rsidRPr="00A06029" w:rsidRDefault="00AC1831" w:rsidP="00AC1831">
      <w:pPr>
        <w:rPr>
          <w:rFonts w:ascii="Calibri" w:eastAsia="Times New Roman" w:hAnsi="Calibri" w:cs="Arial"/>
          <w:sz w:val="20"/>
        </w:rPr>
      </w:pPr>
    </w:p>
    <w:tbl>
      <w:tblPr>
        <w:tblStyle w:val="TableGrid1"/>
        <w:tblW w:w="10278" w:type="dxa"/>
        <w:tblLook w:val="04A0" w:firstRow="1" w:lastRow="0" w:firstColumn="1" w:lastColumn="0" w:noHBand="0" w:noVBand="1"/>
        <w:tblDescription w:val="Measurable Annual Goals (MAGs) for Student Achievement (set by DESE):&#10;We will meet or exceed accountability targets as set by DESE for all students and the lowest performing students group.&#10;School will update MAGs to reflect the upcoming school year.&#10;&#10;Interim Benchmarks for Teachers/Practitioners:&#10;1. School will update their benchmarks to reflect the upcoming school year.&#10;&#10;Interim Benchmarks for Students:&#10;1. School will update their benchmarks to reflect the upcoming school year.&#10;&#10;"/>
      </w:tblPr>
      <w:tblGrid>
        <w:gridCol w:w="2898"/>
        <w:gridCol w:w="7380"/>
      </w:tblGrid>
      <w:tr w:rsidR="00AC1831" w:rsidRPr="00A06029" w14:paraId="15A54134" w14:textId="77777777" w:rsidTr="00FB271E">
        <w:trPr>
          <w:trHeight w:val="1259"/>
          <w:tblHeader/>
        </w:trPr>
        <w:tc>
          <w:tcPr>
            <w:tcW w:w="2898" w:type="dxa"/>
          </w:tcPr>
          <w:p w14:paraId="59D11A4A" w14:textId="77777777" w:rsidR="00AC1831" w:rsidRPr="00A06029" w:rsidRDefault="00AC1831" w:rsidP="00AC1831">
            <w:pPr>
              <w:rPr>
                <w:rFonts w:asciiTheme="minorHAnsi" w:hAnsiTheme="minorHAnsi"/>
                <w:b/>
                <w:sz w:val="22"/>
                <w:szCs w:val="22"/>
              </w:rPr>
            </w:pPr>
            <w:r w:rsidRPr="00A06029">
              <w:rPr>
                <w:rFonts w:asciiTheme="minorHAnsi" w:hAnsiTheme="minorHAnsi"/>
                <w:b/>
                <w:sz w:val="22"/>
                <w:szCs w:val="22"/>
              </w:rPr>
              <w:t>Measurable Annual Goals (MAGs) for Student Achievement</w:t>
            </w:r>
          </w:p>
          <w:p w14:paraId="45EA76CD" w14:textId="2182B58C" w:rsidR="00AC1831" w:rsidRPr="00A06029" w:rsidRDefault="00AC1831" w:rsidP="00AC1831">
            <w:pPr>
              <w:rPr>
                <w:rFonts w:asciiTheme="minorHAnsi" w:hAnsiTheme="minorHAnsi"/>
                <w:sz w:val="20"/>
              </w:rPr>
            </w:pPr>
            <w:r w:rsidRPr="00A06029">
              <w:rPr>
                <w:rFonts w:asciiTheme="minorHAnsi" w:hAnsiTheme="minorHAnsi"/>
                <w:sz w:val="20"/>
              </w:rPr>
              <w:t xml:space="preserve">(set by </w:t>
            </w:r>
            <w:r w:rsidR="001860C3" w:rsidRPr="00A06029">
              <w:rPr>
                <w:rFonts w:asciiTheme="minorHAnsi" w:hAnsiTheme="minorHAnsi"/>
                <w:sz w:val="20"/>
              </w:rPr>
              <w:t>D</w:t>
            </w:r>
            <w:r w:rsidRPr="00A06029">
              <w:rPr>
                <w:rFonts w:asciiTheme="minorHAnsi" w:hAnsiTheme="minorHAnsi"/>
                <w:sz w:val="20"/>
              </w:rPr>
              <w:t>ESE)</w:t>
            </w:r>
          </w:p>
          <w:p w14:paraId="4EDC8238" w14:textId="77777777" w:rsidR="00AC1831" w:rsidRPr="00A06029" w:rsidRDefault="00AC1831" w:rsidP="00AC1831">
            <w:pPr>
              <w:rPr>
                <w:rFonts w:asciiTheme="minorHAnsi" w:hAnsiTheme="minorHAnsi"/>
                <w:sz w:val="20"/>
              </w:rPr>
            </w:pPr>
          </w:p>
        </w:tc>
        <w:tc>
          <w:tcPr>
            <w:tcW w:w="7380" w:type="dxa"/>
          </w:tcPr>
          <w:p w14:paraId="01A0CF66" w14:textId="77777777" w:rsidR="001860C3" w:rsidRPr="00A06029" w:rsidRDefault="001860C3" w:rsidP="00AC1831">
            <w:pPr>
              <w:rPr>
                <w:rFonts w:asciiTheme="minorHAnsi" w:hAnsiTheme="minorHAnsi"/>
                <w:sz w:val="22"/>
                <w:szCs w:val="22"/>
              </w:rPr>
            </w:pPr>
            <w:r w:rsidRPr="00A06029">
              <w:rPr>
                <w:rFonts w:asciiTheme="minorHAnsi" w:hAnsiTheme="minorHAnsi" w:cstheme="minorHAnsi"/>
                <w:sz w:val="22"/>
                <w:szCs w:val="22"/>
              </w:rPr>
              <w:t>We will meet or exceed accountability targets as set by DESE for all students and the lowest performing students group.</w:t>
            </w:r>
          </w:p>
          <w:p w14:paraId="4F40A78E" w14:textId="77777777" w:rsidR="00AC1831" w:rsidRPr="00A06029" w:rsidRDefault="00AC1831" w:rsidP="00AC1831">
            <w:pPr>
              <w:rPr>
                <w:rFonts w:asciiTheme="minorHAnsi" w:hAnsiTheme="minorHAnsi"/>
                <w:sz w:val="22"/>
                <w:szCs w:val="22"/>
              </w:rPr>
            </w:pPr>
          </w:p>
          <w:p w14:paraId="7E68CD9F" w14:textId="77777777" w:rsidR="00AC1831" w:rsidRPr="00A06029" w:rsidRDefault="00AC1831" w:rsidP="00AC1831">
            <w:pPr>
              <w:rPr>
                <w:rFonts w:asciiTheme="minorHAnsi" w:hAnsiTheme="minorHAnsi"/>
                <w:sz w:val="22"/>
                <w:szCs w:val="22"/>
              </w:rPr>
            </w:pPr>
            <w:r w:rsidRPr="00A06029">
              <w:rPr>
                <w:rFonts w:asciiTheme="minorHAnsi" w:hAnsiTheme="minorHAnsi"/>
                <w:sz w:val="22"/>
                <w:szCs w:val="22"/>
                <w:highlight w:val="yellow"/>
              </w:rPr>
              <w:t>School will update MAGs to reflect the upcoming school year.</w:t>
            </w:r>
            <w:r w:rsidRPr="00A06029">
              <w:rPr>
                <w:rFonts w:asciiTheme="minorHAnsi" w:hAnsiTheme="minorHAnsi"/>
                <w:sz w:val="22"/>
                <w:szCs w:val="22"/>
              </w:rPr>
              <w:t xml:space="preserve"> </w:t>
            </w:r>
          </w:p>
        </w:tc>
      </w:tr>
      <w:tr w:rsidR="00AC1831" w:rsidRPr="00A06029" w14:paraId="40DD5886" w14:textId="77777777" w:rsidTr="00FB271E">
        <w:trPr>
          <w:tblHeader/>
        </w:trPr>
        <w:tc>
          <w:tcPr>
            <w:tcW w:w="2898" w:type="dxa"/>
          </w:tcPr>
          <w:p w14:paraId="7FC325DA" w14:textId="77777777" w:rsidR="00AC1831" w:rsidRPr="00A06029" w:rsidRDefault="00AC1831" w:rsidP="00AC1831">
            <w:pPr>
              <w:rPr>
                <w:rFonts w:asciiTheme="minorHAnsi" w:hAnsiTheme="minorHAnsi"/>
                <w:b/>
                <w:sz w:val="22"/>
                <w:szCs w:val="22"/>
              </w:rPr>
            </w:pPr>
            <w:r w:rsidRPr="00A06029">
              <w:rPr>
                <w:rFonts w:asciiTheme="minorHAnsi" w:hAnsiTheme="minorHAnsi"/>
                <w:b/>
                <w:sz w:val="22"/>
                <w:szCs w:val="22"/>
              </w:rPr>
              <w:t>Interim Benchmarks for Teachers/Practitioners</w:t>
            </w:r>
          </w:p>
        </w:tc>
        <w:tc>
          <w:tcPr>
            <w:tcW w:w="7380" w:type="dxa"/>
          </w:tcPr>
          <w:p w14:paraId="7C9024B6" w14:textId="77777777" w:rsidR="00AC1831" w:rsidRPr="00A06029" w:rsidRDefault="00AC1831" w:rsidP="00AC1831">
            <w:pPr>
              <w:numPr>
                <w:ilvl w:val="0"/>
                <w:numId w:val="48"/>
              </w:numPr>
              <w:contextualSpacing/>
              <w:rPr>
                <w:rFonts w:asciiTheme="minorHAnsi" w:hAnsiTheme="minorHAnsi"/>
                <w:sz w:val="22"/>
                <w:szCs w:val="22"/>
              </w:rPr>
            </w:pPr>
            <w:r w:rsidRPr="00A06029">
              <w:rPr>
                <w:rFonts w:asciiTheme="minorHAnsi" w:hAnsiTheme="minorHAnsi"/>
                <w:sz w:val="22"/>
                <w:szCs w:val="22"/>
                <w:highlight w:val="yellow"/>
              </w:rPr>
              <w:t>School will update their benchmarks to reflect the upcoming school year.</w:t>
            </w:r>
          </w:p>
        </w:tc>
      </w:tr>
      <w:tr w:rsidR="00AC1831" w:rsidRPr="00A06029" w14:paraId="71C4F439" w14:textId="77777777" w:rsidTr="00FB271E">
        <w:trPr>
          <w:tblHeader/>
        </w:trPr>
        <w:tc>
          <w:tcPr>
            <w:tcW w:w="2898" w:type="dxa"/>
          </w:tcPr>
          <w:p w14:paraId="0699D0A5" w14:textId="77777777" w:rsidR="00AC1831" w:rsidRPr="00A06029" w:rsidRDefault="00AC1831" w:rsidP="00AC1831">
            <w:pPr>
              <w:rPr>
                <w:rFonts w:asciiTheme="minorHAnsi" w:hAnsiTheme="minorHAnsi"/>
                <w:b/>
                <w:sz w:val="22"/>
                <w:szCs w:val="22"/>
              </w:rPr>
            </w:pPr>
            <w:r w:rsidRPr="00A06029">
              <w:rPr>
                <w:rFonts w:asciiTheme="minorHAnsi" w:hAnsiTheme="minorHAnsi"/>
                <w:b/>
                <w:sz w:val="22"/>
                <w:szCs w:val="22"/>
              </w:rPr>
              <w:t>Interim Benchmarks for Students</w:t>
            </w:r>
          </w:p>
        </w:tc>
        <w:tc>
          <w:tcPr>
            <w:tcW w:w="7380" w:type="dxa"/>
          </w:tcPr>
          <w:p w14:paraId="55E5F3C0" w14:textId="77777777" w:rsidR="00AC1831" w:rsidRPr="00A06029" w:rsidRDefault="00AC1831" w:rsidP="00AC1831">
            <w:pPr>
              <w:numPr>
                <w:ilvl w:val="0"/>
                <w:numId w:val="49"/>
              </w:numPr>
              <w:contextualSpacing/>
              <w:rPr>
                <w:rFonts w:asciiTheme="minorHAnsi" w:hAnsiTheme="minorHAnsi"/>
                <w:sz w:val="22"/>
                <w:szCs w:val="22"/>
              </w:rPr>
            </w:pPr>
            <w:r w:rsidRPr="00A06029">
              <w:rPr>
                <w:rFonts w:asciiTheme="minorHAnsi" w:hAnsiTheme="minorHAnsi"/>
                <w:sz w:val="22"/>
                <w:szCs w:val="22"/>
              </w:rPr>
              <w:t xml:space="preserve"> </w:t>
            </w:r>
            <w:r w:rsidRPr="00A06029">
              <w:rPr>
                <w:rFonts w:asciiTheme="minorHAnsi" w:hAnsiTheme="minorHAnsi"/>
                <w:sz w:val="22"/>
                <w:szCs w:val="22"/>
                <w:highlight w:val="yellow"/>
              </w:rPr>
              <w:t>School will update their benchmarks to reflect the upcoming school year.</w:t>
            </w:r>
          </w:p>
        </w:tc>
      </w:tr>
    </w:tbl>
    <w:p w14:paraId="25BBFA50" w14:textId="77777777" w:rsidR="00B43ED1" w:rsidRPr="00A06029" w:rsidRDefault="00B43ED1" w:rsidP="00AC1831">
      <w:pPr>
        <w:rPr>
          <w:rFonts w:asciiTheme="minorHAnsi" w:eastAsia="Times New Roman" w:hAnsiTheme="minorHAnsi"/>
          <w:sz w:val="22"/>
          <w:szCs w:val="22"/>
        </w:rPr>
      </w:pPr>
    </w:p>
    <w:p w14:paraId="18DB9F62" w14:textId="613E1517" w:rsidR="00B70510" w:rsidRPr="00A06029" w:rsidRDefault="00AC1831" w:rsidP="00AC1831">
      <w:pPr>
        <w:rPr>
          <w:rFonts w:asciiTheme="minorHAnsi" w:eastAsia="Times New Roman" w:hAnsiTheme="minorHAnsi"/>
          <w:sz w:val="22"/>
          <w:szCs w:val="22"/>
        </w:rPr>
      </w:pPr>
      <w:r w:rsidRPr="00A06029">
        <w:rPr>
          <w:rFonts w:asciiTheme="minorHAnsi" w:eastAsia="Times New Roman" w:hAnsiTheme="minorHAnsi"/>
          <w:sz w:val="22"/>
          <w:szCs w:val="22"/>
        </w:rPr>
        <w:t>R</w:t>
      </w:r>
      <w:r w:rsidR="00E212CF" w:rsidRPr="00A06029">
        <w:rPr>
          <w:rFonts w:asciiTheme="minorHAnsi" w:eastAsia="Times New Roman" w:hAnsiTheme="minorHAnsi"/>
          <w:sz w:val="22"/>
          <w:szCs w:val="22"/>
        </w:rPr>
        <w:t>epeat</w:t>
      </w:r>
      <w:r w:rsidRPr="00A06029">
        <w:rPr>
          <w:rFonts w:asciiTheme="minorHAnsi" w:eastAsia="Times New Roman" w:hAnsiTheme="minorHAnsi"/>
          <w:sz w:val="22"/>
          <w:szCs w:val="22"/>
        </w:rPr>
        <w:t xml:space="preserve"> </w:t>
      </w:r>
      <w:r w:rsidR="00E212CF" w:rsidRPr="00A06029">
        <w:rPr>
          <w:rFonts w:asciiTheme="minorHAnsi" w:eastAsia="Times New Roman" w:hAnsiTheme="minorHAnsi"/>
          <w:sz w:val="22"/>
          <w:szCs w:val="22"/>
        </w:rPr>
        <w:t xml:space="preserve">each of these steps </w:t>
      </w:r>
      <w:r w:rsidRPr="00A06029">
        <w:rPr>
          <w:rFonts w:asciiTheme="minorHAnsi" w:eastAsia="Times New Roman" w:hAnsiTheme="minorHAnsi"/>
          <w:sz w:val="22"/>
          <w:szCs w:val="22"/>
        </w:rPr>
        <w:t xml:space="preserve">for </w:t>
      </w:r>
      <w:r w:rsidR="004A3A9D" w:rsidRPr="00A06029">
        <w:rPr>
          <w:rFonts w:asciiTheme="minorHAnsi" w:eastAsia="Times New Roman" w:hAnsiTheme="minorHAnsi"/>
          <w:sz w:val="22"/>
          <w:szCs w:val="22"/>
        </w:rPr>
        <w:t>Turnaround</w:t>
      </w:r>
      <w:r w:rsidRPr="00A06029">
        <w:rPr>
          <w:rFonts w:asciiTheme="minorHAnsi" w:eastAsia="Times New Roman" w:hAnsiTheme="minorHAnsi"/>
          <w:sz w:val="22"/>
          <w:szCs w:val="22"/>
        </w:rPr>
        <w:t xml:space="preserve"> Practices 2-4 </w:t>
      </w:r>
      <w:r w:rsidR="00E212CF" w:rsidRPr="00A06029">
        <w:rPr>
          <w:rFonts w:asciiTheme="minorHAnsi" w:eastAsia="Times New Roman" w:hAnsiTheme="minorHAnsi"/>
          <w:sz w:val="22"/>
          <w:szCs w:val="22"/>
        </w:rPr>
        <w:t xml:space="preserve">for the </w:t>
      </w:r>
      <w:r w:rsidRPr="00A06029">
        <w:rPr>
          <w:rFonts w:asciiTheme="minorHAnsi" w:eastAsia="Times New Roman" w:hAnsiTheme="minorHAnsi"/>
          <w:sz w:val="22"/>
          <w:szCs w:val="22"/>
        </w:rPr>
        <w:t>narrative</w:t>
      </w:r>
      <w:r w:rsidR="00E212CF" w:rsidRPr="00A06029">
        <w:rPr>
          <w:rFonts w:asciiTheme="minorHAnsi" w:eastAsia="Times New Roman" w:hAnsiTheme="minorHAnsi"/>
          <w:sz w:val="22"/>
          <w:szCs w:val="22"/>
        </w:rPr>
        <w:t xml:space="preserve">, </w:t>
      </w:r>
      <w:r w:rsidRPr="00A06029">
        <w:rPr>
          <w:rFonts w:asciiTheme="minorHAnsi" w:eastAsia="Times New Roman" w:hAnsiTheme="minorHAnsi"/>
          <w:sz w:val="22"/>
          <w:szCs w:val="22"/>
        </w:rPr>
        <w:t>MAGs</w:t>
      </w:r>
      <w:r w:rsidR="00362430" w:rsidRPr="00A06029">
        <w:rPr>
          <w:rFonts w:asciiTheme="minorHAnsi" w:eastAsia="Times New Roman" w:hAnsiTheme="minorHAnsi"/>
          <w:sz w:val="22"/>
          <w:szCs w:val="22"/>
        </w:rPr>
        <w:t>,</w:t>
      </w:r>
      <w:r w:rsidR="00E212CF" w:rsidRPr="00A06029">
        <w:rPr>
          <w:rFonts w:asciiTheme="minorHAnsi" w:eastAsia="Times New Roman" w:hAnsiTheme="minorHAnsi"/>
          <w:sz w:val="22"/>
          <w:szCs w:val="22"/>
        </w:rPr>
        <w:t xml:space="preserve"> and </w:t>
      </w:r>
      <w:r w:rsidRPr="00A06029">
        <w:rPr>
          <w:rFonts w:asciiTheme="minorHAnsi" w:eastAsia="Times New Roman" w:hAnsiTheme="minorHAnsi"/>
          <w:sz w:val="22"/>
          <w:szCs w:val="22"/>
        </w:rPr>
        <w:t>benchmarks</w:t>
      </w:r>
      <w:r w:rsidR="00E212CF" w:rsidRPr="00A06029">
        <w:rPr>
          <w:rFonts w:asciiTheme="minorHAnsi" w:eastAsia="Times New Roman" w:hAnsiTheme="minorHAnsi"/>
          <w:sz w:val="22"/>
          <w:szCs w:val="22"/>
        </w:rPr>
        <w:t xml:space="preserve">. </w:t>
      </w:r>
    </w:p>
    <w:p w14:paraId="29A0FA4D" w14:textId="77777777" w:rsidR="00B70510" w:rsidRPr="00A06029" w:rsidRDefault="00B70510" w:rsidP="00AC1831">
      <w:pPr>
        <w:rPr>
          <w:rFonts w:asciiTheme="minorHAnsi" w:eastAsia="Times New Roman" w:hAnsiTheme="minorHAnsi"/>
          <w:sz w:val="22"/>
          <w:szCs w:val="22"/>
        </w:rPr>
      </w:pPr>
    </w:p>
    <w:p w14:paraId="03A5F21D" w14:textId="77777777" w:rsidR="002F01C0" w:rsidRPr="00A06029" w:rsidRDefault="002F01C0" w:rsidP="002F01C0">
      <w:pPr>
        <w:spacing w:line="276" w:lineRule="auto"/>
        <w:rPr>
          <w:rFonts w:ascii="Calibri" w:eastAsia="Times New Roman" w:hAnsi="Calibri" w:cs="Arial"/>
          <w:sz w:val="22"/>
          <w:szCs w:val="22"/>
        </w:rPr>
      </w:pPr>
      <w:r w:rsidRPr="00A06029">
        <w:rPr>
          <w:rFonts w:ascii="Calibri" w:eastAsia="Times New Roman" w:hAnsi="Calibri" w:cs="Arial"/>
          <w:sz w:val="22"/>
          <w:szCs w:val="22"/>
        </w:rPr>
        <w:t xml:space="preserve">**Note: for </w:t>
      </w:r>
      <w:r w:rsidRPr="00A06029">
        <w:rPr>
          <w:rFonts w:ascii="Calibri" w:eastAsia="Times New Roman" w:hAnsi="Calibri" w:cs="Arial"/>
          <w:i/>
          <w:sz w:val="22"/>
          <w:szCs w:val="22"/>
          <w:u w:val="single"/>
        </w:rPr>
        <w:t>at least one</w:t>
      </w:r>
      <w:r w:rsidRPr="00A06029">
        <w:rPr>
          <w:rFonts w:ascii="Calibri" w:eastAsia="Times New Roman" w:hAnsi="Calibri" w:cs="Arial"/>
          <w:sz w:val="22"/>
          <w:szCs w:val="22"/>
        </w:rPr>
        <w:t xml:space="preserve"> turnaround practice, the school will describe:</w:t>
      </w:r>
    </w:p>
    <w:p w14:paraId="1045E947" w14:textId="77777777" w:rsidR="002F01C0" w:rsidRPr="00A06029" w:rsidRDefault="002F01C0" w:rsidP="002F01C0">
      <w:pPr>
        <w:pStyle w:val="ListParagraph"/>
        <w:numPr>
          <w:ilvl w:val="0"/>
          <w:numId w:val="53"/>
        </w:numPr>
        <w:spacing w:line="276" w:lineRule="auto"/>
        <w:contextualSpacing/>
        <w:rPr>
          <w:rFonts w:ascii="Calibri" w:hAnsi="Calibri" w:cs="Arial"/>
          <w:sz w:val="22"/>
          <w:szCs w:val="22"/>
        </w:rPr>
      </w:pPr>
      <w:r w:rsidRPr="00A06029">
        <w:rPr>
          <w:rFonts w:ascii="Calibri" w:hAnsi="Calibri" w:cs="Arial"/>
          <w:sz w:val="22"/>
          <w:szCs w:val="22"/>
        </w:rPr>
        <w:t>What supports the district is providing to assist in the school’s turnaround efforts AND</w:t>
      </w:r>
    </w:p>
    <w:p w14:paraId="6512F8BF" w14:textId="77777777" w:rsidR="002F01C0" w:rsidRPr="00A06029" w:rsidRDefault="002F01C0" w:rsidP="002F01C0">
      <w:pPr>
        <w:pStyle w:val="ListParagraph"/>
        <w:numPr>
          <w:ilvl w:val="0"/>
          <w:numId w:val="53"/>
        </w:numPr>
        <w:spacing w:before="40"/>
        <w:rPr>
          <w:rFonts w:asciiTheme="minorHAnsi" w:hAnsiTheme="minorHAnsi" w:cstheme="minorHAnsi"/>
          <w:sz w:val="22"/>
          <w:szCs w:val="22"/>
        </w:rPr>
      </w:pPr>
      <w:r w:rsidRPr="00A06029">
        <w:rPr>
          <w:rFonts w:asciiTheme="minorHAnsi" w:hAnsiTheme="minorHAnsi" w:cstheme="minorHAnsi"/>
          <w:sz w:val="22"/>
          <w:szCs w:val="22"/>
        </w:rPr>
        <w:t>District efforts to monitor implementation of turnaround plan initiatives AND</w:t>
      </w:r>
    </w:p>
    <w:p w14:paraId="23DD9AD2" w14:textId="77777777" w:rsidR="002F01C0" w:rsidRPr="00A06029" w:rsidRDefault="002F01C0" w:rsidP="002F01C0">
      <w:pPr>
        <w:numPr>
          <w:ilvl w:val="0"/>
          <w:numId w:val="53"/>
        </w:numPr>
        <w:spacing w:line="276" w:lineRule="auto"/>
        <w:contextualSpacing/>
        <w:rPr>
          <w:rFonts w:ascii="Calibri" w:eastAsia="Times New Roman" w:hAnsi="Calibri" w:cs="Arial"/>
          <w:sz w:val="22"/>
          <w:szCs w:val="22"/>
        </w:rPr>
      </w:pPr>
      <w:r w:rsidRPr="00A06029">
        <w:rPr>
          <w:rFonts w:ascii="Calibri" w:eastAsia="Times New Roman" w:hAnsi="Calibri" w:cs="Arial"/>
          <w:sz w:val="22"/>
          <w:szCs w:val="22"/>
        </w:rPr>
        <w:t>What supports the school is providing that specifically addresses the needs of the school’s students of color</w:t>
      </w:r>
    </w:p>
    <w:p w14:paraId="5DE1B974" w14:textId="6555FC70" w:rsidR="00AC1831" w:rsidRPr="00A06029" w:rsidRDefault="00B70510" w:rsidP="00B70510">
      <w:pPr>
        <w:pStyle w:val="ListParagraph"/>
        <w:numPr>
          <w:ilvl w:val="0"/>
          <w:numId w:val="53"/>
        </w:numPr>
        <w:rPr>
          <w:rFonts w:asciiTheme="minorHAnsi" w:hAnsiTheme="minorHAnsi"/>
          <w:sz w:val="22"/>
          <w:szCs w:val="22"/>
        </w:rPr>
      </w:pPr>
      <w:r w:rsidRPr="00A06029">
        <w:rPr>
          <w:rFonts w:asciiTheme="minorHAnsi" w:hAnsiTheme="minorHAnsi"/>
          <w:sz w:val="22"/>
          <w:szCs w:val="22"/>
        </w:rPr>
        <w:t>H</w:t>
      </w:r>
      <w:r w:rsidR="00E212CF" w:rsidRPr="00A06029">
        <w:rPr>
          <w:rFonts w:asciiTheme="minorHAnsi" w:hAnsiTheme="minorHAnsi"/>
          <w:sz w:val="22"/>
          <w:szCs w:val="22"/>
        </w:rPr>
        <w:t xml:space="preserve">ow the </w:t>
      </w:r>
      <w:r w:rsidRPr="00A06029">
        <w:rPr>
          <w:rFonts w:asciiTheme="minorHAnsi" w:hAnsiTheme="minorHAnsi"/>
          <w:sz w:val="22"/>
          <w:szCs w:val="22"/>
        </w:rPr>
        <w:t xml:space="preserve">school or </w:t>
      </w:r>
      <w:r w:rsidR="00E212CF" w:rsidRPr="00A06029">
        <w:rPr>
          <w:rFonts w:asciiTheme="minorHAnsi" w:hAnsiTheme="minorHAnsi"/>
          <w:sz w:val="22"/>
          <w:szCs w:val="22"/>
        </w:rPr>
        <w:t xml:space="preserve">district is providing specific supports to address the needs of the students of color </w:t>
      </w:r>
    </w:p>
    <w:p w14:paraId="5148A72D" w14:textId="73F628E7" w:rsidR="00FE70F9" w:rsidRPr="00A06029" w:rsidRDefault="00FE70F9" w:rsidP="001A301D">
      <w:pPr>
        <w:spacing w:before="120" w:after="120"/>
        <w:rPr>
          <w:rFonts w:asciiTheme="minorHAnsi" w:hAnsiTheme="minorHAnsi" w:cstheme="minorHAnsi"/>
          <w:sz w:val="20"/>
        </w:rPr>
      </w:pPr>
    </w:p>
    <w:p w14:paraId="20C64192" w14:textId="75038E63" w:rsidR="00A156DB" w:rsidRPr="00A06029" w:rsidRDefault="004A3A9D" w:rsidP="004A3A9D">
      <w:pPr>
        <w:rPr>
          <w:rFonts w:asciiTheme="minorHAnsi" w:eastAsia="Calibri" w:hAnsiTheme="minorHAnsi" w:cstheme="minorHAnsi"/>
          <w:b/>
          <w:color w:val="000066"/>
          <w:sz w:val="22"/>
          <w:szCs w:val="22"/>
        </w:rPr>
      </w:pPr>
      <w:bookmarkStart w:id="5" w:name="_Toc399668990"/>
      <w:r w:rsidRPr="00A06029">
        <w:rPr>
          <w:rFonts w:asciiTheme="minorHAnsi" w:eastAsia="Calibri" w:hAnsiTheme="minorHAnsi" w:cstheme="minorHAnsi"/>
          <w:b/>
          <w:color w:val="000066"/>
          <w:sz w:val="22"/>
          <w:szCs w:val="22"/>
        </w:rPr>
        <w:t>SECTION III: Financial Plan</w:t>
      </w:r>
      <w:bookmarkEnd w:id="5"/>
    </w:p>
    <w:p w14:paraId="0E7DC5FA" w14:textId="68C5E179" w:rsidR="00693C06" w:rsidRPr="00A06029" w:rsidRDefault="00693C06" w:rsidP="00A156DB">
      <w:pPr>
        <w:rPr>
          <w:rFonts w:ascii="Calibri" w:hAnsi="Calibri" w:cs="Arial"/>
          <w:sz w:val="22"/>
          <w:szCs w:val="22"/>
        </w:rPr>
      </w:pPr>
    </w:p>
    <w:p w14:paraId="23C7A78D" w14:textId="33521811" w:rsidR="00A156DB" w:rsidRPr="00A06029" w:rsidRDefault="00A156DB" w:rsidP="00A156DB">
      <w:pPr>
        <w:rPr>
          <w:rFonts w:ascii="Calibri" w:hAnsi="Calibri" w:cs="Arial"/>
          <w:sz w:val="22"/>
          <w:szCs w:val="22"/>
        </w:rPr>
      </w:pPr>
      <w:r w:rsidRPr="00A06029">
        <w:rPr>
          <w:rFonts w:ascii="Calibri" w:hAnsi="Calibri" w:cs="Arial"/>
          <w:sz w:val="22"/>
          <w:szCs w:val="22"/>
        </w:rPr>
        <w:t xml:space="preserve">This section will clearly outline how all proposed expenditures are aligned, reasonable, necessary, and allowable to support key strategies as proposed in the original SRG application. If changes are needed, an explanation is provided. </w:t>
      </w:r>
    </w:p>
    <w:p w14:paraId="3D7389AA" w14:textId="77777777" w:rsidR="00A156DB" w:rsidRPr="00A06029" w:rsidRDefault="00A156DB" w:rsidP="00A156DB">
      <w:pPr>
        <w:tabs>
          <w:tab w:val="left" w:pos="7308"/>
          <w:tab w:val="left" w:pos="8568"/>
        </w:tabs>
        <w:rPr>
          <w:rFonts w:ascii="Calibri" w:hAnsi="Calibri" w:cs="Arial"/>
          <w:sz w:val="22"/>
          <w:szCs w:val="22"/>
        </w:rPr>
      </w:pPr>
    </w:p>
    <w:p w14:paraId="14751680" w14:textId="77777777" w:rsidR="00A156DB" w:rsidRPr="00A06029" w:rsidRDefault="00A156DB" w:rsidP="00A156DB">
      <w:pPr>
        <w:rPr>
          <w:rFonts w:ascii="Calibri" w:hAnsi="Calibri" w:cs="Arial"/>
          <w:sz w:val="22"/>
          <w:szCs w:val="22"/>
        </w:rPr>
      </w:pPr>
      <w:r w:rsidRPr="00A06029">
        <w:rPr>
          <w:rFonts w:ascii="Calibri" w:hAnsi="Calibri" w:cs="Arial"/>
          <w:sz w:val="22"/>
          <w:szCs w:val="22"/>
        </w:rPr>
        <w:t xml:space="preserve">The school will add any changes and updates to the financial plan for the 2019-2020 school year. The school will also explain how turnaround efforts will be sustained once the SRG has ended.  </w:t>
      </w:r>
    </w:p>
    <w:p w14:paraId="3CCA7E40" w14:textId="4743EB90" w:rsidR="00A156DB" w:rsidRPr="00A06029" w:rsidRDefault="00FB2F02" w:rsidP="00FB2F02">
      <w:pPr>
        <w:spacing w:before="120" w:after="120"/>
        <w:rPr>
          <w:rFonts w:asciiTheme="minorHAnsi" w:hAnsiTheme="minorHAnsi" w:cstheme="minorHAnsi"/>
          <w:sz w:val="22"/>
          <w:szCs w:val="22"/>
        </w:rPr>
      </w:pPr>
      <w:r w:rsidRPr="00A06029">
        <w:rPr>
          <w:rFonts w:asciiTheme="minorHAnsi" w:hAnsiTheme="minorHAnsi" w:cstheme="minorHAnsi"/>
          <w:sz w:val="22"/>
          <w:szCs w:val="22"/>
        </w:rPr>
        <w:t>C</w:t>
      </w:r>
      <w:r w:rsidR="00A156DB" w:rsidRPr="00A06029">
        <w:rPr>
          <w:rFonts w:asciiTheme="minorHAnsi" w:hAnsiTheme="minorHAnsi" w:cstheme="minorHAnsi"/>
          <w:sz w:val="22"/>
          <w:szCs w:val="22"/>
        </w:rPr>
        <w:t>onducting a quality Academic Return on Investment (AROI) analysis</w:t>
      </w:r>
      <w:r w:rsidRPr="00A06029">
        <w:rPr>
          <w:rFonts w:asciiTheme="minorHAnsi" w:hAnsiTheme="minorHAnsi" w:cstheme="minorHAnsi"/>
          <w:sz w:val="22"/>
          <w:szCs w:val="22"/>
        </w:rPr>
        <w:t xml:space="preserve"> i</w:t>
      </w:r>
      <w:r w:rsidR="00A156DB" w:rsidRPr="00A06029">
        <w:rPr>
          <w:rFonts w:asciiTheme="minorHAnsi" w:hAnsiTheme="minorHAnsi" w:cstheme="minorHAnsi"/>
          <w:sz w:val="22"/>
          <w:szCs w:val="22"/>
        </w:rPr>
        <w:t>s required in this section</w:t>
      </w:r>
      <w:r w:rsidRPr="00A06029">
        <w:rPr>
          <w:rFonts w:asciiTheme="minorHAnsi" w:hAnsiTheme="minorHAnsi" w:cstheme="minorHAnsi"/>
          <w:sz w:val="22"/>
          <w:szCs w:val="22"/>
        </w:rPr>
        <w:t>. For more guidance on how to conduct one</w:t>
      </w:r>
      <w:r w:rsidR="00A156DB" w:rsidRPr="00A06029">
        <w:rPr>
          <w:rFonts w:asciiTheme="minorHAnsi" w:hAnsiTheme="minorHAnsi" w:cstheme="minorHAnsi"/>
          <w:sz w:val="22"/>
          <w:szCs w:val="22"/>
        </w:rPr>
        <w:t xml:space="preserve">, please reference the Turnaround Sustainability Planning Toolkit zip file (especially the Framework and Handouts files) available on DESE’s website. </w:t>
      </w:r>
      <w:r w:rsidR="00A156DB" w:rsidRPr="00A06029">
        <w:rPr>
          <w:rStyle w:val="FootnoteReference"/>
          <w:rFonts w:asciiTheme="minorHAnsi" w:hAnsiTheme="minorHAnsi" w:cstheme="minorHAnsi"/>
          <w:sz w:val="22"/>
          <w:szCs w:val="22"/>
        </w:rPr>
        <w:footnoteReference w:id="1"/>
      </w:r>
      <w:r w:rsidR="00021954" w:rsidRPr="00A06029">
        <w:rPr>
          <w:rFonts w:asciiTheme="minorHAnsi" w:hAnsiTheme="minorHAnsi" w:cstheme="minorHAnsi"/>
          <w:sz w:val="22"/>
          <w:szCs w:val="22"/>
        </w:rPr>
        <w:t xml:space="preserve"> Provide an update on AROI if needed. </w:t>
      </w:r>
    </w:p>
    <w:p w14:paraId="18337F4F" w14:textId="77777777" w:rsidR="004A3A9D" w:rsidRPr="00A06029" w:rsidRDefault="004A3A9D" w:rsidP="004A3A9D">
      <w:pPr>
        <w:rPr>
          <w:rFonts w:asciiTheme="minorHAnsi" w:eastAsia="Times New Roman" w:hAnsiTheme="minorHAns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3A9D" w:rsidRPr="00A06029" w14:paraId="3C8A87DE" w14:textId="77777777" w:rsidTr="00924217">
        <w:trPr>
          <w:trHeight w:val="1268"/>
        </w:trPr>
        <w:tc>
          <w:tcPr>
            <w:tcW w:w="9350" w:type="dxa"/>
            <w:shd w:val="clear" w:color="auto" w:fill="auto"/>
          </w:tcPr>
          <w:p w14:paraId="0AA7CA1A" w14:textId="2A0347D7" w:rsidR="004A3A9D" w:rsidRPr="00A06029" w:rsidRDefault="004A3A9D" w:rsidP="004A3A9D">
            <w:pPr>
              <w:spacing w:line="276" w:lineRule="auto"/>
              <w:rPr>
                <w:rFonts w:ascii="Calibri" w:eastAsia="Times New Roman" w:hAnsi="Calibri" w:cs="Arial"/>
                <w:sz w:val="22"/>
                <w:szCs w:val="22"/>
              </w:rPr>
            </w:pPr>
            <w:r w:rsidRPr="00A06029">
              <w:rPr>
                <w:rFonts w:ascii="Calibri" w:eastAsia="Times New Roman" w:hAnsi="Calibri" w:cs="Arial"/>
                <w:sz w:val="22"/>
                <w:szCs w:val="22"/>
              </w:rPr>
              <w:lastRenderedPageBreak/>
              <w:t>School will keep the language that was already written for previous iterations of their turnaround plan, and provide an update</w:t>
            </w:r>
            <w:r w:rsidR="00D90033" w:rsidRPr="00A06029">
              <w:rPr>
                <w:rFonts w:ascii="Calibri" w:eastAsia="Times New Roman" w:hAnsi="Calibri" w:cs="Arial"/>
                <w:sz w:val="22"/>
                <w:szCs w:val="22"/>
              </w:rPr>
              <w:t xml:space="preserve"> at the end</w:t>
            </w:r>
            <w:r w:rsidRPr="00A06029">
              <w:rPr>
                <w:rFonts w:ascii="Calibri" w:eastAsia="Times New Roman" w:hAnsi="Calibri" w:cs="Arial"/>
                <w:sz w:val="22"/>
                <w:szCs w:val="22"/>
              </w:rPr>
              <w:t xml:space="preserve">.  </w:t>
            </w:r>
          </w:p>
          <w:p w14:paraId="6200F719" w14:textId="77777777" w:rsidR="004A3A9D" w:rsidRPr="00A06029" w:rsidRDefault="004A3A9D" w:rsidP="004A3A9D">
            <w:pPr>
              <w:tabs>
                <w:tab w:val="left" w:pos="7308"/>
                <w:tab w:val="left" w:pos="8568"/>
              </w:tabs>
              <w:rPr>
                <w:rFonts w:ascii="Calibri" w:eastAsia="Times New Roman" w:hAnsi="Calibri" w:cs="Arial"/>
                <w:sz w:val="22"/>
                <w:szCs w:val="22"/>
              </w:rPr>
            </w:pPr>
          </w:p>
          <w:p w14:paraId="2A6E2E90" w14:textId="77777777" w:rsidR="004A3A9D" w:rsidRPr="00A06029" w:rsidRDefault="004A3A9D" w:rsidP="004A3A9D">
            <w:pPr>
              <w:spacing w:line="276" w:lineRule="auto"/>
              <w:rPr>
                <w:rFonts w:ascii="Calibri" w:eastAsia="Times New Roman" w:hAnsi="Calibri" w:cs="Arial"/>
                <w:sz w:val="22"/>
                <w:szCs w:val="22"/>
              </w:rPr>
            </w:pPr>
            <w:r w:rsidRPr="00A06029">
              <w:rPr>
                <w:rFonts w:ascii="Calibri" w:eastAsia="Times New Roman" w:hAnsi="Calibri" w:cs="Arial"/>
                <w:sz w:val="22"/>
                <w:szCs w:val="22"/>
                <w:highlight w:val="yellow"/>
              </w:rPr>
              <w:t>FY20 Update</w:t>
            </w:r>
            <w:r w:rsidRPr="00A06029">
              <w:rPr>
                <w:rFonts w:ascii="Calibri" w:eastAsia="Times New Roman" w:hAnsi="Calibri" w:cs="Arial"/>
                <w:sz w:val="22"/>
                <w:szCs w:val="22"/>
              </w:rPr>
              <w:t xml:space="preserve">: </w:t>
            </w:r>
          </w:p>
          <w:p w14:paraId="19208E3E" w14:textId="77777777" w:rsidR="004A3A9D" w:rsidRPr="00A06029" w:rsidRDefault="004A3A9D" w:rsidP="00362430">
            <w:pPr>
              <w:pStyle w:val="ListParagraph"/>
              <w:numPr>
                <w:ilvl w:val="0"/>
                <w:numId w:val="54"/>
              </w:numPr>
              <w:spacing w:line="276" w:lineRule="auto"/>
              <w:rPr>
                <w:rFonts w:ascii="Calibri" w:hAnsi="Calibri" w:cs="Arial"/>
                <w:sz w:val="22"/>
                <w:szCs w:val="22"/>
              </w:rPr>
            </w:pPr>
            <w:r w:rsidRPr="00A06029">
              <w:rPr>
                <w:rFonts w:ascii="Calibri" w:hAnsi="Calibri" w:cs="Arial"/>
                <w:sz w:val="22"/>
                <w:szCs w:val="22"/>
              </w:rPr>
              <w:t xml:space="preserve">Add any changes and updates to the financial plan for the 2019-2020 school year. </w:t>
            </w:r>
          </w:p>
          <w:p w14:paraId="5BE6B3BF" w14:textId="447CAD71" w:rsidR="004A3A9D" w:rsidRPr="00A06029" w:rsidRDefault="00021954" w:rsidP="00021954">
            <w:pPr>
              <w:pStyle w:val="Normal1"/>
              <w:numPr>
                <w:ilvl w:val="0"/>
                <w:numId w:val="54"/>
              </w:numPr>
              <w:rPr>
                <w:rFonts w:asciiTheme="minorHAnsi" w:hAnsiTheme="minorHAnsi" w:cstheme="minorHAnsi"/>
                <w:sz w:val="22"/>
                <w:szCs w:val="22"/>
              </w:rPr>
            </w:pPr>
            <w:r w:rsidRPr="00A06029">
              <w:rPr>
                <w:rFonts w:asciiTheme="minorHAnsi" w:hAnsiTheme="minorHAnsi" w:cstheme="minorHAnsi"/>
                <w:sz w:val="22"/>
                <w:szCs w:val="22"/>
              </w:rPr>
              <w:t>If needed, h</w:t>
            </w:r>
            <w:r w:rsidR="004A3A9D" w:rsidRPr="00A06029">
              <w:rPr>
                <w:rFonts w:asciiTheme="minorHAnsi" w:hAnsiTheme="minorHAnsi" w:cstheme="minorHAnsi"/>
                <w:sz w:val="22"/>
                <w:szCs w:val="22"/>
              </w:rPr>
              <w:t xml:space="preserve">ow do you plan on sustaining turnaround efforts after the expiration of School Redesign Grant funding?  </w:t>
            </w:r>
          </w:p>
        </w:tc>
      </w:tr>
    </w:tbl>
    <w:p w14:paraId="7145016A" w14:textId="706EC1BF" w:rsidR="004A3A9D" w:rsidRPr="00A06029" w:rsidRDefault="004A3A9D" w:rsidP="004A3A9D">
      <w:pPr>
        <w:rPr>
          <w:rFonts w:asciiTheme="minorHAnsi" w:eastAsia="Times New Roman" w:hAnsiTheme="minorHAnsi"/>
          <w:sz w:val="20"/>
        </w:rPr>
      </w:pPr>
    </w:p>
    <w:p w14:paraId="3E91CDFC" w14:textId="729D361C" w:rsidR="00266557" w:rsidRPr="00A06029" w:rsidRDefault="002064D7" w:rsidP="00743211">
      <w:pPr>
        <w:spacing w:before="240" w:after="40"/>
        <w:outlineLvl w:val="0"/>
        <w:rPr>
          <w:rFonts w:asciiTheme="minorHAnsi" w:hAnsiTheme="minorHAnsi" w:cstheme="minorHAnsi"/>
          <w:sz w:val="22"/>
          <w:szCs w:val="22"/>
        </w:rPr>
      </w:pPr>
      <w:r w:rsidRPr="00A06029">
        <w:rPr>
          <w:rFonts w:asciiTheme="minorHAnsi" w:hAnsiTheme="minorHAnsi" w:cstheme="minorHAnsi"/>
          <w:b/>
          <w:sz w:val="22"/>
          <w:szCs w:val="22"/>
        </w:rPr>
        <w:t>Information used to mak</w:t>
      </w:r>
      <w:r w:rsidR="009832D0" w:rsidRPr="00A06029">
        <w:rPr>
          <w:rFonts w:asciiTheme="minorHAnsi" w:hAnsiTheme="minorHAnsi" w:cstheme="minorHAnsi"/>
          <w:b/>
          <w:sz w:val="22"/>
          <w:szCs w:val="22"/>
        </w:rPr>
        <w:t>e</w:t>
      </w:r>
      <w:r w:rsidRPr="00A06029">
        <w:rPr>
          <w:rFonts w:asciiTheme="minorHAnsi" w:hAnsiTheme="minorHAnsi" w:cstheme="minorHAnsi"/>
          <w:b/>
          <w:sz w:val="22"/>
          <w:szCs w:val="22"/>
        </w:rPr>
        <w:t xml:space="preserve"> funding decisions</w:t>
      </w:r>
      <w:r w:rsidR="00266557" w:rsidRPr="00A06029">
        <w:rPr>
          <w:rFonts w:asciiTheme="minorHAnsi" w:hAnsiTheme="minorHAnsi" w:cstheme="minorHAnsi"/>
          <w:b/>
          <w:sz w:val="22"/>
          <w:szCs w:val="22"/>
        </w:rPr>
        <w:t xml:space="preserve">: </w:t>
      </w:r>
      <w:r w:rsidR="00822C70" w:rsidRPr="00A06029">
        <w:rPr>
          <w:rFonts w:asciiTheme="minorHAnsi" w:hAnsiTheme="minorHAnsi" w:cstheme="minorHAnsi"/>
          <w:sz w:val="22"/>
          <w:szCs w:val="22"/>
        </w:rPr>
        <w:t>T</w:t>
      </w:r>
      <w:r w:rsidR="00A44E55" w:rsidRPr="00A06029">
        <w:rPr>
          <w:rFonts w:asciiTheme="minorHAnsi" w:hAnsiTheme="minorHAnsi" w:cstheme="minorHAnsi"/>
          <w:sz w:val="22"/>
          <w:szCs w:val="22"/>
        </w:rPr>
        <w:t>here are t</w:t>
      </w:r>
      <w:r w:rsidR="00822C70" w:rsidRPr="00A06029">
        <w:rPr>
          <w:rFonts w:asciiTheme="minorHAnsi" w:hAnsiTheme="minorHAnsi" w:cstheme="minorHAnsi"/>
          <w:sz w:val="22"/>
          <w:szCs w:val="22"/>
        </w:rPr>
        <w:t>hree</w:t>
      </w:r>
      <w:r w:rsidR="00115DF5" w:rsidRPr="00A06029">
        <w:rPr>
          <w:rFonts w:asciiTheme="minorHAnsi" w:hAnsiTheme="minorHAnsi" w:cstheme="minorHAnsi"/>
          <w:sz w:val="22"/>
          <w:szCs w:val="22"/>
        </w:rPr>
        <w:t xml:space="preserve"> key</w:t>
      </w:r>
      <w:r w:rsidRPr="00A06029">
        <w:rPr>
          <w:rFonts w:asciiTheme="minorHAnsi" w:hAnsiTheme="minorHAnsi" w:cstheme="minorHAnsi"/>
          <w:sz w:val="22"/>
          <w:szCs w:val="22"/>
        </w:rPr>
        <w:t xml:space="preserve"> pieces of data that </w:t>
      </w:r>
      <w:r w:rsidR="002F72EB" w:rsidRPr="00A06029">
        <w:rPr>
          <w:rFonts w:asciiTheme="minorHAnsi" w:hAnsiTheme="minorHAnsi" w:cstheme="minorHAnsi"/>
          <w:sz w:val="22"/>
          <w:szCs w:val="22"/>
        </w:rPr>
        <w:t>D</w:t>
      </w:r>
      <w:r w:rsidRPr="00A06029">
        <w:rPr>
          <w:rFonts w:asciiTheme="minorHAnsi" w:hAnsiTheme="minorHAnsi" w:cstheme="minorHAnsi"/>
          <w:sz w:val="22"/>
          <w:szCs w:val="22"/>
        </w:rPr>
        <w:t>ESE will use when making funding decisions:</w:t>
      </w:r>
      <w:r w:rsidRPr="00A06029">
        <w:rPr>
          <w:rFonts w:asciiTheme="minorHAnsi" w:hAnsiTheme="minorHAnsi" w:cstheme="minorHAnsi"/>
          <w:b/>
          <w:sz w:val="22"/>
          <w:szCs w:val="22"/>
        </w:rPr>
        <w:t xml:space="preserve"> </w:t>
      </w:r>
    </w:p>
    <w:p w14:paraId="7A981436" w14:textId="77777777" w:rsidR="00333E1A" w:rsidRPr="00A06029" w:rsidRDefault="00333E1A" w:rsidP="00333E1A">
      <w:pPr>
        <w:numPr>
          <w:ilvl w:val="0"/>
          <w:numId w:val="7"/>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 improved district and school capacity to monitor and implement redesign efforts, such as making mid-course corrections, based on an asse</w:t>
      </w:r>
      <w:r w:rsidR="002F72EB" w:rsidRPr="00A06029">
        <w:rPr>
          <w:rFonts w:asciiTheme="minorHAnsi" w:hAnsiTheme="minorHAnsi" w:cstheme="minorHAnsi"/>
          <w:sz w:val="22"/>
          <w:szCs w:val="22"/>
        </w:rPr>
        <w:t xml:space="preserve">ssment of the SRG </w:t>
      </w:r>
      <w:r w:rsidRPr="00A06029">
        <w:rPr>
          <w:rFonts w:asciiTheme="minorHAnsi" w:hAnsiTheme="minorHAnsi" w:cstheme="minorHAnsi"/>
          <w:sz w:val="22"/>
          <w:szCs w:val="22"/>
        </w:rPr>
        <w:t>Renewal application</w:t>
      </w:r>
    </w:p>
    <w:p w14:paraId="374C4963" w14:textId="77777777" w:rsidR="00822C70" w:rsidRPr="00A06029" w:rsidRDefault="00016CDB" w:rsidP="00E221DE">
      <w:pPr>
        <w:numPr>
          <w:ilvl w:val="0"/>
          <w:numId w:val="7"/>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Evidence of</w:t>
      </w:r>
      <w:r w:rsidR="002064D7" w:rsidRPr="00A06029">
        <w:rPr>
          <w:rFonts w:asciiTheme="minorHAnsi" w:hAnsiTheme="minorHAnsi" w:cstheme="minorHAnsi"/>
          <w:sz w:val="22"/>
          <w:szCs w:val="22"/>
        </w:rPr>
        <w:t xml:space="preserve"> improved student performance and results, based on attainment of </w:t>
      </w:r>
      <w:r w:rsidR="00864D5E" w:rsidRPr="00A06029">
        <w:rPr>
          <w:rFonts w:asciiTheme="minorHAnsi" w:hAnsiTheme="minorHAnsi" w:cstheme="minorHAnsi"/>
          <w:sz w:val="22"/>
          <w:szCs w:val="22"/>
        </w:rPr>
        <w:t xml:space="preserve">benchmarks and </w:t>
      </w:r>
      <w:r w:rsidR="00743211" w:rsidRPr="00A06029">
        <w:rPr>
          <w:rFonts w:asciiTheme="minorHAnsi" w:hAnsiTheme="minorHAnsi" w:cstheme="minorHAnsi"/>
          <w:sz w:val="22"/>
          <w:szCs w:val="22"/>
        </w:rPr>
        <w:t>Measurable Annual Goals</w:t>
      </w:r>
    </w:p>
    <w:p w14:paraId="04A838DB" w14:textId="77777777" w:rsidR="00333E1A" w:rsidRPr="00A06029" w:rsidRDefault="00822C70" w:rsidP="00E221DE">
      <w:pPr>
        <w:numPr>
          <w:ilvl w:val="0"/>
          <w:numId w:val="7"/>
        </w:numPr>
        <w:spacing w:before="40" w:after="40"/>
        <w:ind w:left="720"/>
        <w:outlineLvl w:val="0"/>
        <w:rPr>
          <w:rFonts w:asciiTheme="minorHAnsi" w:hAnsiTheme="minorHAnsi" w:cstheme="minorHAnsi"/>
          <w:sz w:val="22"/>
          <w:szCs w:val="22"/>
        </w:rPr>
      </w:pPr>
      <w:r w:rsidRPr="00A06029">
        <w:rPr>
          <w:rFonts w:asciiTheme="minorHAnsi" w:hAnsiTheme="minorHAnsi" w:cstheme="minorHAnsi"/>
          <w:sz w:val="22"/>
          <w:szCs w:val="22"/>
        </w:rPr>
        <w:t xml:space="preserve">Evidence that the school has embedded the </w:t>
      </w:r>
      <w:r w:rsidR="00264A17" w:rsidRPr="00A06029">
        <w:rPr>
          <w:rFonts w:asciiTheme="minorHAnsi" w:hAnsiTheme="minorHAnsi" w:cstheme="minorHAnsi"/>
          <w:sz w:val="22"/>
          <w:szCs w:val="22"/>
        </w:rPr>
        <w:t>t</w:t>
      </w:r>
      <w:r w:rsidR="006943C0" w:rsidRPr="00A06029">
        <w:rPr>
          <w:rFonts w:asciiTheme="minorHAnsi" w:hAnsiTheme="minorHAnsi" w:cstheme="minorHAnsi"/>
          <w:sz w:val="22"/>
          <w:szCs w:val="22"/>
        </w:rPr>
        <w:t xml:space="preserve">urnaround </w:t>
      </w:r>
      <w:r w:rsidR="00264A17" w:rsidRPr="00A06029">
        <w:rPr>
          <w:rFonts w:asciiTheme="minorHAnsi" w:hAnsiTheme="minorHAnsi" w:cstheme="minorHAnsi"/>
          <w:sz w:val="22"/>
          <w:szCs w:val="22"/>
        </w:rPr>
        <w:t>p</w:t>
      </w:r>
      <w:r w:rsidR="006943C0" w:rsidRPr="00A06029">
        <w:rPr>
          <w:rFonts w:asciiTheme="minorHAnsi" w:hAnsiTheme="minorHAnsi" w:cstheme="minorHAnsi"/>
          <w:sz w:val="22"/>
          <w:szCs w:val="22"/>
        </w:rPr>
        <w:t>ractices</w:t>
      </w:r>
      <w:r w:rsidRPr="00A06029">
        <w:rPr>
          <w:rFonts w:asciiTheme="minorHAnsi" w:hAnsiTheme="minorHAnsi" w:cstheme="minorHAnsi"/>
          <w:sz w:val="22"/>
          <w:szCs w:val="22"/>
        </w:rPr>
        <w:t xml:space="preserve"> based on the school’s most recent Monitoring Site Visit final report</w:t>
      </w:r>
    </w:p>
    <w:p w14:paraId="4499CD86" w14:textId="77777777" w:rsidR="003439FF" w:rsidRPr="00A06029" w:rsidRDefault="003439FF" w:rsidP="003439FF">
      <w:pPr>
        <w:spacing w:before="40" w:after="40"/>
        <w:ind w:left="720"/>
        <w:outlineLvl w:val="0"/>
        <w:rPr>
          <w:sz w:val="22"/>
          <w:szCs w:val="22"/>
        </w:rPr>
      </w:pPr>
    </w:p>
    <w:p w14:paraId="5B6E6EB6" w14:textId="4F440F36" w:rsidR="003439FF" w:rsidRPr="00A06029" w:rsidRDefault="00864D5E" w:rsidP="003439FF">
      <w:pPr>
        <w:pStyle w:val="Default"/>
        <w:spacing w:after="112"/>
        <w:ind w:left="720"/>
        <w:rPr>
          <w:rFonts w:asciiTheme="minorHAnsi" w:hAnsiTheme="minorHAnsi" w:cstheme="minorHAnsi"/>
          <w:b/>
          <w:sz w:val="22"/>
          <w:szCs w:val="22"/>
        </w:rPr>
      </w:pPr>
      <w:r w:rsidRPr="00A06029">
        <w:rPr>
          <w:rFonts w:asciiTheme="minorHAnsi" w:hAnsiTheme="minorHAnsi" w:cstheme="minorHAnsi"/>
          <w:sz w:val="22"/>
          <w:szCs w:val="22"/>
        </w:rPr>
        <w:t xml:space="preserve">We </w:t>
      </w:r>
      <w:r w:rsidR="003439FF" w:rsidRPr="00A06029">
        <w:rPr>
          <w:rFonts w:asciiTheme="minorHAnsi" w:hAnsiTheme="minorHAnsi" w:cstheme="minorHAnsi"/>
          <w:i/>
          <w:sz w:val="22"/>
          <w:szCs w:val="22"/>
          <w:u w:val="single"/>
        </w:rPr>
        <w:t>strongly recommend</w:t>
      </w:r>
      <w:r w:rsidRPr="00A06029">
        <w:rPr>
          <w:rFonts w:asciiTheme="minorHAnsi" w:hAnsiTheme="minorHAnsi" w:cstheme="minorHAnsi"/>
          <w:sz w:val="22"/>
          <w:szCs w:val="22"/>
        </w:rPr>
        <w:t xml:space="preserve"> reviewing the scoring rubric (</w:t>
      </w:r>
      <w:r w:rsidR="00C62632" w:rsidRPr="00A06029">
        <w:rPr>
          <w:rFonts w:asciiTheme="minorHAnsi" w:hAnsiTheme="minorHAnsi" w:cstheme="minorHAnsi"/>
          <w:sz w:val="22"/>
          <w:szCs w:val="22"/>
        </w:rPr>
        <w:t>Appendix A</w:t>
      </w:r>
      <w:r w:rsidRPr="00A06029">
        <w:rPr>
          <w:rFonts w:asciiTheme="minorHAnsi" w:hAnsiTheme="minorHAnsi" w:cstheme="minorHAnsi"/>
          <w:sz w:val="22"/>
          <w:szCs w:val="22"/>
        </w:rPr>
        <w:t>). This</w:t>
      </w:r>
      <w:r w:rsidR="003439FF" w:rsidRPr="00A06029">
        <w:rPr>
          <w:rFonts w:asciiTheme="minorHAnsi" w:hAnsiTheme="minorHAnsi" w:cstheme="minorHAnsi"/>
          <w:sz w:val="22"/>
          <w:szCs w:val="22"/>
        </w:rPr>
        <w:t xml:space="preserve"> </w:t>
      </w:r>
      <w:r w:rsidR="00333E1A" w:rsidRPr="00A06029">
        <w:rPr>
          <w:rFonts w:asciiTheme="minorHAnsi" w:hAnsiTheme="minorHAnsi" w:cstheme="minorHAnsi"/>
          <w:sz w:val="22"/>
          <w:szCs w:val="22"/>
        </w:rPr>
        <w:t>will</w:t>
      </w:r>
      <w:r w:rsidR="003439FF" w:rsidRPr="00A06029">
        <w:rPr>
          <w:rFonts w:asciiTheme="minorHAnsi" w:hAnsiTheme="minorHAnsi" w:cstheme="minorHAnsi"/>
          <w:sz w:val="22"/>
          <w:szCs w:val="22"/>
        </w:rPr>
        <w:t xml:space="preserve"> help schools ensure their</w:t>
      </w:r>
      <w:r w:rsidRPr="00A06029">
        <w:rPr>
          <w:rFonts w:asciiTheme="minorHAnsi" w:hAnsiTheme="minorHAnsi" w:cstheme="minorHAnsi"/>
          <w:sz w:val="22"/>
          <w:szCs w:val="22"/>
        </w:rPr>
        <w:t xml:space="preserve"> application</w:t>
      </w:r>
      <w:r w:rsidR="003439FF" w:rsidRPr="00A06029">
        <w:rPr>
          <w:rFonts w:asciiTheme="minorHAnsi" w:hAnsiTheme="minorHAnsi" w:cstheme="minorHAnsi"/>
          <w:sz w:val="22"/>
          <w:szCs w:val="22"/>
        </w:rPr>
        <w:t xml:space="preserve"> aligns with grant expectations.</w:t>
      </w:r>
      <w:r w:rsidR="003439FF" w:rsidRPr="00A06029">
        <w:rPr>
          <w:rFonts w:asciiTheme="minorHAnsi" w:hAnsiTheme="minorHAnsi" w:cstheme="minorHAnsi"/>
          <w:b/>
          <w:sz w:val="22"/>
          <w:szCs w:val="22"/>
        </w:rPr>
        <w:t xml:space="preserve"> </w:t>
      </w:r>
      <w:r w:rsidR="003439FF" w:rsidRPr="00A06029">
        <w:rPr>
          <w:rFonts w:asciiTheme="minorHAnsi" w:hAnsiTheme="minorHAnsi" w:cstheme="minorHAnsi"/>
          <w:sz w:val="22"/>
          <w:szCs w:val="22"/>
        </w:rPr>
        <w:t xml:space="preserve">Schools applying for funding should carefully review ALL rubric items and </w:t>
      </w:r>
      <w:r w:rsidR="00333E1A" w:rsidRPr="00A06029">
        <w:rPr>
          <w:rFonts w:asciiTheme="minorHAnsi" w:hAnsiTheme="minorHAnsi" w:cstheme="minorHAnsi"/>
          <w:sz w:val="22"/>
          <w:szCs w:val="22"/>
        </w:rPr>
        <w:t>g</w:t>
      </w:r>
      <w:r w:rsidR="003439FF" w:rsidRPr="00A06029">
        <w:rPr>
          <w:rFonts w:asciiTheme="minorHAnsi" w:hAnsiTheme="minorHAnsi" w:cstheme="minorHAnsi"/>
          <w:sz w:val="22"/>
          <w:szCs w:val="22"/>
        </w:rPr>
        <w:t xml:space="preserve">rant </w:t>
      </w:r>
      <w:r w:rsidR="00333E1A" w:rsidRPr="00A06029">
        <w:rPr>
          <w:rFonts w:asciiTheme="minorHAnsi" w:hAnsiTheme="minorHAnsi" w:cstheme="minorHAnsi"/>
          <w:sz w:val="22"/>
          <w:szCs w:val="22"/>
        </w:rPr>
        <w:t>r</w:t>
      </w:r>
      <w:r w:rsidR="003439FF" w:rsidRPr="00A06029">
        <w:rPr>
          <w:rFonts w:asciiTheme="minorHAnsi" w:hAnsiTheme="minorHAnsi" w:cstheme="minorHAnsi"/>
          <w:sz w:val="22"/>
          <w:szCs w:val="22"/>
        </w:rPr>
        <w:t>equirements to ensure they are addressed in the turnaround plan narrative prior to submitting the grant application.</w:t>
      </w:r>
    </w:p>
    <w:p w14:paraId="369A1E93" w14:textId="77777777" w:rsidR="00266557" w:rsidRPr="00A06029" w:rsidRDefault="00266557" w:rsidP="00767773">
      <w:pPr>
        <w:spacing w:before="40" w:after="40"/>
        <w:outlineLvl w:val="0"/>
        <w:rPr>
          <w:b/>
          <w:sz w:val="22"/>
          <w:szCs w:val="22"/>
        </w:rPr>
      </w:pPr>
    </w:p>
    <w:p w14:paraId="1DACDBFF" w14:textId="77777777" w:rsidR="00C62632" w:rsidRPr="00A06029" w:rsidRDefault="00C62632" w:rsidP="00021954">
      <w:pPr>
        <w:rPr>
          <w:rFonts w:asciiTheme="minorHAnsi" w:eastAsia="Calibri" w:hAnsiTheme="minorHAnsi" w:cstheme="minorHAnsi"/>
          <w:b/>
          <w:color w:val="000066"/>
          <w:sz w:val="22"/>
          <w:szCs w:val="22"/>
        </w:rPr>
      </w:pPr>
    </w:p>
    <w:p w14:paraId="76B65B79" w14:textId="77777777" w:rsidR="00C62632" w:rsidRPr="00A06029" w:rsidRDefault="00C62632" w:rsidP="00021954">
      <w:pPr>
        <w:rPr>
          <w:rFonts w:asciiTheme="minorHAnsi" w:eastAsia="Calibri" w:hAnsiTheme="minorHAnsi" w:cstheme="minorHAnsi"/>
          <w:b/>
          <w:color w:val="000066"/>
          <w:sz w:val="22"/>
          <w:szCs w:val="22"/>
        </w:rPr>
      </w:pPr>
    </w:p>
    <w:p w14:paraId="2B723CAA" w14:textId="167DE491" w:rsidR="00DD413A" w:rsidRPr="00A06029" w:rsidRDefault="00021954" w:rsidP="00021954">
      <w:pPr>
        <w:rPr>
          <w:rFonts w:asciiTheme="minorHAnsi" w:eastAsia="Calibri" w:hAnsiTheme="minorHAnsi" w:cstheme="minorHAnsi"/>
          <w:b/>
          <w:color w:val="000066"/>
          <w:sz w:val="22"/>
          <w:szCs w:val="22"/>
        </w:rPr>
      </w:pPr>
      <w:r w:rsidRPr="00A06029">
        <w:rPr>
          <w:rFonts w:asciiTheme="minorHAnsi" w:eastAsia="Calibri" w:hAnsiTheme="minorHAnsi" w:cstheme="minorHAnsi"/>
          <w:b/>
          <w:color w:val="000066"/>
          <w:sz w:val="22"/>
          <w:szCs w:val="22"/>
        </w:rPr>
        <w:t>SECTION IV: Resources</w:t>
      </w:r>
    </w:p>
    <w:p w14:paraId="08D4B285" w14:textId="77777777" w:rsidR="00021954" w:rsidRPr="00A06029" w:rsidRDefault="00021954" w:rsidP="00021954">
      <w:pPr>
        <w:rPr>
          <w:b/>
          <w:bCs/>
          <w:sz w:val="22"/>
          <w:szCs w:val="22"/>
          <w:u w:val="single"/>
        </w:rPr>
      </w:pPr>
    </w:p>
    <w:p w14:paraId="7B4F660B" w14:textId="7B028A1F" w:rsidR="001860C3" w:rsidRPr="00A06029" w:rsidRDefault="006A7BCC">
      <w:pPr>
        <w:numPr>
          <w:ilvl w:val="0"/>
          <w:numId w:val="10"/>
        </w:numPr>
        <w:rPr>
          <w:rStyle w:val="Hyperlink"/>
          <w:rFonts w:asciiTheme="minorHAnsi" w:hAnsiTheme="minorHAnsi" w:cstheme="minorHAnsi"/>
          <w:color w:val="auto"/>
          <w:sz w:val="22"/>
          <w:szCs w:val="22"/>
          <w:u w:val="none"/>
        </w:rPr>
      </w:pPr>
      <w:hyperlink r:id="rId21" w:history="1">
        <w:r w:rsidR="001860C3" w:rsidRPr="00A06029">
          <w:rPr>
            <w:rStyle w:val="Hyperlink"/>
            <w:rFonts w:asciiTheme="minorHAnsi" w:hAnsiTheme="minorHAnsi" w:cstheme="minorHAnsi"/>
            <w:sz w:val="22"/>
            <w:szCs w:val="22"/>
          </w:rPr>
          <w:t>Turnaround Plan Guidance</w:t>
        </w:r>
      </w:hyperlink>
    </w:p>
    <w:p w14:paraId="588E18B4" w14:textId="1102C74D" w:rsidR="00F424DE" w:rsidRPr="00A06029" w:rsidRDefault="006A7BCC">
      <w:pPr>
        <w:numPr>
          <w:ilvl w:val="0"/>
          <w:numId w:val="10"/>
        </w:numPr>
        <w:rPr>
          <w:rFonts w:asciiTheme="minorHAnsi" w:hAnsiTheme="minorHAnsi" w:cstheme="minorHAnsi"/>
          <w:sz w:val="22"/>
          <w:szCs w:val="22"/>
        </w:rPr>
      </w:pPr>
      <w:hyperlink r:id="rId22" w:history="1">
        <w:r w:rsidR="004B3449" w:rsidRPr="00A06029">
          <w:rPr>
            <w:rStyle w:val="Hyperlink"/>
            <w:rFonts w:asciiTheme="minorHAnsi" w:hAnsiTheme="minorHAnsi" w:cstheme="minorHAnsi"/>
            <w:sz w:val="22"/>
            <w:szCs w:val="22"/>
          </w:rPr>
          <w:t>Turnaround Practices Research</w:t>
        </w:r>
        <w:r w:rsidR="001860C3" w:rsidRPr="00A06029">
          <w:rPr>
            <w:rStyle w:val="Hyperlink"/>
            <w:rFonts w:asciiTheme="minorHAnsi" w:hAnsiTheme="minorHAnsi" w:cstheme="minorHAnsi"/>
            <w:sz w:val="22"/>
            <w:szCs w:val="22"/>
          </w:rPr>
          <w:t xml:space="preserve"> and</w:t>
        </w:r>
        <w:r w:rsidR="004B3449" w:rsidRPr="00A06029">
          <w:rPr>
            <w:rStyle w:val="Hyperlink"/>
            <w:rFonts w:asciiTheme="minorHAnsi" w:hAnsiTheme="minorHAnsi" w:cstheme="minorHAnsi"/>
            <w:sz w:val="22"/>
            <w:szCs w:val="22"/>
          </w:rPr>
          <w:t xml:space="preserve"> Evaluation Reports</w:t>
        </w:r>
        <w:r w:rsidR="00777063" w:rsidRPr="00A06029">
          <w:rPr>
            <w:rStyle w:val="Hyperlink"/>
            <w:rFonts w:asciiTheme="minorHAnsi" w:hAnsiTheme="minorHAnsi" w:cstheme="minorHAnsi"/>
            <w:sz w:val="22"/>
            <w:szCs w:val="22"/>
          </w:rPr>
          <w:t xml:space="preserve">  </w:t>
        </w:r>
      </w:hyperlink>
      <w:r w:rsidR="00777063" w:rsidRPr="00A06029">
        <w:rPr>
          <w:rFonts w:asciiTheme="minorHAnsi" w:hAnsiTheme="minorHAnsi" w:cstheme="minorHAnsi"/>
          <w:sz w:val="22"/>
          <w:szCs w:val="22"/>
        </w:rPr>
        <w:t xml:space="preserve"> </w:t>
      </w:r>
    </w:p>
    <w:p w14:paraId="39984310" w14:textId="33A87486" w:rsidR="0068632D" w:rsidRPr="00A06029" w:rsidRDefault="006A7BCC" w:rsidP="00E221DE">
      <w:pPr>
        <w:numPr>
          <w:ilvl w:val="0"/>
          <w:numId w:val="11"/>
        </w:numPr>
        <w:rPr>
          <w:rStyle w:val="Hyperlink"/>
          <w:rFonts w:asciiTheme="minorHAnsi" w:hAnsiTheme="minorHAnsi" w:cstheme="minorHAnsi"/>
          <w:sz w:val="22"/>
          <w:szCs w:val="22"/>
          <w:u w:val="none"/>
        </w:rPr>
      </w:pPr>
      <w:hyperlink r:id="rId23" w:history="1">
        <w:r w:rsidR="00822C70" w:rsidRPr="00A06029">
          <w:rPr>
            <w:rStyle w:val="Hyperlink"/>
            <w:rFonts w:asciiTheme="minorHAnsi" w:hAnsiTheme="minorHAnsi" w:cstheme="minorHAnsi"/>
            <w:sz w:val="22"/>
            <w:szCs w:val="22"/>
          </w:rPr>
          <w:t>Turnaround Sustainability Toolkit</w:t>
        </w:r>
      </w:hyperlink>
    </w:p>
    <w:p w14:paraId="3C3A98EF" w14:textId="77777777" w:rsidR="009E1A21" w:rsidRDefault="009E1A21" w:rsidP="008A7182">
      <w:pPr>
        <w:spacing w:after="40"/>
        <w:outlineLvl w:val="0"/>
        <w:rPr>
          <w:rFonts w:asciiTheme="minorHAnsi" w:hAnsiTheme="minorHAnsi" w:cstheme="minorHAnsi"/>
          <w:b/>
          <w:sz w:val="22"/>
          <w:szCs w:val="22"/>
        </w:rPr>
        <w:sectPr w:rsidR="009E1A21" w:rsidSect="009E1A21">
          <w:headerReference w:type="default" r:id="rId24"/>
          <w:pgSz w:w="12240" w:h="15840"/>
          <w:pgMar w:top="1584" w:right="1440" w:bottom="1296" w:left="1440" w:header="720" w:footer="720" w:gutter="0"/>
          <w:cols w:space="720"/>
          <w:docGrid w:linePitch="326"/>
        </w:sectPr>
      </w:pPr>
    </w:p>
    <w:p w14:paraId="4D42C38E" w14:textId="23082E80" w:rsidR="00A06029" w:rsidRPr="00A06029" w:rsidRDefault="00A06029" w:rsidP="008A7182">
      <w:pPr>
        <w:spacing w:after="40"/>
        <w:outlineLvl w:val="0"/>
        <w:rPr>
          <w:rFonts w:asciiTheme="minorHAnsi" w:hAnsiTheme="minorHAnsi" w:cstheme="minorHAnsi"/>
          <w:b/>
          <w:sz w:val="22"/>
          <w:szCs w:val="22"/>
        </w:rPr>
      </w:pPr>
    </w:p>
    <w:p w14:paraId="33B38BBD" w14:textId="0747ACBE" w:rsidR="00C62632" w:rsidRPr="00A06029" w:rsidRDefault="00C62632" w:rsidP="00C62632">
      <w:pPr>
        <w:rPr>
          <w:rFonts w:asciiTheme="minorHAnsi" w:eastAsia="Calibri" w:hAnsiTheme="minorHAnsi" w:cstheme="minorHAnsi"/>
          <w:b/>
          <w:bCs/>
          <w:color w:val="000066"/>
          <w:sz w:val="22"/>
          <w:szCs w:val="22"/>
        </w:rPr>
      </w:pPr>
      <w:r w:rsidRPr="00A06029">
        <w:rPr>
          <w:rFonts w:asciiTheme="minorHAnsi" w:eastAsia="Calibri" w:hAnsiTheme="minorHAnsi" w:cstheme="minorHAnsi"/>
          <w:b/>
          <w:bCs/>
          <w:color w:val="000066"/>
          <w:sz w:val="22"/>
          <w:szCs w:val="22"/>
        </w:rPr>
        <w:t xml:space="preserve">SECTION V: Appendix A, Scoring Rubric </w:t>
      </w:r>
    </w:p>
    <w:p w14:paraId="4D36D708" w14:textId="77777777" w:rsidR="002C0D15" w:rsidRPr="00A06029" w:rsidRDefault="002C0D15" w:rsidP="002C0D15">
      <w:pPr>
        <w:spacing w:after="40"/>
        <w:jc w:val="center"/>
        <w:outlineLvl w:val="0"/>
        <w:rPr>
          <w:b/>
          <w:sz w:val="20"/>
        </w:rPr>
      </w:pPr>
    </w:p>
    <w:p w14:paraId="4BE4263F" w14:textId="4863D9E5" w:rsidR="002C0D15" w:rsidRPr="00A06029" w:rsidRDefault="006A0C55" w:rsidP="002C0D15">
      <w:pPr>
        <w:spacing w:after="40"/>
        <w:outlineLvl w:val="0"/>
        <w:rPr>
          <w:b/>
          <w:sz w:val="20"/>
        </w:rPr>
      </w:pPr>
      <w:r w:rsidRPr="00A06029">
        <w:rPr>
          <w:b/>
          <w:sz w:val="20"/>
        </w:rPr>
        <w:t xml:space="preserve">SRG Application </w:t>
      </w:r>
      <w:r w:rsidR="002C0D15" w:rsidRPr="00A06029">
        <w:rPr>
          <w:b/>
          <w:sz w:val="20"/>
        </w:rPr>
        <w:t xml:space="preserve">Review Dimensions: </w:t>
      </w:r>
      <w:r w:rsidR="002C0D15" w:rsidRPr="00A06029">
        <w:rPr>
          <w:rFonts w:cs="Palatino-Roman"/>
          <w:sz w:val="20"/>
          <w:lang w:bidi="en-US"/>
        </w:rPr>
        <w:t>Each component of an SRG application will be reviewed along three rubric dimensions.</w:t>
      </w:r>
    </w:p>
    <w:tbl>
      <w:tblPr>
        <w:tblW w:w="13500" w:type="dxa"/>
        <w:jc w:val="center"/>
        <w:tblBorders>
          <w:top w:val="nil"/>
          <w:left w:val="nil"/>
          <w:right w:val="nil"/>
        </w:tblBorders>
        <w:tblLayout w:type="fixed"/>
        <w:tblLook w:val="0000" w:firstRow="0" w:lastRow="0" w:firstColumn="0" w:lastColumn="0" w:noHBand="0" w:noVBand="0"/>
      </w:tblPr>
      <w:tblGrid>
        <w:gridCol w:w="2160"/>
        <w:gridCol w:w="11340"/>
      </w:tblGrid>
      <w:tr w:rsidR="002C0D15" w:rsidRPr="00A06029" w14:paraId="0525F647" w14:textId="77777777" w:rsidTr="00813A82">
        <w:trPr>
          <w:jc w:val="center"/>
        </w:trPr>
        <w:tc>
          <w:tcPr>
            <w:tcW w:w="216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0A9C1EA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18"/>
                <w:szCs w:val="18"/>
                <w:lang w:bidi="en-US"/>
              </w:rPr>
            </w:pPr>
            <w:r w:rsidRPr="00A06029">
              <w:rPr>
                <w:rFonts w:cs="Palatino-Roman"/>
                <w:b/>
                <w:bCs/>
                <w:sz w:val="18"/>
                <w:szCs w:val="18"/>
                <w:lang w:bidi="en-US"/>
              </w:rPr>
              <w:t>Dimension</w:t>
            </w:r>
          </w:p>
        </w:tc>
        <w:tc>
          <w:tcPr>
            <w:tcW w:w="11340" w:type="dxa"/>
            <w:tcBorders>
              <w:top w:val="single" w:sz="8" w:space="0" w:color="auto"/>
              <w:left w:val="single" w:sz="8" w:space="0" w:color="auto"/>
              <w:bottom w:val="single" w:sz="8" w:space="0" w:color="auto"/>
              <w:right w:val="single" w:sz="8" w:space="0" w:color="auto"/>
            </w:tcBorders>
            <w:shd w:val="clear" w:color="auto" w:fill="B3B3B3"/>
            <w:tcMar>
              <w:top w:w="80" w:type="nil"/>
              <w:left w:w="80" w:type="nil"/>
              <w:bottom w:w="80" w:type="nil"/>
              <w:right w:w="80" w:type="nil"/>
            </w:tcMar>
            <w:vAlign w:val="center"/>
          </w:tcPr>
          <w:p w14:paraId="22507F0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18"/>
                <w:szCs w:val="18"/>
                <w:lang w:bidi="en-US"/>
              </w:rPr>
            </w:pPr>
            <w:r w:rsidRPr="00A06029">
              <w:rPr>
                <w:rFonts w:cs="Palatino-Roman"/>
                <w:b/>
                <w:bCs/>
                <w:sz w:val="18"/>
                <w:szCs w:val="18"/>
                <w:lang w:bidi="en-US"/>
              </w:rPr>
              <w:t>Explanation</w:t>
            </w:r>
          </w:p>
        </w:tc>
      </w:tr>
      <w:tr w:rsidR="002C0D15" w:rsidRPr="00A06029" w14:paraId="320216CF" w14:textId="77777777" w:rsidTr="00813A82">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C65C741"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szCs w:val="22"/>
                <w:lang w:bidi="en-US"/>
              </w:rPr>
            </w:pPr>
            <w:r w:rsidRPr="00A06029">
              <w:rPr>
                <w:rFonts w:cs="Palatino-Roman"/>
                <w:sz w:val="20"/>
                <w:lang w:bidi="en-US"/>
              </w:rPr>
              <w:t>Capacity and Commitment</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0799CAB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 xml:space="preserve">The extent to which the district and school demonstrate the capacity and commitment to use SRG </w:t>
            </w:r>
            <w:r w:rsidR="001E16D2" w:rsidRPr="00A06029">
              <w:rPr>
                <w:rFonts w:cs="Palatino-Roman"/>
                <w:sz w:val="20"/>
                <w:lang w:bidi="en-US"/>
              </w:rPr>
              <w:t>or</w:t>
            </w:r>
            <w:r w:rsidRPr="00A06029">
              <w:rPr>
                <w:rFonts w:cs="Palatino-Roman"/>
                <w:sz w:val="20"/>
                <w:lang w:bidi="en-US"/>
              </w:rPr>
              <w:t xml:space="preserve"> L3 funds to support the strategies identified in the application and are planning for sustainability.</w:t>
            </w:r>
          </w:p>
        </w:tc>
      </w:tr>
      <w:tr w:rsidR="002C0D15" w:rsidRPr="00A06029" w14:paraId="72682B6D" w14:textId="77777777" w:rsidTr="00813A82">
        <w:tblPrEx>
          <w:tblBorders>
            <w:top w:val="none" w:sz="0" w:space="0" w:color="auto"/>
          </w:tblBorders>
        </w:tblPrEx>
        <w:trPr>
          <w:trHeight w:val="907"/>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1531DE9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szCs w:val="22"/>
                <w:lang w:bidi="en-US"/>
              </w:rPr>
            </w:pPr>
            <w:r w:rsidRPr="00A06029">
              <w:rPr>
                <w:rFonts w:cs="Palatino-Roman"/>
                <w:sz w:val="20"/>
                <w:lang w:bidi="en-US"/>
              </w:rPr>
              <w:t>Data Analysis</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3535F797" w14:textId="4A26AABA"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 xml:space="preserve">The extent to which the </w:t>
            </w:r>
            <w:r w:rsidR="006A0C55" w:rsidRPr="00A06029">
              <w:rPr>
                <w:rFonts w:cs="Palatino-Roman"/>
                <w:sz w:val="20"/>
                <w:lang w:bidi="en-US"/>
              </w:rPr>
              <w:t xml:space="preserve">SRG </w:t>
            </w:r>
            <w:r w:rsidRPr="00A06029">
              <w:rPr>
                <w:rFonts w:cs="Palatino-Roman"/>
                <w:sz w:val="20"/>
                <w:lang w:bidi="en-US"/>
              </w:rPr>
              <w:t>Renewal Application is based on a detailed analysis of current, accurate, and precise data, including but not limited to state assessments, educator data, other student data, and/or recommended data sources</w:t>
            </w:r>
            <w:r w:rsidR="00BE61CF" w:rsidRPr="00A06029">
              <w:rPr>
                <w:rFonts w:cs="Palatino-Roman"/>
                <w:sz w:val="20"/>
                <w:lang w:bidi="en-US"/>
              </w:rPr>
              <w:t>, and specifically t</w:t>
            </w:r>
            <w:r w:rsidRPr="00A06029">
              <w:rPr>
                <w:rFonts w:cs="Palatino-Roman"/>
                <w:sz w:val="20"/>
                <w:lang w:bidi="en-US"/>
              </w:rPr>
              <w:t>he extent to which the proposed school and district strategies are based upon an analysis of data.</w:t>
            </w:r>
          </w:p>
        </w:tc>
      </w:tr>
      <w:tr w:rsidR="002C0D15" w:rsidRPr="00A06029" w14:paraId="520B4C2B" w14:textId="77777777" w:rsidTr="00813A82">
        <w:tblPrEx>
          <w:tblBorders>
            <w:top w:val="none" w:sz="0" w:space="0" w:color="auto"/>
          </w:tblBorders>
        </w:tblPrEx>
        <w:trPr>
          <w:jc w:val="center"/>
        </w:trPr>
        <w:tc>
          <w:tcPr>
            <w:tcW w:w="216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vAlign w:val="center"/>
          </w:tcPr>
          <w:p w14:paraId="2156F10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right"/>
              <w:rPr>
                <w:rFonts w:ascii="Helvetica" w:hAnsi="Helvetica" w:cs="Helvetica"/>
                <w:kern w:val="1"/>
                <w:sz w:val="22"/>
                <w:szCs w:val="22"/>
                <w:lang w:bidi="en-US"/>
              </w:rPr>
            </w:pPr>
            <w:r w:rsidRPr="00A06029">
              <w:rPr>
                <w:rFonts w:cs="Palatino-Roman"/>
                <w:sz w:val="20"/>
                <w:lang w:bidi="en-US"/>
              </w:rPr>
              <w:t>Strategic and Actionable Approach</w:t>
            </w:r>
          </w:p>
        </w:tc>
        <w:tc>
          <w:tcPr>
            <w:tcW w:w="11340" w:type="dxa"/>
            <w:tcBorders>
              <w:top w:val="single" w:sz="8" w:space="0" w:color="auto"/>
              <w:left w:val="single" w:sz="8" w:space="0" w:color="auto"/>
              <w:bottom w:val="single" w:sz="8" w:space="0" w:color="auto"/>
              <w:right w:val="single" w:sz="8" w:space="0" w:color="auto"/>
            </w:tcBorders>
            <w:tcMar>
              <w:top w:w="80" w:type="nil"/>
              <w:left w:w="80" w:type="nil"/>
              <w:bottom w:w="80" w:type="nil"/>
              <w:right w:w="80" w:type="nil"/>
            </w:tcMar>
          </w:tcPr>
          <w:p w14:paraId="1F6A74B0" w14:textId="2E9687FB"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extent to which the SRG Renewal Application displays a strategic and well-thought out approach that will lead to rapid and sustainable improvement in the coming year. The extent to which it is clear through the application that the school and district are actively monitoring improvement efforts throughout implementation, setting measureable and actionable benchmarks, and  responding to data.</w:t>
            </w:r>
          </w:p>
        </w:tc>
      </w:tr>
    </w:tbl>
    <w:p w14:paraId="73AF7A83" w14:textId="3A4515EB" w:rsidR="00C62632" w:rsidRPr="00A06029" w:rsidRDefault="00C62632" w:rsidP="002C0D15">
      <w:pPr>
        <w:pStyle w:val="ColorfulList-Accent11"/>
        <w:spacing w:after="40"/>
        <w:ind w:left="0"/>
        <w:outlineLvl w:val="0"/>
        <w:rPr>
          <w:b/>
          <w:sz w:val="20"/>
        </w:rPr>
      </w:pPr>
    </w:p>
    <w:p w14:paraId="75C77AF4" w14:textId="77777777" w:rsidR="00C62632" w:rsidRPr="00A06029" w:rsidRDefault="00C62632" w:rsidP="002C0D15">
      <w:pPr>
        <w:pStyle w:val="ColorfulList-Accent11"/>
        <w:spacing w:after="40"/>
        <w:ind w:left="0"/>
        <w:outlineLvl w:val="0"/>
        <w:rPr>
          <w:b/>
          <w:sz w:val="20"/>
        </w:rPr>
      </w:pPr>
    </w:p>
    <w:p w14:paraId="44D2E4D0" w14:textId="57E13552" w:rsidR="002C0D15" w:rsidRPr="00A06029" w:rsidRDefault="006A0C55" w:rsidP="002C0D15">
      <w:pPr>
        <w:pStyle w:val="ColorfulList-Accent11"/>
        <w:spacing w:after="40"/>
        <w:ind w:left="0"/>
        <w:outlineLvl w:val="0"/>
        <w:rPr>
          <w:sz w:val="22"/>
          <w:szCs w:val="22"/>
        </w:rPr>
      </w:pPr>
      <w:r w:rsidRPr="00A06029">
        <w:rPr>
          <w:b/>
          <w:sz w:val="20"/>
        </w:rPr>
        <w:t xml:space="preserve">SRG </w:t>
      </w:r>
      <w:r w:rsidR="002C0D15" w:rsidRPr="00A06029">
        <w:rPr>
          <w:b/>
          <w:sz w:val="20"/>
        </w:rPr>
        <w:t xml:space="preserve">Renewal Rubric Levels: </w:t>
      </w:r>
      <w:r w:rsidR="002C0D15" w:rsidRPr="00A06029">
        <w:rPr>
          <w:rFonts w:cs="Palatino-Roman"/>
          <w:sz w:val="20"/>
          <w:lang w:bidi="en-US"/>
        </w:rPr>
        <w:t xml:space="preserve">Each element within each dimension described above will be rated using the following scale. </w:t>
      </w:r>
    </w:p>
    <w:tbl>
      <w:tblPr>
        <w:tblW w:w="13500" w:type="dxa"/>
        <w:jc w:val="center"/>
        <w:tblBorders>
          <w:top w:val="nil"/>
          <w:left w:val="nil"/>
          <w:right w:val="nil"/>
        </w:tblBorders>
        <w:tblLayout w:type="fixed"/>
        <w:tblLook w:val="0000" w:firstRow="0" w:lastRow="0" w:firstColumn="0" w:lastColumn="0" w:noHBand="0" w:noVBand="0"/>
      </w:tblPr>
      <w:tblGrid>
        <w:gridCol w:w="1860"/>
        <w:gridCol w:w="10470"/>
        <w:gridCol w:w="1170"/>
      </w:tblGrid>
      <w:tr w:rsidR="002C0D15" w:rsidRPr="00A06029" w14:paraId="3B777C62" w14:textId="77777777" w:rsidTr="00813A82">
        <w:trPr>
          <w:jc w:val="center"/>
        </w:trPr>
        <w:tc>
          <w:tcPr>
            <w:tcW w:w="186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69A0E8D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b/>
                <w:bCs/>
                <w:sz w:val="20"/>
                <w:lang w:bidi="en-US"/>
              </w:rPr>
              <w:t>Level</w:t>
            </w:r>
          </w:p>
        </w:tc>
        <w:tc>
          <w:tcPr>
            <w:tcW w:w="104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5D113B7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b/>
                <w:bCs/>
                <w:sz w:val="20"/>
                <w:lang w:bidi="en-US"/>
              </w:rPr>
              <w:t>Explanation</w:t>
            </w:r>
          </w:p>
        </w:tc>
        <w:tc>
          <w:tcPr>
            <w:tcW w:w="1170" w:type="dxa"/>
            <w:tcBorders>
              <w:top w:val="single" w:sz="8" w:space="0" w:color="auto"/>
              <w:left w:val="single" w:sz="8" w:space="0" w:color="auto"/>
              <w:bottom w:val="single" w:sz="8" w:space="0" w:color="auto"/>
              <w:right w:val="single" w:sz="8" w:space="0" w:color="auto"/>
            </w:tcBorders>
            <w:shd w:val="clear" w:color="auto" w:fill="B3B3B3"/>
            <w:tcMar>
              <w:top w:w="60" w:type="nil"/>
              <w:left w:w="60" w:type="nil"/>
              <w:bottom w:w="60" w:type="nil"/>
              <w:right w:w="60" w:type="nil"/>
            </w:tcMar>
            <w:vAlign w:val="center"/>
          </w:tcPr>
          <w:p w14:paraId="79227F3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b/>
                <w:bCs/>
                <w:sz w:val="20"/>
                <w:lang w:bidi="en-US"/>
              </w:rPr>
              <w:t>Points</w:t>
            </w:r>
          </w:p>
        </w:tc>
      </w:tr>
      <w:tr w:rsidR="002C0D15" w:rsidRPr="00A06029" w14:paraId="46F4523C" w14:textId="7777777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71EB8AF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Strong</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743E73D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clear, complete, and provides detailed, compelling evidence (including supporting documentation, as appropriate)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1AEE670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4</w:t>
            </w:r>
          </w:p>
        </w:tc>
      </w:tr>
      <w:tr w:rsidR="002C0D15" w:rsidRPr="00A06029" w14:paraId="41BC1A9F" w14:textId="7777777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2603B2F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Adequate</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76F4BE0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clear, complete, and provides some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262A599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3</w:t>
            </w:r>
          </w:p>
        </w:tc>
      </w:tr>
      <w:tr w:rsidR="002C0D15" w:rsidRPr="00A06029" w14:paraId="3EC2C604" w14:textId="77777777" w:rsidTr="00813A82">
        <w:tblPrEx>
          <w:tblBorders>
            <w:top w:val="none" w:sz="0" w:space="0" w:color="auto"/>
          </w:tblBorders>
        </w:tblPrEx>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6856300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Marginal</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4D7CAC4B"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partially complete and provides only limited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2EAA4D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2</w:t>
            </w:r>
          </w:p>
        </w:tc>
      </w:tr>
      <w:tr w:rsidR="002C0D15" w:rsidRPr="00A06029" w14:paraId="2A2A3933" w14:textId="77777777" w:rsidTr="00813A82">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51334F3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Weak</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38738B1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ascii="Helvetica" w:hAnsi="Helvetica" w:cs="Helvetica"/>
                <w:kern w:val="1"/>
                <w:sz w:val="22"/>
                <w:szCs w:val="22"/>
                <w:lang w:bidi="en-US"/>
              </w:rPr>
            </w:pPr>
            <w:r w:rsidRPr="00A06029">
              <w:rPr>
                <w:rFonts w:cs="Palatino-Roman"/>
                <w:sz w:val="20"/>
                <w:lang w:bidi="en-US"/>
              </w:rPr>
              <w:t>The response is incomplete and lacks evidence that meets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3ABA01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ascii="Helvetica" w:hAnsi="Helvetica" w:cs="Helvetica"/>
                <w:kern w:val="1"/>
                <w:sz w:val="22"/>
                <w:szCs w:val="22"/>
                <w:lang w:bidi="en-US"/>
              </w:rPr>
            </w:pPr>
            <w:r w:rsidRPr="00A06029">
              <w:rPr>
                <w:rFonts w:cs="Palatino-Roman"/>
                <w:sz w:val="20"/>
                <w:lang w:bidi="en-US"/>
              </w:rPr>
              <w:t>1</w:t>
            </w:r>
          </w:p>
        </w:tc>
      </w:tr>
      <w:tr w:rsidR="002C0D15" w:rsidRPr="00A06029" w14:paraId="5CEB8317" w14:textId="77777777" w:rsidTr="00813A82">
        <w:trPr>
          <w:jc w:val="center"/>
        </w:trPr>
        <w:tc>
          <w:tcPr>
            <w:tcW w:w="186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30E12A0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A06029">
              <w:rPr>
                <w:rFonts w:cs="Palatino-Roman"/>
                <w:sz w:val="20"/>
                <w:lang w:bidi="en-US"/>
              </w:rPr>
              <w:t>Absent</w:t>
            </w:r>
          </w:p>
        </w:tc>
        <w:tc>
          <w:tcPr>
            <w:tcW w:w="104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tcPr>
          <w:p w14:paraId="49151EF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Palatino-Roman"/>
                <w:sz w:val="22"/>
                <w:szCs w:val="22"/>
                <w:lang w:bidi="en-US"/>
              </w:rPr>
            </w:pPr>
            <w:r w:rsidRPr="00A06029">
              <w:rPr>
                <w:rFonts w:cs="Palatino-Roman"/>
                <w:sz w:val="20"/>
                <w:lang w:bidi="en-US"/>
              </w:rPr>
              <w:t>No response or evidence is provided that addresses the criteria listed in the rubric dimension.</w:t>
            </w:r>
          </w:p>
        </w:tc>
        <w:tc>
          <w:tcPr>
            <w:tcW w:w="1170" w:type="dxa"/>
            <w:tcBorders>
              <w:top w:val="single" w:sz="8" w:space="0" w:color="auto"/>
              <w:left w:val="single" w:sz="8" w:space="0" w:color="auto"/>
              <w:bottom w:val="single" w:sz="8" w:space="0" w:color="auto"/>
              <w:right w:val="single" w:sz="8" w:space="0" w:color="auto"/>
            </w:tcBorders>
            <w:tcMar>
              <w:top w:w="60" w:type="nil"/>
              <w:left w:w="60" w:type="nil"/>
              <w:bottom w:w="60" w:type="nil"/>
              <w:right w:w="60" w:type="nil"/>
            </w:tcMar>
            <w:vAlign w:val="center"/>
          </w:tcPr>
          <w:p w14:paraId="4A52935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jc w:val="center"/>
              <w:rPr>
                <w:rFonts w:cs="Palatino-Roman"/>
                <w:sz w:val="22"/>
                <w:szCs w:val="22"/>
                <w:lang w:bidi="en-US"/>
              </w:rPr>
            </w:pPr>
            <w:r w:rsidRPr="00A06029">
              <w:rPr>
                <w:rFonts w:cs="Palatino-Roman"/>
                <w:sz w:val="20"/>
                <w:lang w:bidi="en-US"/>
              </w:rPr>
              <w:t>0</w:t>
            </w:r>
          </w:p>
        </w:tc>
      </w:tr>
    </w:tbl>
    <w:p w14:paraId="04ED4CB9" w14:textId="01D56386" w:rsidR="00021954" w:rsidRDefault="00021954" w:rsidP="002C0D15">
      <w:pPr>
        <w:rPr>
          <w:b/>
          <w:sz w:val="22"/>
          <w:szCs w:val="22"/>
        </w:rPr>
      </w:pPr>
    </w:p>
    <w:p w14:paraId="7257CD3D" w14:textId="2D1056DE" w:rsidR="008A7182" w:rsidRDefault="008A7182" w:rsidP="002C0D15">
      <w:pPr>
        <w:rPr>
          <w:b/>
          <w:sz w:val="22"/>
          <w:szCs w:val="22"/>
        </w:rPr>
      </w:pPr>
    </w:p>
    <w:p w14:paraId="66E15CDC" w14:textId="7B3D6C80" w:rsidR="008A7182" w:rsidRDefault="008A7182" w:rsidP="002C0D15">
      <w:pPr>
        <w:rPr>
          <w:b/>
          <w:sz w:val="22"/>
          <w:szCs w:val="22"/>
        </w:rPr>
      </w:pPr>
    </w:p>
    <w:p w14:paraId="7E7872F1" w14:textId="4A85F347" w:rsidR="008A7182" w:rsidRDefault="008A7182" w:rsidP="002C0D15">
      <w:pPr>
        <w:rPr>
          <w:b/>
          <w:sz w:val="22"/>
          <w:szCs w:val="22"/>
        </w:rPr>
      </w:pPr>
    </w:p>
    <w:p w14:paraId="0FD2C203" w14:textId="77777777" w:rsidR="008A7182" w:rsidRPr="00A06029" w:rsidRDefault="008A7182" w:rsidP="002C0D15">
      <w:pPr>
        <w:rPr>
          <w:b/>
          <w:sz w:val="22"/>
          <w:szCs w:val="22"/>
        </w:rPr>
      </w:pPr>
    </w:p>
    <w:tbl>
      <w:tblPr>
        <w:tblW w:w="14940" w:type="dxa"/>
        <w:jc w:val="center"/>
        <w:tblBorders>
          <w:top w:val="nil"/>
          <w:left w:val="nil"/>
          <w:right w:val="nil"/>
        </w:tblBorders>
        <w:tblLayout w:type="fixed"/>
        <w:tblLook w:val="0000" w:firstRow="0" w:lastRow="0" w:firstColumn="0" w:lastColumn="0" w:noHBand="0" w:noVBand="0"/>
      </w:tblPr>
      <w:tblGrid>
        <w:gridCol w:w="1350"/>
        <w:gridCol w:w="3240"/>
        <w:gridCol w:w="3420"/>
        <w:gridCol w:w="3420"/>
        <w:gridCol w:w="3510"/>
      </w:tblGrid>
      <w:tr w:rsidR="002C0D15" w:rsidRPr="00A06029" w14:paraId="3A86E05E" w14:textId="77777777" w:rsidTr="004B3A52">
        <w:trPr>
          <w:trHeight w:val="835"/>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7552DD1" w14:textId="77777777" w:rsidR="002C0D15" w:rsidRPr="00A06029" w:rsidRDefault="003439FF" w:rsidP="00813A82">
            <w:pPr>
              <w:widowControl w:val="0"/>
              <w:tabs>
                <w:tab w:val="left" w:pos="720"/>
                <w:tab w:val="left" w:pos="1080"/>
                <w:tab w:val="left" w:pos="1440"/>
                <w:tab w:val="left" w:pos="1800"/>
              </w:tabs>
              <w:autoSpaceDE w:val="0"/>
              <w:autoSpaceDN w:val="0"/>
              <w:adjustRightInd w:val="0"/>
              <w:rPr>
                <w:b/>
                <w:bCs/>
                <w:sz w:val="18"/>
                <w:szCs w:val="18"/>
                <w:lang w:bidi="en-US"/>
              </w:rPr>
            </w:pPr>
            <w:r w:rsidRPr="00A06029">
              <w:rPr>
                <w:b/>
                <w:bCs/>
                <w:sz w:val="18"/>
                <w:szCs w:val="18"/>
                <w:lang w:bidi="en-US"/>
              </w:rPr>
              <w:lastRenderedPageBreak/>
              <w:t>Capacity and Commitment</w:t>
            </w:r>
          </w:p>
          <w:p w14:paraId="69CB624C" w14:textId="067B7D0E"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A06029">
              <w:rPr>
                <w:sz w:val="18"/>
                <w:szCs w:val="18"/>
                <w:u w:val="single"/>
                <w:lang w:bidi="en-US"/>
              </w:rPr>
              <w:t>Scoring Criteria</w:t>
            </w:r>
            <w:r w:rsidRPr="00A06029">
              <w:rPr>
                <w:sz w:val="18"/>
                <w:szCs w:val="18"/>
                <w:lang w:bidi="en-US"/>
              </w:rPr>
              <w:t>: The extent to which the district and school demonstrate the capacity a</w:t>
            </w:r>
            <w:r w:rsidR="006A0C55" w:rsidRPr="00A06029">
              <w:rPr>
                <w:sz w:val="18"/>
                <w:szCs w:val="18"/>
                <w:lang w:bidi="en-US"/>
              </w:rPr>
              <w:t xml:space="preserve">nd commitment to use SRG </w:t>
            </w:r>
            <w:r w:rsidRPr="00A06029">
              <w:rPr>
                <w:sz w:val="18"/>
                <w:szCs w:val="18"/>
                <w:lang w:bidi="en-US"/>
              </w:rPr>
              <w:t>funds to support the strategies identified in the application and are planning for sustainability.</w:t>
            </w:r>
          </w:p>
        </w:tc>
      </w:tr>
      <w:tr w:rsidR="004B3A52" w:rsidRPr="00A06029" w14:paraId="3B6FD4DB" w14:textId="77777777" w:rsidTr="004B3A52">
        <w:tblPrEx>
          <w:tblBorders>
            <w:top w:val="none" w:sz="0" w:space="0" w:color="auto"/>
          </w:tblBorders>
        </w:tblPrEx>
        <w:trPr>
          <w:trHeight w:val="340"/>
          <w:jc w:val="center"/>
        </w:trPr>
        <w:tc>
          <w:tcPr>
            <w:tcW w:w="1350" w:type="dxa"/>
            <w:tcBorders>
              <w:top w:val="single" w:sz="8" w:space="0" w:color="auto"/>
              <w:left w:val="single" w:sz="8" w:space="0" w:color="auto"/>
              <w:bottom w:val="single" w:sz="8" w:space="0" w:color="auto"/>
              <w:right w:val="single" w:sz="8" w:space="0" w:color="auto"/>
            </w:tcBorders>
          </w:tcPr>
          <w:p w14:paraId="635A390F"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74BD629"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36390F9"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DBD957F"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D1CF856"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4B3A52" w:rsidRPr="00A06029" w14:paraId="125C3493" w14:textId="77777777" w:rsidTr="00537E34">
        <w:tblPrEx>
          <w:tblBorders>
            <w:top w:val="none" w:sz="0" w:space="0" w:color="auto"/>
          </w:tblBorders>
        </w:tblPrEx>
        <w:trPr>
          <w:trHeight w:val="1285"/>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015FCD3E" w14:textId="4DE5A002"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w:t>
            </w:r>
            <w:r w:rsidR="003439FF" w:rsidRPr="00A06029">
              <w:rPr>
                <w:kern w:val="1"/>
                <w:sz w:val="18"/>
                <w:szCs w:val="18"/>
                <w:lang w:bidi="en-US"/>
              </w:rPr>
              <w:t>:</w:t>
            </w:r>
          </w:p>
          <w:p w14:paraId="53517281"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District Support</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14:paraId="76A2946E"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renewal application provides a detailed description of how the district is actively and meaningfully supporting the school in its improvement efforts.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14:paraId="562535E6"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provides a general description of how the district is actively and meaningfully supporting the school in its improvement efforts.</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C918ECB"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provides a general description of how the district is supporting the school in its improvement efforts, but it is unclear if the support is frequent or meaningful.</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27200493" w14:textId="77777777" w:rsidR="003439FF" w:rsidRPr="00A06029" w:rsidRDefault="003439FF"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provides a partial or weak description of how the district is supporting the school in its improvement efforts.</w:t>
            </w:r>
          </w:p>
        </w:tc>
      </w:tr>
      <w:tr w:rsidR="004B3A52" w:rsidRPr="00A06029" w14:paraId="0A84E2EA" w14:textId="77777777" w:rsidTr="00537E34">
        <w:tblPrEx>
          <w:tblBorders>
            <w:top w:val="none" w:sz="0" w:space="0" w:color="auto"/>
          </w:tblBorders>
        </w:tblPrEx>
        <w:trPr>
          <w:trHeight w:val="628"/>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7659B594" w14:textId="60A8AAD8"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2</w:t>
            </w:r>
            <w:r w:rsidR="003439FF" w:rsidRPr="00A06029">
              <w:rPr>
                <w:kern w:val="1"/>
                <w:sz w:val="18"/>
                <w:szCs w:val="18"/>
                <w:lang w:bidi="en-US"/>
              </w:rPr>
              <w:t xml:space="preserve">: </w:t>
            </w:r>
          </w:p>
          <w:p w14:paraId="6A97E839"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Feedback to Improve Instruction</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14:paraId="60B4BD7A" w14:textId="77777777"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describes in detail how school leadership </w:t>
            </w:r>
            <w:r w:rsidR="00F424DE" w:rsidRPr="00A06029">
              <w:rPr>
                <w:sz w:val="18"/>
                <w:szCs w:val="18"/>
                <w:lang w:bidi="en-US"/>
              </w:rPr>
              <w:t>uses</w:t>
            </w:r>
            <w:r w:rsidRPr="00A06029">
              <w:rPr>
                <w:sz w:val="18"/>
                <w:szCs w:val="18"/>
                <w:lang w:bidi="en-US"/>
              </w:rPr>
              <w:t xml:space="preserve"> </w:t>
            </w:r>
            <w:r w:rsidR="00BE61CF" w:rsidRPr="00A06029">
              <w:rPr>
                <w:sz w:val="18"/>
                <w:szCs w:val="18"/>
                <w:lang w:bidi="en-US"/>
              </w:rPr>
              <w:t xml:space="preserve">formal and informal </w:t>
            </w:r>
            <w:r w:rsidRPr="00A06029">
              <w:rPr>
                <w:sz w:val="18"/>
                <w:szCs w:val="18"/>
                <w:lang w:bidi="en-US"/>
              </w:rPr>
              <w:t xml:space="preserve">observations of instructional practice for </w:t>
            </w:r>
            <w:r w:rsidRPr="00A06029">
              <w:rPr>
                <w:b/>
                <w:sz w:val="18"/>
                <w:szCs w:val="18"/>
                <w:lang w:bidi="en-US"/>
              </w:rPr>
              <w:t>each</w:t>
            </w:r>
            <w:r w:rsidRPr="00A06029">
              <w:rPr>
                <w:sz w:val="18"/>
                <w:szCs w:val="18"/>
                <w:lang w:bidi="en-US"/>
              </w:rPr>
              <w:t xml:space="preserve"> of the following:</w:t>
            </w:r>
          </w:p>
          <w:p w14:paraId="10D5EB4F"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79B0DE15"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1144C82A"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16BFA28A"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14:paraId="74471ED1" w14:textId="77777777" w:rsidR="008A7182" w:rsidRDefault="008A7182">
            <w:pPr>
              <w:spacing w:before="40" w:after="40"/>
              <w:rPr>
                <w:sz w:val="18"/>
                <w:szCs w:val="18"/>
                <w:lang w:bidi="en-US"/>
              </w:rPr>
            </w:pPr>
          </w:p>
          <w:p w14:paraId="4330B51B" w14:textId="77777777" w:rsidR="008A7182" w:rsidRDefault="008A7182">
            <w:pPr>
              <w:spacing w:before="40" w:after="40"/>
              <w:rPr>
                <w:sz w:val="18"/>
                <w:szCs w:val="18"/>
                <w:lang w:bidi="en-US"/>
              </w:rPr>
            </w:pPr>
          </w:p>
          <w:p w14:paraId="0237F214" w14:textId="77777777" w:rsidR="008A7182" w:rsidRDefault="008A7182">
            <w:pPr>
              <w:spacing w:before="40" w:after="40"/>
              <w:rPr>
                <w:sz w:val="18"/>
                <w:szCs w:val="18"/>
                <w:lang w:bidi="en-US"/>
              </w:rPr>
            </w:pPr>
          </w:p>
          <w:p w14:paraId="50CB5336" w14:textId="75AB1B70"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generally describes how school leadership </w:t>
            </w:r>
            <w:r w:rsidR="00BE61CF" w:rsidRPr="00A06029">
              <w:rPr>
                <w:sz w:val="18"/>
                <w:szCs w:val="18"/>
                <w:lang w:bidi="en-US"/>
              </w:rPr>
              <w:t>uses formal and informal</w:t>
            </w:r>
            <w:r w:rsidRPr="00A06029">
              <w:rPr>
                <w:sz w:val="18"/>
                <w:szCs w:val="18"/>
                <w:lang w:bidi="en-US"/>
              </w:rPr>
              <w:t xml:space="preserve"> observations of instructional practice for </w:t>
            </w:r>
            <w:r w:rsidRPr="00A06029">
              <w:rPr>
                <w:b/>
                <w:sz w:val="18"/>
                <w:szCs w:val="18"/>
                <w:lang w:bidi="en-US"/>
              </w:rPr>
              <w:t>each</w:t>
            </w:r>
            <w:r w:rsidRPr="00A06029">
              <w:rPr>
                <w:sz w:val="18"/>
                <w:szCs w:val="18"/>
                <w:lang w:bidi="en-US"/>
              </w:rPr>
              <w:t xml:space="preserve"> of the following:</w:t>
            </w:r>
          </w:p>
          <w:p w14:paraId="2344189C"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0670D1EC"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3131F585"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1140E271"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p w14:paraId="31FC41C0" w14:textId="77777777" w:rsidR="00021954" w:rsidRPr="00A06029" w:rsidRDefault="00021954" w:rsidP="00021954">
            <w:pPr>
              <w:spacing w:before="40" w:after="40"/>
              <w:contextualSpacing/>
              <w:rPr>
                <w:sz w:val="22"/>
                <w:szCs w:val="22"/>
                <w:lang w:bidi="en-US"/>
              </w:rPr>
            </w:pPr>
          </w:p>
          <w:p w14:paraId="376CEAE7" w14:textId="77777777" w:rsidR="00021954" w:rsidRPr="00A06029" w:rsidRDefault="00021954" w:rsidP="00021954">
            <w:pPr>
              <w:spacing w:before="40" w:after="40"/>
              <w:contextualSpacing/>
              <w:rPr>
                <w:sz w:val="22"/>
                <w:szCs w:val="22"/>
                <w:lang w:bidi="en-US"/>
              </w:rPr>
            </w:pPr>
          </w:p>
          <w:p w14:paraId="75B57A2B" w14:textId="77777777" w:rsidR="00021954" w:rsidRPr="00A06029" w:rsidRDefault="00021954" w:rsidP="00021954">
            <w:pPr>
              <w:spacing w:before="40" w:after="40"/>
              <w:contextualSpacing/>
              <w:rPr>
                <w:sz w:val="22"/>
                <w:szCs w:val="22"/>
                <w:lang w:bidi="en-US"/>
              </w:rPr>
            </w:pPr>
          </w:p>
          <w:p w14:paraId="64A4BE4A" w14:textId="051AF1A8" w:rsidR="00021954" w:rsidRPr="00A06029" w:rsidRDefault="00021954" w:rsidP="00021954">
            <w:pPr>
              <w:spacing w:before="40" w:after="40"/>
              <w:contextualSpacing/>
              <w:rPr>
                <w:sz w:val="22"/>
                <w:szCs w:val="22"/>
                <w:lang w:bidi="en-US"/>
              </w:rPr>
            </w:pP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F2507F5" w14:textId="77777777"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generally describes how school leadership</w:t>
            </w:r>
            <w:r w:rsidR="00F424DE" w:rsidRPr="00A06029">
              <w:rPr>
                <w:sz w:val="18"/>
                <w:szCs w:val="18"/>
                <w:lang w:bidi="en-US"/>
              </w:rPr>
              <w:t xml:space="preserve"> </w:t>
            </w:r>
            <w:r w:rsidR="004E4C96" w:rsidRPr="00A06029">
              <w:rPr>
                <w:sz w:val="18"/>
                <w:szCs w:val="18"/>
                <w:lang w:bidi="en-US"/>
              </w:rPr>
              <w:t xml:space="preserve">uses formal and informal </w:t>
            </w:r>
            <w:r w:rsidRPr="00A06029">
              <w:rPr>
                <w:sz w:val="18"/>
                <w:szCs w:val="18"/>
                <w:lang w:bidi="en-US"/>
              </w:rPr>
              <w:t xml:space="preserve">observations of instructional practice for </w:t>
            </w:r>
            <w:r w:rsidRPr="00A06029">
              <w:rPr>
                <w:b/>
                <w:sz w:val="18"/>
                <w:szCs w:val="18"/>
                <w:lang w:bidi="en-US"/>
              </w:rPr>
              <w:t>some (3), but not all,</w:t>
            </w:r>
            <w:r w:rsidRPr="00A06029">
              <w:rPr>
                <w:sz w:val="18"/>
                <w:szCs w:val="18"/>
                <w:lang w:bidi="en-US"/>
              </w:rPr>
              <w:t xml:space="preserve"> of the following:</w:t>
            </w:r>
          </w:p>
          <w:p w14:paraId="6AAF0B22"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584AFBFB"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4FB1A3D9"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6CE7A999" w14:textId="77777777" w:rsidR="003439FF" w:rsidRPr="00A06029" w:rsidRDefault="003439FF" w:rsidP="003439FF">
            <w:pPr>
              <w:pStyle w:val="ListParagraph"/>
              <w:numPr>
                <w:ilvl w:val="0"/>
                <w:numId w:val="36"/>
              </w:numPr>
              <w:spacing w:before="40" w:after="40"/>
              <w:ind w:left="256" w:hanging="25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0E6256C2" w14:textId="77777777" w:rsidR="002C0D15" w:rsidRPr="00A06029" w:rsidRDefault="003439FF">
            <w:pPr>
              <w:spacing w:before="40" w:after="4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provides a limited description of how school leadership</w:t>
            </w:r>
            <w:r w:rsidR="00F424DE" w:rsidRPr="00A06029">
              <w:rPr>
                <w:sz w:val="18"/>
                <w:szCs w:val="18"/>
                <w:lang w:bidi="en-US"/>
              </w:rPr>
              <w:t xml:space="preserve"> </w:t>
            </w:r>
            <w:r w:rsidR="004E4C96" w:rsidRPr="00A06029">
              <w:rPr>
                <w:sz w:val="18"/>
                <w:szCs w:val="18"/>
                <w:lang w:bidi="en-US"/>
              </w:rPr>
              <w:t xml:space="preserve">uses formal and informal </w:t>
            </w:r>
            <w:r w:rsidRPr="00A06029">
              <w:rPr>
                <w:sz w:val="18"/>
                <w:szCs w:val="18"/>
                <w:lang w:bidi="en-US"/>
              </w:rPr>
              <w:t xml:space="preserve">observations of instructional practice </w:t>
            </w:r>
            <w:r w:rsidRPr="00A06029">
              <w:rPr>
                <w:b/>
                <w:sz w:val="18"/>
                <w:szCs w:val="18"/>
                <w:lang w:bidi="en-US"/>
              </w:rPr>
              <w:t>OR</w:t>
            </w:r>
            <w:r w:rsidRPr="00A06029">
              <w:rPr>
                <w:sz w:val="18"/>
                <w:szCs w:val="18"/>
                <w:lang w:bidi="en-US"/>
              </w:rPr>
              <w:t xml:space="preserve"> provides limited descriptions of systems and processes for </w:t>
            </w:r>
            <w:r w:rsidRPr="00A06029">
              <w:rPr>
                <w:b/>
                <w:sz w:val="18"/>
                <w:szCs w:val="18"/>
                <w:lang w:bidi="en-US"/>
              </w:rPr>
              <w:t>most (2 or more)</w:t>
            </w:r>
            <w:r w:rsidRPr="00A06029">
              <w:rPr>
                <w:sz w:val="18"/>
                <w:szCs w:val="18"/>
                <w:lang w:bidi="en-US"/>
              </w:rPr>
              <w:t xml:space="preserve"> of the following:</w:t>
            </w:r>
          </w:p>
          <w:p w14:paraId="6DA713D6"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Consistently communicating a clear instructional focus that represents high expectations for students and staff</w:t>
            </w:r>
          </w:p>
          <w:p w14:paraId="3DB0DDE5"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Conducting daily or weekly classroom observations and sharing specific and actionable feedback with teachers and teacher teams</w:t>
            </w:r>
          </w:p>
          <w:p w14:paraId="453D7C6C" w14:textId="77777777" w:rsidR="003439FF" w:rsidRPr="00A06029" w:rsidRDefault="003439FF" w:rsidP="003439FF">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 xml:space="preserve">Analyzing the feedback in conjunction with other data to guide individual and school-wide professional development and other strategic decisions </w:t>
            </w:r>
          </w:p>
          <w:p w14:paraId="62DB1A17" w14:textId="617300F9" w:rsidR="008A7182" w:rsidRPr="008A7182" w:rsidRDefault="003439FF" w:rsidP="008A7182">
            <w:pPr>
              <w:pStyle w:val="ListParagraph"/>
              <w:numPr>
                <w:ilvl w:val="0"/>
                <w:numId w:val="36"/>
              </w:numPr>
              <w:spacing w:before="40" w:after="40"/>
              <w:ind w:left="166" w:hanging="166"/>
              <w:contextualSpacing/>
              <w:rPr>
                <w:rFonts w:cs="Times New Roman"/>
                <w:sz w:val="18"/>
                <w:szCs w:val="18"/>
                <w:lang w:bidi="en-US"/>
              </w:rPr>
            </w:pPr>
            <w:r w:rsidRPr="00A06029">
              <w:rPr>
                <w:rFonts w:cs="Times New Roman"/>
                <w:sz w:val="18"/>
                <w:szCs w:val="18"/>
                <w:lang w:bidi="en-US"/>
              </w:rPr>
              <w:t>Ensuring feedback is professionally valued and promotes a school-wide mindset to collectively improve adult practice.</w:t>
            </w:r>
          </w:p>
        </w:tc>
      </w:tr>
      <w:tr w:rsidR="00FD1CF3" w:rsidRPr="00A06029" w14:paraId="4B0406D0" w14:textId="77777777" w:rsidTr="00FD1CF3">
        <w:tblPrEx>
          <w:tblBorders>
            <w:top w:val="none" w:sz="0" w:space="0" w:color="auto"/>
          </w:tblBorders>
        </w:tblPrEx>
        <w:trPr>
          <w:trHeight w:val="313"/>
          <w:jc w:val="center"/>
        </w:trPr>
        <w:tc>
          <w:tcPr>
            <w:tcW w:w="1350" w:type="dxa"/>
            <w:tcBorders>
              <w:top w:val="single" w:sz="4" w:space="0" w:color="auto"/>
              <w:left w:val="single" w:sz="4" w:space="0" w:color="auto"/>
              <w:bottom w:val="single" w:sz="4" w:space="0" w:color="auto"/>
              <w:right w:val="single" w:sz="8" w:space="0" w:color="auto"/>
            </w:tcBorders>
            <w:shd w:val="clear" w:color="auto" w:fill="auto"/>
          </w:tcPr>
          <w:p w14:paraId="2701D67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240" w:type="dxa"/>
            <w:tcBorders>
              <w:top w:val="single" w:sz="4" w:space="0" w:color="auto"/>
              <w:left w:val="single" w:sz="8" w:space="0" w:color="auto"/>
              <w:bottom w:val="single" w:sz="4" w:space="0" w:color="auto"/>
              <w:right w:val="single" w:sz="4" w:space="0" w:color="auto"/>
            </w:tcBorders>
            <w:shd w:val="clear" w:color="auto" w:fill="auto"/>
          </w:tcPr>
          <w:p w14:paraId="58B9349D" w14:textId="5DEA02D4" w:rsidR="00FD1CF3" w:rsidRPr="00A06029" w:rsidRDefault="00FD1CF3" w:rsidP="00C626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420" w:type="dxa"/>
            <w:tcBorders>
              <w:top w:val="single" w:sz="4" w:space="0" w:color="auto"/>
              <w:left w:val="single" w:sz="4" w:space="0" w:color="auto"/>
              <w:bottom w:val="single" w:sz="4" w:space="0" w:color="auto"/>
              <w:right w:val="single" w:sz="8" w:space="0" w:color="auto"/>
            </w:tcBorders>
            <w:shd w:val="clear" w:color="auto" w:fill="auto"/>
          </w:tcPr>
          <w:p w14:paraId="2AA385EF"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5E55EE53"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21A4D174"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FD1CF3" w:rsidRPr="00A06029" w14:paraId="21B3E743" w14:textId="77777777" w:rsidTr="00537E34">
        <w:tblPrEx>
          <w:tblBorders>
            <w:top w:val="none" w:sz="0" w:space="0" w:color="auto"/>
          </w:tblBorders>
        </w:tblPrEx>
        <w:trPr>
          <w:trHeight w:val="5218"/>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748631D3" w14:textId="0F62B8B4" w:rsidR="00FD1CF3"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lastRenderedPageBreak/>
              <w:t>3</w:t>
            </w:r>
            <w:r w:rsidR="00FD1CF3" w:rsidRPr="00A06029">
              <w:rPr>
                <w:kern w:val="1"/>
                <w:sz w:val="18"/>
                <w:szCs w:val="18"/>
                <w:lang w:bidi="en-US"/>
              </w:rPr>
              <w:t xml:space="preserve">: </w:t>
            </w:r>
          </w:p>
          <w:p w14:paraId="5B326ACE" w14:textId="77777777" w:rsidR="00FD1CF3" w:rsidRPr="00A06029" w:rsidRDefault="00FD1CF3" w:rsidP="00813A82">
            <w:pPr>
              <w:widowControl w:val="0"/>
              <w:autoSpaceDE w:val="0"/>
              <w:autoSpaceDN w:val="0"/>
              <w:adjustRightInd w:val="0"/>
              <w:jc w:val="center"/>
              <w:rPr>
                <w:kern w:val="1"/>
                <w:sz w:val="18"/>
                <w:szCs w:val="18"/>
                <w:lang w:bidi="en-US"/>
              </w:rPr>
            </w:pPr>
            <w:r w:rsidRPr="00A06029">
              <w:rPr>
                <w:kern w:val="1"/>
                <w:sz w:val="18"/>
                <w:szCs w:val="18"/>
                <w:lang w:bidi="en-US"/>
              </w:rPr>
              <w:t xml:space="preserve">Professional Collaboration Among All Staff </w:t>
            </w:r>
          </w:p>
        </w:tc>
        <w:tc>
          <w:tcPr>
            <w:tcW w:w="3240" w:type="dxa"/>
            <w:tcBorders>
              <w:top w:val="single" w:sz="4" w:space="0" w:color="auto"/>
              <w:left w:val="single" w:sz="8" w:space="0" w:color="auto"/>
              <w:bottom w:val="single" w:sz="4" w:space="0" w:color="auto"/>
              <w:right w:val="single" w:sz="4" w:space="0" w:color="auto"/>
            </w:tcBorders>
            <w:shd w:val="clear" w:color="auto" w:fill="auto"/>
          </w:tcPr>
          <w:p w14:paraId="3838441E"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The renewal application provides detailed evidence that the school has developed and is improving communication systems and structures that support professional collaboration and school turnaround, that directly address:</w:t>
            </w:r>
          </w:p>
          <w:p w14:paraId="619A0039"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6C0775ED"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Communicating instructional goals and expectations</w:t>
            </w:r>
          </w:p>
          <w:p w14:paraId="75440286"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4D21D19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2572013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21A49A4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56" w:hanging="256"/>
              <w:contextualSpacing/>
              <w:rPr>
                <w:rFonts w:cs="Times New Roman"/>
                <w:kern w:val="1"/>
                <w:sz w:val="18"/>
                <w:szCs w:val="18"/>
                <w:lang w:bidi="en-US"/>
              </w:rPr>
            </w:pPr>
            <w:r w:rsidRPr="00A06029">
              <w:rPr>
                <w:rFonts w:cs="Times New Roman"/>
                <w:kern w:val="1"/>
                <w:sz w:val="18"/>
                <w:szCs w:val="18"/>
                <w:lang w:bidi="en-US"/>
              </w:rPr>
              <w:t>Deepening a common sense of urgency</w:t>
            </w:r>
          </w:p>
        </w:tc>
        <w:tc>
          <w:tcPr>
            <w:tcW w:w="3420" w:type="dxa"/>
            <w:tcBorders>
              <w:top w:val="single" w:sz="4" w:space="0" w:color="auto"/>
              <w:left w:val="single" w:sz="4" w:space="0" w:color="auto"/>
              <w:bottom w:val="single" w:sz="4" w:space="0" w:color="auto"/>
              <w:right w:val="single" w:sz="8" w:space="0" w:color="auto"/>
            </w:tcBorders>
            <w:shd w:val="clear" w:color="auto" w:fill="auto"/>
          </w:tcPr>
          <w:p w14:paraId="42BE8734"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 xml:space="preserve">The renewal application provides general evidence that the school has developed and is improving communication systems and structures that support professional collaboration and school turnaround, that address </w:t>
            </w:r>
            <w:r w:rsidRPr="00A06029">
              <w:rPr>
                <w:b/>
                <w:sz w:val="18"/>
                <w:szCs w:val="18"/>
                <w:lang w:bidi="en-US"/>
              </w:rPr>
              <w:t>some (at least 4)</w:t>
            </w:r>
            <w:r w:rsidRPr="00A06029">
              <w:rPr>
                <w:sz w:val="18"/>
                <w:szCs w:val="18"/>
                <w:lang w:bidi="en-US"/>
              </w:rPr>
              <w:t xml:space="preserve"> of the following: </w:t>
            </w:r>
          </w:p>
          <w:p w14:paraId="2255BCB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4E34B43B"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Communicating instructional goals and expectations</w:t>
            </w:r>
          </w:p>
          <w:p w14:paraId="56F324C8"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48D6F555"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798E8E33"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6CF22FF0"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kern w:val="1"/>
                <w:sz w:val="18"/>
                <w:szCs w:val="18"/>
                <w:lang w:bidi="en-US"/>
              </w:rPr>
              <w:t>Deepening a common sense of urgency</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2225FC4E"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 xml:space="preserve">The renewal application describes professional collaboration opportunities that aren’t clearly connected as a system </w:t>
            </w:r>
            <w:r w:rsidRPr="00A06029">
              <w:rPr>
                <w:b/>
                <w:sz w:val="18"/>
                <w:szCs w:val="18"/>
                <w:lang w:bidi="en-US"/>
              </w:rPr>
              <w:t>OR</w:t>
            </w:r>
            <w:r w:rsidRPr="00A06029">
              <w:rPr>
                <w:sz w:val="18"/>
                <w:szCs w:val="18"/>
                <w:lang w:bidi="en-US"/>
              </w:rPr>
              <w:t xml:space="preserve"> only generally addresses </w:t>
            </w:r>
            <w:r w:rsidRPr="00A06029">
              <w:rPr>
                <w:b/>
                <w:sz w:val="18"/>
                <w:szCs w:val="18"/>
                <w:lang w:bidi="en-US"/>
              </w:rPr>
              <w:t>less than 4</w:t>
            </w:r>
            <w:r w:rsidRPr="00A06029">
              <w:rPr>
                <w:sz w:val="18"/>
                <w:szCs w:val="18"/>
                <w:lang w:bidi="en-US"/>
              </w:rPr>
              <w:t xml:space="preserve"> of the following: </w:t>
            </w:r>
          </w:p>
          <w:p w14:paraId="264D086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7447A5D0"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Communicating instructional goals and expectations </w:t>
            </w:r>
          </w:p>
          <w:p w14:paraId="7BB1135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533F2D3E"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39B7987D"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5361BBA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kern w:val="1"/>
                <w:sz w:val="18"/>
                <w:szCs w:val="18"/>
                <w:lang w:bidi="en-US"/>
              </w:rPr>
              <w:t>Deepening a common sense of urgency</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tcPr>
          <w:p w14:paraId="67686050" w14:textId="77777777" w:rsidR="00FD1CF3" w:rsidRPr="00A06029" w:rsidRDefault="00FD1CF3" w:rsidP="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sz w:val="18"/>
                <w:szCs w:val="18"/>
                <w:lang w:bidi="en-US"/>
              </w:rPr>
            </w:pPr>
            <w:r w:rsidRPr="00A06029">
              <w:rPr>
                <w:sz w:val="18"/>
                <w:szCs w:val="18"/>
                <w:lang w:bidi="en-US"/>
              </w:rPr>
              <w:t xml:space="preserve">The renewal application describes a variety of discreet professional collaboration opportunities </w:t>
            </w:r>
            <w:r w:rsidRPr="00A06029">
              <w:rPr>
                <w:b/>
                <w:sz w:val="18"/>
                <w:szCs w:val="18"/>
                <w:lang w:bidi="en-US"/>
              </w:rPr>
              <w:t>AND</w:t>
            </w:r>
            <w:r w:rsidRPr="00A06029">
              <w:rPr>
                <w:sz w:val="18"/>
                <w:szCs w:val="18"/>
                <w:lang w:bidi="en-US"/>
              </w:rPr>
              <w:t xml:space="preserve"> only generally addresses </w:t>
            </w:r>
            <w:r w:rsidRPr="00A06029">
              <w:rPr>
                <w:b/>
                <w:sz w:val="18"/>
                <w:szCs w:val="18"/>
                <w:lang w:bidi="en-US"/>
              </w:rPr>
              <w:t>less than 4</w:t>
            </w:r>
            <w:r w:rsidRPr="00A06029">
              <w:rPr>
                <w:sz w:val="18"/>
                <w:szCs w:val="18"/>
                <w:lang w:bidi="en-US"/>
              </w:rPr>
              <w:t xml:space="preserve"> of the following: </w:t>
            </w:r>
          </w:p>
          <w:p w14:paraId="2A43BFD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Building trusting relationships across all staff and a culture of continuous professional growth</w:t>
            </w:r>
          </w:p>
          <w:p w14:paraId="04229E34"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Communicating instructional goals and expectations and reflect on progress</w:t>
            </w:r>
          </w:p>
          <w:p w14:paraId="3F1BEC3C"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Creating ownership for the success of all students</w:t>
            </w:r>
          </w:p>
          <w:p w14:paraId="2D428E3E"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Embedding opportunities to openly share and improve practice</w:t>
            </w:r>
          </w:p>
          <w:p w14:paraId="6D57AF32"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sz w:val="18"/>
                <w:szCs w:val="18"/>
                <w:lang w:bidi="en-US"/>
              </w:rPr>
              <w:t xml:space="preserve">Encouraging teacher agency and responsibility for meeting school-wide goals </w:t>
            </w:r>
          </w:p>
          <w:p w14:paraId="57E906BA" w14:textId="77777777" w:rsidR="00FD1CF3" w:rsidRPr="00A06029" w:rsidRDefault="00FD1CF3" w:rsidP="003439FF">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contextualSpacing/>
              <w:rPr>
                <w:rFonts w:cs="Times New Roman"/>
                <w:kern w:val="1"/>
                <w:sz w:val="18"/>
                <w:szCs w:val="18"/>
                <w:lang w:bidi="en-US"/>
              </w:rPr>
            </w:pPr>
            <w:r w:rsidRPr="00A06029">
              <w:rPr>
                <w:rFonts w:cs="Times New Roman"/>
                <w:kern w:val="1"/>
                <w:sz w:val="18"/>
                <w:szCs w:val="18"/>
                <w:lang w:bidi="en-US"/>
              </w:rPr>
              <w:t>Deepening a common sense of urgency</w:t>
            </w:r>
          </w:p>
        </w:tc>
      </w:tr>
      <w:tr w:rsidR="00FD1CF3" w:rsidRPr="00A06029" w14:paraId="181A9653" w14:textId="77777777" w:rsidTr="004B3A52">
        <w:tblPrEx>
          <w:tblBorders>
            <w:top w:val="none" w:sz="0" w:space="0" w:color="auto"/>
          </w:tblBorders>
        </w:tblPrEx>
        <w:trPr>
          <w:trHeight w:val="1960"/>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0DBBB914" w14:textId="2BC3DCDE" w:rsidR="00FD1CF3"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4</w:t>
            </w:r>
            <w:r w:rsidR="00FD1CF3" w:rsidRPr="00A06029">
              <w:rPr>
                <w:kern w:val="1"/>
                <w:sz w:val="18"/>
                <w:szCs w:val="18"/>
                <w:lang w:bidi="en-US"/>
              </w:rPr>
              <w:t xml:space="preserve">: </w:t>
            </w:r>
          </w:p>
          <w:p w14:paraId="75B7EF88" w14:textId="77777777" w:rsidR="00FD1CF3" w:rsidRPr="00A06029" w:rsidRDefault="00FD1CF3" w:rsidP="00813A82">
            <w:pPr>
              <w:widowControl w:val="0"/>
              <w:autoSpaceDE w:val="0"/>
              <w:autoSpaceDN w:val="0"/>
              <w:adjustRightInd w:val="0"/>
              <w:jc w:val="center"/>
              <w:rPr>
                <w:kern w:val="1"/>
                <w:sz w:val="18"/>
                <w:szCs w:val="18"/>
                <w:lang w:bidi="en-US"/>
              </w:rPr>
            </w:pPr>
            <w:r w:rsidRPr="00A06029">
              <w:rPr>
                <w:kern w:val="1"/>
                <w:sz w:val="18"/>
                <w:szCs w:val="18"/>
                <w:lang w:bidi="en-US"/>
              </w:rPr>
              <w:t>Addressing the Needs of Students of Color</w:t>
            </w:r>
          </w:p>
        </w:tc>
        <w:tc>
          <w:tcPr>
            <w:tcW w:w="3240" w:type="dxa"/>
            <w:tcBorders>
              <w:top w:val="single" w:sz="4" w:space="0" w:color="auto"/>
              <w:left w:val="single" w:sz="8" w:space="0" w:color="auto"/>
              <w:bottom w:val="single" w:sz="4" w:space="0" w:color="auto"/>
              <w:right w:val="single" w:sz="4" w:space="0" w:color="auto"/>
            </w:tcBorders>
            <w:shd w:val="clear" w:color="auto" w:fill="auto"/>
            <w:vAlign w:val="center"/>
          </w:tcPr>
          <w:p w14:paraId="2C6D283F" w14:textId="77777777" w:rsidR="00FD1CF3" w:rsidRPr="00A06029" w:rsidRDefault="00FD1CF3">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18"/>
                <w:szCs w:val="18"/>
                <w:lang w:bidi="en-US"/>
              </w:rPr>
            </w:pPr>
            <w:r w:rsidRPr="00A06029">
              <w:rPr>
                <w:sz w:val="18"/>
                <w:szCs w:val="18"/>
              </w:rPr>
              <w:t xml:space="preserve">There is a clear data analysis of students of color </w:t>
            </w:r>
            <w:r w:rsidRPr="00A06029">
              <w:rPr>
                <w:b/>
                <w:bCs/>
                <w:sz w:val="18"/>
                <w:szCs w:val="18"/>
              </w:rPr>
              <w:t xml:space="preserve">AND </w:t>
            </w:r>
            <w:r w:rsidRPr="00A06029">
              <w:rPr>
                <w:sz w:val="18"/>
                <w:szCs w:val="18"/>
              </w:rPr>
              <w:t>the plan clearly describes what steps will be taken to specifically address the needs of students of color. </w:t>
            </w:r>
          </w:p>
        </w:tc>
        <w:tc>
          <w:tcPr>
            <w:tcW w:w="3420" w:type="dxa"/>
            <w:tcBorders>
              <w:top w:val="single" w:sz="4" w:space="0" w:color="auto"/>
              <w:left w:val="single" w:sz="4" w:space="0" w:color="auto"/>
              <w:bottom w:val="single" w:sz="4" w:space="0" w:color="auto"/>
              <w:right w:val="single" w:sz="8" w:space="0" w:color="auto"/>
            </w:tcBorders>
            <w:shd w:val="clear" w:color="auto" w:fill="auto"/>
            <w:vAlign w:val="center"/>
          </w:tcPr>
          <w:p w14:paraId="72ADCBD4"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center" w:pos="4320"/>
                <w:tab w:val="left" w:pos="4480"/>
                <w:tab w:val="left" w:pos="5040"/>
                <w:tab w:val="left" w:pos="5600"/>
                <w:tab w:val="left" w:pos="6160"/>
                <w:tab w:val="left" w:pos="6720"/>
                <w:tab w:val="right" w:pos="8640"/>
              </w:tabs>
              <w:autoSpaceDE w:val="0"/>
              <w:autoSpaceDN w:val="0"/>
              <w:adjustRightInd w:val="0"/>
              <w:rPr>
                <w:sz w:val="18"/>
                <w:szCs w:val="18"/>
                <w:lang w:bidi="en-US"/>
              </w:rPr>
            </w:pPr>
            <w:r w:rsidRPr="00A06029">
              <w:rPr>
                <w:sz w:val="18"/>
                <w:szCs w:val="18"/>
              </w:rPr>
              <w:t xml:space="preserve">There is a general data analysis of students of color </w:t>
            </w:r>
            <w:r w:rsidRPr="00A06029">
              <w:rPr>
                <w:b/>
                <w:bCs/>
                <w:sz w:val="18"/>
                <w:szCs w:val="18"/>
              </w:rPr>
              <w:t xml:space="preserve">AND </w:t>
            </w:r>
            <w:r w:rsidRPr="00A06029">
              <w:rPr>
                <w:sz w:val="18"/>
                <w:szCs w:val="18"/>
              </w:rPr>
              <w:t>the plan generally describes what steps will be taken to specifically address the needs of students of color. </w:t>
            </w:r>
          </w:p>
        </w:tc>
        <w:tc>
          <w:tcPr>
            <w:tcW w:w="342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10718725"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rPr>
              <w:t xml:space="preserve">There is a general data analysis of students of color </w:t>
            </w:r>
            <w:r w:rsidRPr="00A06029">
              <w:rPr>
                <w:b/>
                <w:bCs/>
                <w:sz w:val="18"/>
                <w:szCs w:val="18"/>
              </w:rPr>
              <w:t xml:space="preserve">OR </w:t>
            </w:r>
            <w:r w:rsidRPr="00A06029">
              <w:rPr>
                <w:sz w:val="18"/>
                <w:szCs w:val="18"/>
              </w:rPr>
              <w:t>the plan generally describes what steps will be taken to specifically address the needs of students of color. </w:t>
            </w:r>
          </w:p>
        </w:tc>
        <w:tc>
          <w:tcPr>
            <w:tcW w:w="3510" w:type="dxa"/>
            <w:tcBorders>
              <w:top w:val="single" w:sz="8" w:space="0" w:color="auto"/>
              <w:left w:val="single" w:sz="8" w:space="0" w:color="auto"/>
              <w:bottom w:val="single" w:sz="8" w:space="0" w:color="auto"/>
              <w:right w:val="single" w:sz="8" w:space="0" w:color="auto"/>
            </w:tcBorders>
            <w:shd w:val="clear" w:color="auto" w:fill="auto"/>
            <w:tcMar>
              <w:top w:w="40" w:type="nil"/>
              <w:left w:w="40" w:type="nil"/>
              <w:bottom w:w="40" w:type="nil"/>
              <w:right w:w="40" w:type="nil"/>
            </w:tcMar>
            <w:vAlign w:val="center"/>
          </w:tcPr>
          <w:p w14:paraId="6E5A451F"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rPr>
              <w:t xml:space="preserve">There is a little to no data analysis of students of color </w:t>
            </w:r>
            <w:r w:rsidRPr="00A06029">
              <w:rPr>
                <w:b/>
                <w:bCs/>
                <w:sz w:val="18"/>
                <w:szCs w:val="18"/>
              </w:rPr>
              <w:t xml:space="preserve">AND </w:t>
            </w:r>
            <w:r w:rsidRPr="00A06029">
              <w:rPr>
                <w:sz w:val="18"/>
                <w:szCs w:val="18"/>
              </w:rPr>
              <w:t>the plan vaguely describes what steps will be taken to specifically address the needs of students of color (or there is no plan at all). </w:t>
            </w:r>
          </w:p>
        </w:tc>
      </w:tr>
    </w:tbl>
    <w:p w14:paraId="4F059C88" w14:textId="77777777" w:rsidR="00537E34" w:rsidRPr="00A06029" w:rsidRDefault="00537E34">
      <w:pPr>
        <w:rPr>
          <w:sz w:val="22"/>
          <w:szCs w:val="22"/>
        </w:rPr>
      </w:pPr>
      <w:r w:rsidRPr="00A06029">
        <w:rPr>
          <w:sz w:val="22"/>
          <w:szCs w:val="22"/>
        </w:rPr>
        <w:br w:type="page"/>
      </w:r>
    </w:p>
    <w:tbl>
      <w:tblPr>
        <w:tblW w:w="14940" w:type="dxa"/>
        <w:jc w:val="center"/>
        <w:tblBorders>
          <w:top w:val="nil"/>
          <w:left w:val="nil"/>
          <w:right w:val="nil"/>
        </w:tblBorders>
        <w:tblLayout w:type="fixed"/>
        <w:tblLook w:val="0000" w:firstRow="0" w:lastRow="0" w:firstColumn="0" w:lastColumn="0" w:noHBand="0" w:noVBand="0"/>
      </w:tblPr>
      <w:tblGrid>
        <w:gridCol w:w="1350"/>
        <w:gridCol w:w="3240"/>
        <w:gridCol w:w="3420"/>
        <w:gridCol w:w="3420"/>
        <w:gridCol w:w="3510"/>
      </w:tblGrid>
      <w:tr w:rsidR="002C0D15" w:rsidRPr="00A06029" w14:paraId="29890D6B" w14:textId="77777777" w:rsidTr="004B3A52">
        <w:trPr>
          <w:trHeight w:val="808"/>
          <w:jc w:val="center"/>
        </w:trPr>
        <w:tc>
          <w:tcPr>
            <w:tcW w:w="14940"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552F7F5" w14:textId="77777777" w:rsidR="00C24E2F" w:rsidRPr="00A06029" w:rsidRDefault="003439FF" w:rsidP="00813A82">
            <w:pPr>
              <w:widowControl w:val="0"/>
              <w:tabs>
                <w:tab w:val="left" w:pos="720"/>
                <w:tab w:val="left" w:pos="1080"/>
                <w:tab w:val="left" w:pos="1440"/>
                <w:tab w:val="left" w:pos="1800"/>
              </w:tabs>
              <w:autoSpaceDE w:val="0"/>
              <w:autoSpaceDN w:val="0"/>
              <w:adjustRightInd w:val="0"/>
              <w:rPr>
                <w:sz w:val="18"/>
                <w:szCs w:val="18"/>
              </w:rPr>
            </w:pPr>
            <w:r w:rsidRPr="00A06029">
              <w:rPr>
                <w:sz w:val="18"/>
                <w:szCs w:val="18"/>
              </w:rPr>
              <w:lastRenderedPageBreak/>
              <w:br w:type="page"/>
            </w:r>
          </w:p>
          <w:p w14:paraId="7AFF30B7" w14:textId="77777777" w:rsidR="002C0D15" w:rsidRPr="00A06029" w:rsidRDefault="003439FF" w:rsidP="00813A82">
            <w:pPr>
              <w:widowControl w:val="0"/>
              <w:tabs>
                <w:tab w:val="left" w:pos="720"/>
                <w:tab w:val="left" w:pos="1080"/>
                <w:tab w:val="left" w:pos="1440"/>
                <w:tab w:val="left" w:pos="1800"/>
              </w:tabs>
              <w:autoSpaceDE w:val="0"/>
              <w:autoSpaceDN w:val="0"/>
              <w:adjustRightInd w:val="0"/>
              <w:rPr>
                <w:sz w:val="18"/>
                <w:szCs w:val="18"/>
              </w:rPr>
            </w:pPr>
            <w:r w:rsidRPr="00A06029">
              <w:rPr>
                <w:b/>
                <w:bCs/>
                <w:sz w:val="18"/>
                <w:szCs w:val="18"/>
                <w:lang w:bidi="en-US"/>
              </w:rPr>
              <w:t>Data Analysis</w:t>
            </w:r>
          </w:p>
          <w:p w14:paraId="2AFCDDF5"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u w:val="single"/>
                <w:lang w:bidi="en-US"/>
              </w:rPr>
              <w:t>Scoring Criteria</w:t>
            </w:r>
            <w:r w:rsidRPr="00A06029">
              <w:rPr>
                <w:sz w:val="18"/>
                <w:szCs w:val="18"/>
                <w:lang w:bidi="en-US"/>
              </w:rPr>
              <w:t xml:space="preserve">: The extent to which the </w:t>
            </w:r>
            <w:r w:rsidR="003E08E0" w:rsidRPr="00A06029">
              <w:rPr>
                <w:sz w:val="18"/>
                <w:szCs w:val="18"/>
                <w:lang w:bidi="en-US"/>
              </w:rPr>
              <w:t xml:space="preserve">analysis provided in the </w:t>
            </w:r>
            <w:r w:rsidRPr="00A06029">
              <w:rPr>
                <w:sz w:val="18"/>
                <w:szCs w:val="18"/>
                <w:lang w:bidi="en-US"/>
              </w:rPr>
              <w:t xml:space="preserve">SRG </w:t>
            </w:r>
            <w:r w:rsidR="003E08E0" w:rsidRPr="00A06029">
              <w:rPr>
                <w:sz w:val="18"/>
                <w:szCs w:val="18"/>
                <w:lang w:bidi="en-US"/>
              </w:rPr>
              <w:t>or</w:t>
            </w:r>
            <w:r w:rsidRPr="00A06029">
              <w:rPr>
                <w:sz w:val="18"/>
                <w:szCs w:val="18"/>
                <w:lang w:bidi="en-US"/>
              </w:rPr>
              <w:t xml:space="preserve"> L3 renewal application is based on a detailed analysis of current, accurate, and precise data, including but not limited to state assessments, educator data, other student data, </w:t>
            </w:r>
            <w:r w:rsidR="003E08E0" w:rsidRPr="00A06029">
              <w:rPr>
                <w:sz w:val="18"/>
                <w:szCs w:val="18"/>
                <w:lang w:bidi="en-US"/>
              </w:rPr>
              <w:t xml:space="preserve">or other </w:t>
            </w:r>
            <w:r w:rsidRPr="00A06029">
              <w:rPr>
                <w:sz w:val="18"/>
                <w:szCs w:val="18"/>
                <w:lang w:bidi="en-US"/>
              </w:rPr>
              <w:t xml:space="preserve">data </w:t>
            </w:r>
            <w:r w:rsidR="003E08E0" w:rsidRPr="00A06029">
              <w:rPr>
                <w:sz w:val="18"/>
                <w:szCs w:val="18"/>
                <w:lang w:bidi="en-US"/>
              </w:rPr>
              <w:t>(e.g., site visit data and qualitative data) and the extent to which the analysis suppo</w:t>
            </w:r>
            <w:r w:rsidR="000D687D" w:rsidRPr="00A06029">
              <w:rPr>
                <w:sz w:val="18"/>
                <w:szCs w:val="18"/>
                <w:lang w:bidi="en-US"/>
              </w:rPr>
              <w:t>r</w:t>
            </w:r>
            <w:r w:rsidR="003E08E0" w:rsidRPr="00A06029">
              <w:rPr>
                <w:sz w:val="18"/>
                <w:szCs w:val="18"/>
                <w:lang w:bidi="en-US"/>
              </w:rPr>
              <w:t>ts and justifies the   proposed shifts in turnaround plan strategies</w:t>
            </w:r>
            <w:r w:rsidRPr="00A06029">
              <w:rPr>
                <w:sz w:val="18"/>
                <w:szCs w:val="18"/>
                <w:lang w:bidi="en-US"/>
              </w:rPr>
              <w:t>.</w:t>
            </w:r>
          </w:p>
          <w:p w14:paraId="41DBD50C" w14:textId="77777777" w:rsidR="00813A82" w:rsidRPr="00A06029" w:rsidRDefault="00813A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r>
      <w:tr w:rsidR="004B3A52" w:rsidRPr="00A06029" w14:paraId="5947790B" w14:textId="77777777" w:rsidTr="004B3A52">
        <w:tblPrEx>
          <w:tblBorders>
            <w:top w:val="none" w:sz="0" w:space="0" w:color="auto"/>
          </w:tblBorders>
        </w:tblPrEx>
        <w:trPr>
          <w:trHeight w:val="250"/>
          <w:jc w:val="center"/>
        </w:trPr>
        <w:tc>
          <w:tcPr>
            <w:tcW w:w="1350" w:type="dxa"/>
            <w:tcBorders>
              <w:top w:val="single" w:sz="8" w:space="0" w:color="auto"/>
              <w:left w:val="single" w:sz="4" w:space="0" w:color="auto"/>
              <w:bottom w:val="single" w:sz="8" w:space="0" w:color="auto"/>
              <w:right w:val="single" w:sz="8" w:space="0" w:color="auto"/>
            </w:tcBorders>
          </w:tcPr>
          <w:p w14:paraId="09D4967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9D2FD8"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841386E"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91E87F7"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352C474"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4B3A52" w:rsidRPr="00A06029" w14:paraId="7CC6A481" w14:textId="77777777" w:rsidTr="00BE30BA">
        <w:tblPrEx>
          <w:tblBorders>
            <w:top w:val="none" w:sz="0" w:space="0" w:color="auto"/>
          </w:tblBorders>
        </w:tblPrEx>
        <w:trPr>
          <w:trHeight w:val="3778"/>
          <w:jc w:val="center"/>
        </w:trPr>
        <w:tc>
          <w:tcPr>
            <w:tcW w:w="1350" w:type="dxa"/>
            <w:tcBorders>
              <w:top w:val="single" w:sz="8" w:space="0" w:color="auto"/>
              <w:left w:val="single" w:sz="4" w:space="0" w:color="auto"/>
              <w:bottom w:val="single" w:sz="4" w:space="0" w:color="auto"/>
              <w:right w:val="single" w:sz="8" w:space="0" w:color="auto"/>
            </w:tcBorders>
            <w:shd w:val="clear" w:color="auto" w:fill="auto"/>
            <w:vAlign w:val="center"/>
          </w:tcPr>
          <w:p w14:paraId="25FB9235" w14:textId="5C34BE2A"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5</w:t>
            </w:r>
            <w:r w:rsidR="003439FF" w:rsidRPr="00A06029">
              <w:rPr>
                <w:kern w:val="1"/>
                <w:sz w:val="18"/>
                <w:szCs w:val="18"/>
                <w:lang w:bidi="en-US"/>
              </w:rPr>
              <w:t>:</w:t>
            </w:r>
          </w:p>
          <w:p w14:paraId="3F24D4B8"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Data Analysis</w:t>
            </w:r>
          </w:p>
        </w:tc>
        <w:tc>
          <w:tcPr>
            <w:tcW w:w="3240" w:type="dxa"/>
            <w:tcBorders>
              <w:top w:val="single" w:sz="8" w:space="0" w:color="auto"/>
              <w:left w:val="single" w:sz="8" w:space="0" w:color="auto"/>
              <w:bottom w:val="single" w:sz="4" w:space="0" w:color="auto"/>
              <w:right w:val="single" w:sz="8" w:space="0" w:color="auto"/>
            </w:tcBorders>
          </w:tcPr>
          <w:p w14:paraId="03016C0B" w14:textId="77777777" w:rsidR="00A07DF8" w:rsidRPr="00A06029" w:rsidRDefault="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r w:rsidR="00A07DF8" w:rsidRPr="00A06029">
              <w:rPr>
                <w:sz w:val="18"/>
                <w:szCs w:val="18"/>
                <w:lang w:bidi="en-US"/>
              </w:rPr>
              <w:t>:</w:t>
            </w:r>
          </w:p>
          <w:p w14:paraId="689A8343" w14:textId="77777777" w:rsidR="003439FF" w:rsidRPr="00A06029" w:rsidRDefault="00A07DF8"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provides and uses detailed, pertinent, and </w:t>
            </w:r>
            <w:r w:rsidR="00BE30BA" w:rsidRPr="00A06029">
              <w:rPr>
                <w:sz w:val="18"/>
                <w:szCs w:val="18"/>
                <w:lang w:bidi="en-US"/>
              </w:rPr>
              <w:t>multiple sources</w:t>
            </w:r>
            <w:r w:rsidRPr="00A06029">
              <w:rPr>
                <w:sz w:val="18"/>
                <w:szCs w:val="18"/>
                <w:lang w:bidi="en-US"/>
              </w:rPr>
              <w:t xml:space="preserve"> data</w:t>
            </w:r>
            <w:r w:rsidR="003439FF" w:rsidRPr="00A06029">
              <w:rPr>
                <w:sz w:val="18"/>
                <w:szCs w:val="18"/>
                <w:lang w:bidi="en-US"/>
              </w:rPr>
              <w:t xml:space="preserve"> </w:t>
            </w:r>
            <w:r w:rsidR="008448A6" w:rsidRPr="00A06029">
              <w:rPr>
                <w:sz w:val="18"/>
                <w:szCs w:val="18"/>
                <w:lang w:bidi="en-US"/>
              </w:rPr>
              <w:t>(</w:t>
            </w:r>
            <w:r w:rsidR="003439FF" w:rsidRPr="00A06029">
              <w:rPr>
                <w:sz w:val="18"/>
                <w:szCs w:val="18"/>
                <w:lang w:bidi="en-US"/>
              </w:rPr>
              <w:t>including demographic, achievement, perceptual, and observational</w:t>
            </w:r>
            <w:r w:rsidR="008448A6" w:rsidRPr="00A06029">
              <w:rPr>
                <w:sz w:val="18"/>
                <w:szCs w:val="18"/>
                <w:lang w:bidi="en-US"/>
              </w:rPr>
              <w:t xml:space="preserve"> data) to assess the impact of turnaround strategies in each Turnaround Practice. </w:t>
            </w:r>
            <w:r w:rsidR="003439FF" w:rsidRPr="00A06029">
              <w:rPr>
                <w:sz w:val="18"/>
                <w:szCs w:val="18"/>
                <w:lang w:bidi="en-US"/>
              </w:rPr>
              <w:t xml:space="preserve"> </w:t>
            </w:r>
          </w:p>
          <w:p w14:paraId="0AAA9410" w14:textId="77777777" w:rsidR="003439FF" w:rsidRPr="00A06029" w:rsidRDefault="008448A6"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clearly </w:t>
            </w:r>
            <w:r w:rsidR="00BE30BA" w:rsidRPr="00A06029">
              <w:rPr>
                <w:sz w:val="18"/>
                <w:szCs w:val="18"/>
                <w:lang w:bidi="en-US"/>
              </w:rPr>
              <w:t>describes</w:t>
            </w:r>
            <w:r w:rsidRPr="00A06029">
              <w:rPr>
                <w:sz w:val="18"/>
                <w:szCs w:val="18"/>
                <w:lang w:bidi="en-US"/>
              </w:rPr>
              <w:t xml:space="preserve"> how proposed shifts or modifications to turnaround strategies in each Turnaround Practice are linked to an analysis of data and ev</w:t>
            </w:r>
            <w:r w:rsidR="00BE30BA" w:rsidRPr="00A06029">
              <w:rPr>
                <w:sz w:val="18"/>
                <w:szCs w:val="18"/>
                <w:lang w:bidi="en-US"/>
              </w:rPr>
              <w:t>i</w:t>
            </w:r>
            <w:r w:rsidRPr="00A06029">
              <w:rPr>
                <w:sz w:val="18"/>
                <w:szCs w:val="18"/>
                <w:lang w:bidi="en-US"/>
              </w:rPr>
              <w:t xml:space="preserve">dence. </w:t>
            </w:r>
            <w:r w:rsidR="003439FF" w:rsidRPr="00A06029">
              <w:rPr>
                <w:sz w:val="18"/>
                <w:szCs w:val="18"/>
                <w:lang w:bidi="en-US"/>
              </w:rPr>
              <w:t xml:space="preserve">   </w:t>
            </w:r>
          </w:p>
        </w:tc>
        <w:tc>
          <w:tcPr>
            <w:tcW w:w="3420" w:type="dxa"/>
            <w:tcBorders>
              <w:top w:val="single" w:sz="8" w:space="0" w:color="auto"/>
              <w:left w:val="single" w:sz="8" w:space="0" w:color="auto"/>
              <w:bottom w:val="single" w:sz="4" w:space="0" w:color="auto"/>
              <w:right w:val="single" w:sz="8" w:space="0" w:color="auto"/>
            </w:tcBorders>
          </w:tcPr>
          <w:p w14:paraId="4CFED173" w14:textId="77777777" w:rsidR="008448A6" w:rsidRPr="00A06029" w:rsidRDefault="0084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p>
          <w:p w14:paraId="66B605FC" w14:textId="77777777" w:rsidR="003439FF" w:rsidRPr="00A06029" w:rsidRDefault="008448A6"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provides and uses </w:t>
            </w:r>
            <w:r w:rsidR="00BE30BA" w:rsidRPr="00A06029">
              <w:rPr>
                <w:sz w:val="18"/>
                <w:szCs w:val="18"/>
                <w:lang w:bidi="en-US"/>
              </w:rPr>
              <w:t xml:space="preserve">general or limited data sources </w:t>
            </w:r>
            <w:r w:rsidRPr="00A06029">
              <w:rPr>
                <w:sz w:val="18"/>
                <w:szCs w:val="18"/>
                <w:lang w:bidi="en-US"/>
              </w:rPr>
              <w:t xml:space="preserve">(including demographic, achievement, perceptual, and observational data) to assess the impact of turnaround strategies in each Turnaround Practice.  </w:t>
            </w:r>
          </w:p>
          <w:p w14:paraId="7010933F"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describes</w:t>
            </w:r>
            <w:r w:rsidR="008448A6" w:rsidRPr="00A06029">
              <w:rPr>
                <w:sz w:val="18"/>
                <w:szCs w:val="18"/>
                <w:lang w:bidi="en-US"/>
              </w:rPr>
              <w:t xml:space="preserve"> how </w:t>
            </w:r>
            <w:r w:rsidRPr="00A06029">
              <w:rPr>
                <w:sz w:val="18"/>
                <w:szCs w:val="18"/>
                <w:lang w:bidi="en-US"/>
              </w:rPr>
              <w:t xml:space="preserve">most of the </w:t>
            </w:r>
            <w:r w:rsidR="008448A6" w:rsidRPr="00A06029">
              <w:rPr>
                <w:sz w:val="18"/>
                <w:szCs w:val="18"/>
                <w:lang w:bidi="en-US"/>
              </w:rPr>
              <w:t xml:space="preserve">proposed shifts or modifications to turnaround strategies in each Turnaround Practice are linked to an analysis of data and evidence.    </w:t>
            </w:r>
          </w:p>
        </w:tc>
        <w:tc>
          <w:tcPr>
            <w:tcW w:w="342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14:paraId="46EDDE02" w14:textId="77777777" w:rsidR="00BE30BA" w:rsidRPr="00A06029" w:rsidRDefault="00BE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p>
          <w:p w14:paraId="2E6AD1F6"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provides and uses general or limited data sources (including demographic, achievement, perceptual, and observational data) to assess the impact of turnaround strategies in some, but not all the Turnaround Practices.  </w:t>
            </w:r>
          </w:p>
          <w:p w14:paraId="53059F09"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describes how some of the proposed shifts or modifications to turnaround strategies in each Turnaround Practice are linked to an analysis of data and evidence. Less than half of the proposed shifts are supported by the data.   </w:t>
            </w:r>
          </w:p>
        </w:tc>
        <w:tc>
          <w:tcPr>
            <w:tcW w:w="3510" w:type="dxa"/>
            <w:tcBorders>
              <w:top w:val="single" w:sz="8" w:space="0" w:color="auto"/>
              <w:left w:val="single" w:sz="8" w:space="0" w:color="auto"/>
              <w:bottom w:val="single" w:sz="4" w:space="0" w:color="auto"/>
              <w:right w:val="single" w:sz="8" w:space="0" w:color="auto"/>
            </w:tcBorders>
            <w:tcMar>
              <w:top w:w="40" w:type="nil"/>
              <w:left w:w="40" w:type="nil"/>
              <w:bottom w:w="40" w:type="nil"/>
              <w:right w:w="40" w:type="nil"/>
            </w:tcMar>
          </w:tcPr>
          <w:p w14:paraId="19B2FFDA" w14:textId="77777777" w:rsidR="00BE30BA" w:rsidRPr="00A06029" w:rsidRDefault="00BE3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w:t>
            </w:r>
          </w:p>
          <w:p w14:paraId="030E1109"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lacks evidence and data (including demographic, achievement, perceptual, and observational data) to assess the impact of turnaround strategies in each Turnaround Practice.  </w:t>
            </w:r>
          </w:p>
          <w:p w14:paraId="4DB03AA5" w14:textId="77777777" w:rsidR="003439FF" w:rsidRPr="00A06029" w:rsidRDefault="00BE30BA" w:rsidP="003439FF">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ind w:left="166" w:hanging="180"/>
              <w:rPr>
                <w:sz w:val="18"/>
                <w:szCs w:val="18"/>
                <w:lang w:bidi="en-US"/>
              </w:rPr>
            </w:pPr>
            <w:r w:rsidRPr="00A06029">
              <w:rPr>
                <w:sz w:val="18"/>
                <w:szCs w:val="18"/>
                <w:lang w:bidi="en-US"/>
              </w:rPr>
              <w:t xml:space="preserve">minimally shows or justifies how proposed shifts or modifications to turnaround strategies in each Turnaround Practice are linked to an analysis of data and evidence; OR the proposed shifts are not justified based on the evidence shared in the application.    </w:t>
            </w:r>
          </w:p>
        </w:tc>
      </w:tr>
      <w:tr w:rsidR="004B3A52" w:rsidRPr="00A06029" w14:paraId="774FC233" w14:textId="77777777" w:rsidTr="00F62B8E">
        <w:tblPrEx>
          <w:tblBorders>
            <w:top w:val="none" w:sz="0" w:space="0" w:color="auto"/>
          </w:tblBorders>
        </w:tblPrEx>
        <w:trPr>
          <w:trHeight w:val="1349"/>
          <w:jc w:val="center"/>
        </w:trPr>
        <w:tc>
          <w:tcPr>
            <w:tcW w:w="1350" w:type="dxa"/>
            <w:tcBorders>
              <w:top w:val="single" w:sz="4" w:space="0" w:color="auto"/>
              <w:left w:val="single" w:sz="4" w:space="0" w:color="auto"/>
              <w:bottom w:val="single" w:sz="4" w:space="0" w:color="auto"/>
              <w:right w:val="single" w:sz="8" w:space="0" w:color="auto"/>
            </w:tcBorders>
            <w:shd w:val="clear" w:color="auto" w:fill="auto"/>
            <w:vAlign w:val="center"/>
          </w:tcPr>
          <w:p w14:paraId="6BA1F487" w14:textId="1C7D653F"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6</w:t>
            </w:r>
            <w:r w:rsidR="003439FF" w:rsidRPr="00A06029">
              <w:rPr>
                <w:kern w:val="1"/>
                <w:sz w:val="18"/>
                <w:szCs w:val="18"/>
                <w:lang w:bidi="en-US"/>
              </w:rPr>
              <w:t>:</w:t>
            </w:r>
          </w:p>
          <w:p w14:paraId="3F2ECF10" w14:textId="77777777" w:rsidR="002C0D15" w:rsidRPr="00A06029" w:rsidRDefault="003439FF"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Strategic Benchmarks</w:t>
            </w:r>
          </w:p>
        </w:tc>
        <w:tc>
          <w:tcPr>
            <w:tcW w:w="3240" w:type="dxa"/>
            <w:tcBorders>
              <w:top w:val="single" w:sz="4" w:space="0" w:color="auto"/>
              <w:left w:val="single" w:sz="8" w:space="0" w:color="auto"/>
              <w:bottom w:val="single" w:sz="4" w:space="0" w:color="auto"/>
              <w:right w:val="single" w:sz="8" w:space="0" w:color="auto"/>
            </w:tcBorders>
          </w:tcPr>
          <w:p w14:paraId="01CA6192" w14:textId="0BDCFB39" w:rsidR="002C0D15" w:rsidRPr="00A06029"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Throughout the full </w:t>
            </w:r>
            <w:r w:rsidR="00F424DE" w:rsidRPr="00A06029">
              <w:rPr>
                <w:sz w:val="18"/>
                <w:szCs w:val="18"/>
                <w:lang w:bidi="en-US"/>
              </w:rPr>
              <w:t>renewal application</w:t>
            </w:r>
            <w:r w:rsidRPr="00A06029">
              <w:rPr>
                <w:sz w:val="18"/>
                <w:szCs w:val="18"/>
                <w:lang w:bidi="en-US"/>
              </w:rPr>
              <w:t xml:space="preserve">, interim </w:t>
            </w:r>
            <w:r w:rsidRPr="00A06029">
              <w:rPr>
                <w:bCs/>
                <w:sz w:val="18"/>
                <w:szCs w:val="18"/>
                <w:lang w:bidi="en-US"/>
              </w:rPr>
              <w:t>benchmarks</w:t>
            </w:r>
            <w:r w:rsidRPr="00A06029">
              <w:rPr>
                <w:sz w:val="18"/>
                <w:szCs w:val="18"/>
                <w:lang w:bidi="en-US"/>
              </w:rPr>
              <w:t xml:space="preserve"> (e.g., changes in discourse, actions, instruction, or belief) are precise, measurable, and time-bound (e.g., 3- 6- or 12-month; or by December 201</w:t>
            </w:r>
            <w:r w:rsidR="006A0C55" w:rsidRPr="00A06029">
              <w:rPr>
                <w:sz w:val="18"/>
                <w:szCs w:val="18"/>
                <w:lang w:bidi="en-US"/>
              </w:rPr>
              <w:t>9</w:t>
            </w:r>
            <w:r w:rsidRPr="00A06029">
              <w:rPr>
                <w:sz w:val="18"/>
                <w:szCs w:val="18"/>
                <w:lang w:bidi="en-US"/>
              </w:rPr>
              <w:t>). Benchmarks are clearly aligned with the key strategies described in the plan, and there are clear connections between implementing a strategy and meeting the described benchmarks.</w:t>
            </w:r>
          </w:p>
        </w:tc>
        <w:tc>
          <w:tcPr>
            <w:tcW w:w="3420" w:type="dxa"/>
            <w:tcBorders>
              <w:top w:val="single" w:sz="4" w:space="0" w:color="auto"/>
              <w:left w:val="single" w:sz="8" w:space="0" w:color="auto"/>
              <w:bottom w:val="single" w:sz="4" w:space="0" w:color="auto"/>
              <w:right w:val="single" w:sz="8" w:space="0" w:color="auto"/>
            </w:tcBorders>
          </w:tcPr>
          <w:p w14:paraId="4C0DDFD3" w14:textId="4B9D761C" w:rsidR="002C0D15" w:rsidRPr="00A06029"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provides many</w:t>
            </w:r>
            <w:r w:rsidRPr="00A06029">
              <w:rPr>
                <w:bCs/>
                <w:sz w:val="18"/>
                <w:szCs w:val="18"/>
                <w:lang w:bidi="en-US"/>
              </w:rPr>
              <w:t xml:space="preserve"> interim benchmarks</w:t>
            </w:r>
            <w:r w:rsidRPr="00A06029">
              <w:rPr>
                <w:sz w:val="18"/>
                <w:szCs w:val="18"/>
                <w:lang w:bidi="en-US"/>
              </w:rPr>
              <w:t xml:space="preserve"> (e.g., changes in discourse, actions, instruction, or belief) that are precise, measurable, and time-bound (e.g., 3- 6- or 12-month; or by December 201</w:t>
            </w:r>
            <w:r w:rsidR="006A0C55" w:rsidRPr="00A06029">
              <w:rPr>
                <w:sz w:val="18"/>
                <w:szCs w:val="18"/>
                <w:lang w:bidi="en-US"/>
              </w:rPr>
              <w:t>9</w:t>
            </w:r>
            <w:r w:rsidRPr="00A06029">
              <w:rPr>
                <w:sz w:val="18"/>
                <w:szCs w:val="18"/>
                <w:lang w:bidi="en-US"/>
              </w:rPr>
              <w:t>). Benchmarks are mostly aligned with the key strategies described in the plan, and there are many connections between implementing a strategy and meeting the described benchmarks.</w:t>
            </w:r>
          </w:p>
        </w:tc>
        <w:tc>
          <w:tcPr>
            <w:tcW w:w="342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tcPr>
          <w:p w14:paraId="4B508DED" w14:textId="77777777" w:rsidR="002C0D15" w:rsidRPr="00A06029" w:rsidRDefault="003439FF"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provides some measureable interim </w:t>
            </w:r>
            <w:r w:rsidRPr="00A06029">
              <w:rPr>
                <w:bCs/>
                <w:sz w:val="18"/>
                <w:szCs w:val="18"/>
                <w:lang w:bidi="en-US"/>
              </w:rPr>
              <w:t>benchmarks</w:t>
            </w:r>
            <w:r w:rsidRPr="00A06029">
              <w:rPr>
                <w:sz w:val="18"/>
                <w:szCs w:val="18"/>
                <w:lang w:bidi="en-US"/>
              </w:rPr>
              <w:t xml:space="preserve"> for accomplishing key strategies to address the areas of need identified in the plan.  Benchmarks are marginally aligned with the key strategies described in the plan, and there are some connections between implementing a strategy and meeting the described benchmarks.</w:t>
            </w:r>
          </w:p>
        </w:tc>
        <w:tc>
          <w:tcPr>
            <w:tcW w:w="3510" w:type="dxa"/>
            <w:tcBorders>
              <w:top w:val="single" w:sz="4" w:space="0" w:color="auto"/>
              <w:left w:val="single" w:sz="8" w:space="0" w:color="auto"/>
              <w:bottom w:val="single" w:sz="4" w:space="0" w:color="auto"/>
              <w:right w:val="single" w:sz="8" w:space="0" w:color="auto"/>
            </w:tcBorders>
            <w:tcMar>
              <w:top w:w="40" w:type="nil"/>
              <w:left w:w="40" w:type="nil"/>
              <w:bottom w:w="40" w:type="nil"/>
              <w:right w:w="40" w:type="nil"/>
            </w:tcMar>
          </w:tcPr>
          <w:p w14:paraId="6C6199A2" w14:textId="77777777" w:rsidR="006A20AF" w:rsidRPr="00A06029" w:rsidRDefault="003439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lacks measureable interim benchmarks for accomplishing key strategies to address the areas of need identified in the plan.  Benchmarks are minimally aligned with the key strategies described in the plan, and connections between implementing a strategy and meeting the described benchmarks are lacking.</w:t>
            </w:r>
          </w:p>
        </w:tc>
      </w:tr>
    </w:tbl>
    <w:p w14:paraId="49DA2386" w14:textId="77777777" w:rsidR="00537E34" w:rsidRPr="00A06029" w:rsidRDefault="00537E34">
      <w:pPr>
        <w:rPr>
          <w:sz w:val="22"/>
          <w:szCs w:val="22"/>
        </w:rPr>
      </w:pPr>
      <w:r w:rsidRPr="00A06029">
        <w:rPr>
          <w:sz w:val="22"/>
          <w:szCs w:val="22"/>
        </w:rPr>
        <w:br w:type="page"/>
      </w:r>
    </w:p>
    <w:tbl>
      <w:tblPr>
        <w:tblW w:w="14862" w:type="dxa"/>
        <w:jc w:val="center"/>
        <w:tblBorders>
          <w:top w:val="nil"/>
          <w:left w:val="nil"/>
          <w:right w:val="nil"/>
        </w:tblBorders>
        <w:tblLayout w:type="fixed"/>
        <w:tblLook w:val="0000" w:firstRow="0" w:lastRow="0" w:firstColumn="0" w:lastColumn="0" w:noHBand="0" w:noVBand="0"/>
      </w:tblPr>
      <w:tblGrid>
        <w:gridCol w:w="1221"/>
        <w:gridCol w:w="3330"/>
        <w:gridCol w:w="3510"/>
        <w:gridCol w:w="3420"/>
        <w:gridCol w:w="3381"/>
      </w:tblGrid>
      <w:tr w:rsidR="002C0D15" w:rsidRPr="00A06029" w14:paraId="08ED6420" w14:textId="77777777" w:rsidTr="00537E34">
        <w:trPr>
          <w:trHeight w:val="1051"/>
          <w:jc w:val="center"/>
        </w:trPr>
        <w:tc>
          <w:tcPr>
            <w:tcW w:w="14862" w:type="dxa"/>
            <w:gridSpan w:val="5"/>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091B56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18"/>
                <w:szCs w:val="18"/>
                <w:lang w:bidi="en-US"/>
              </w:rPr>
            </w:pPr>
            <w:r w:rsidRPr="00A06029">
              <w:rPr>
                <w:b/>
                <w:bCs/>
                <w:sz w:val="18"/>
                <w:szCs w:val="18"/>
                <w:lang w:bidi="en-US"/>
              </w:rPr>
              <w:lastRenderedPageBreak/>
              <w:t>Strategic and Actionable Approach</w:t>
            </w:r>
          </w:p>
          <w:p w14:paraId="00E91593" w14:textId="40E41F18"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r w:rsidRPr="00A06029">
              <w:rPr>
                <w:sz w:val="18"/>
                <w:szCs w:val="18"/>
                <w:u w:val="single"/>
                <w:lang w:bidi="en-US"/>
              </w:rPr>
              <w:t>Scoring Criteria</w:t>
            </w:r>
            <w:r w:rsidRPr="00A06029">
              <w:rPr>
                <w:sz w:val="18"/>
                <w:szCs w:val="18"/>
                <w:lang w:bidi="en-US"/>
              </w:rPr>
              <w:t xml:space="preserve">: </w:t>
            </w:r>
            <w:r w:rsidRPr="00A06029">
              <w:rPr>
                <w:rFonts w:cs="Palatino-Roman"/>
                <w:sz w:val="18"/>
                <w:szCs w:val="18"/>
                <w:lang w:bidi="en-US"/>
              </w:rPr>
              <w:t>The extent to which the SRG</w:t>
            </w:r>
            <w:r w:rsidR="006A0C55" w:rsidRPr="00A06029">
              <w:rPr>
                <w:rFonts w:cs="Palatino-Roman"/>
                <w:sz w:val="18"/>
                <w:szCs w:val="18"/>
                <w:lang w:bidi="en-US"/>
              </w:rPr>
              <w:t xml:space="preserve"> </w:t>
            </w:r>
            <w:r w:rsidRPr="00A06029">
              <w:rPr>
                <w:rFonts w:cs="Palatino-Roman"/>
                <w:sz w:val="18"/>
                <w:szCs w:val="18"/>
                <w:lang w:bidi="en-US"/>
              </w:rPr>
              <w:t>renewal application displays a strategic and well-thought out approach that will lead to rapid and sustainable improvement in the coming year. It is clear through the application that the school and district are actively monitoring improvement efforts throughout implementation, setting measureable and actionable benchmarks, and responding to data.</w:t>
            </w:r>
          </w:p>
        </w:tc>
      </w:tr>
      <w:tr w:rsidR="002C0D15" w:rsidRPr="00A06029" w14:paraId="12C55068" w14:textId="77777777" w:rsidTr="00FD1CF3">
        <w:tblPrEx>
          <w:tblBorders>
            <w:top w:val="none" w:sz="0" w:space="0" w:color="auto"/>
          </w:tblBorders>
        </w:tblPrEx>
        <w:trPr>
          <w:trHeight w:val="277"/>
          <w:jc w:val="center"/>
        </w:trPr>
        <w:tc>
          <w:tcPr>
            <w:tcW w:w="1221" w:type="dxa"/>
            <w:tcBorders>
              <w:top w:val="single" w:sz="8" w:space="0" w:color="auto"/>
              <w:left w:val="single" w:sz="4" w:space="0" w:color="auto"/>
              <w:bottom w:val="single" w:sz="8" w:space="0" w:color="auto"/>
              <w:right w:val="single" w:sz="8" w:space="0" w:color="auto"/>
            </w:tcBorders>
          </w:tcPr>
          <w:p w14:paraId="1626CA3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9275902"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58E817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708E12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AB2A73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2C0D15" w:rsidRPr="00A06029" w14:paraId="5DF52F19" w14:textId="77777777" w:rsidTr="00FD1CF3">
        <w:tblPrEx>
          <w:tblBorders>
            <w:top w:val="none" w:sz="0" w:space="0" w:color="auto"/>
          </w:tblBorders>
        </w:tblPrEx>
        <w:trPr>
          <w:trHeight w:val="1627"/>
          <w:jc w:val="center"/>
        </w:trPr>
        <w:tc>
          <w:tcPr>
            <w:tcW w:w="1221" w:type="dxa"/>
            <w:tcBorders>
              <w:top w:val="single" w:sz="8" w:space="0" w:color="auto"/>
              <w:left w:val="single" w:sz="4" w:space="0" w:color="auto"/>
              <w:bottom w:val="single" w:sz="8" w:space="0" w:color="auto"/>
              <w:right w:val="single" w:sz="8" w:space="0" w:color="auto"/>
            </w:tcBorders>
            <w:vAlign w:val="center"/>
          </w:tcPr>
          <w:p w14:paraId="06422510" w14:textId="77777777" w:rsidR="006E6B6C" w:rsidRDefault="006E6B6C" w:rsidP="00813A82">
            <w:pPr>
              <w:widowControl w:val="0"/>
              <w:autoSpaceDE w:val="0"/>
              <w:autoSpaceDN w:val="0"/>
              <w:adjustRightInd w:val="0"/>
              <w:jc w:val="center"/>
              <w:rPr>
                <w:kern w:val="1"/>
                <w:sz w:val="18"/>
                <w:szCs w:val="18"/>
                <w:lang w:bidi="en-US"/>
              </w:rPr>
            </w:pPr>
          </w:p>
          <w:p w14:paraId="16043BD5" w14:textId="77777777" w:rsidR="006E6B6C" w:rsidRDefault="006E6B6C" w:rsidP="00813A82">
            <w:pPr>
              <w:widowControl w:val="0"/>
              <w:autoSpaceDE w:val="0"/>
              <w:autoSpaceDN w:val="0"/>
              <w:adjustRightInd w:val="0"/>
              <w:jc w:val="center"/>
              <w:rPr>
                <w:kern w:val="1"/>
                <w:sz w:val="18"/>
                <w:szCs w:val="18"/>
                <w:lang w:bidi="en-US"/>
              </w:rPr>
            </w:pPr>
          </w:p>
          <w:p w14:paraId="36AA6971" w14:textId="412DD2FE"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7</w:t>
            </w:r>
            <w:r w:rsidR="002C0D15" w:rsidRPr="00A06029">
              <w:rPr>
                <w:kern w:val="1"/>
                <w:sz w:val="18"/>
                <w:szCs w:val="18"/>
                <w:lang w:bidi="en-US"/>
              </w:rPr>
              <w:t xml:space="preserve">: </w:t>
            </w:r>
          </w:p>
          <w:p w14:paraId="429BEEB7" w14:textId="77777777" w:rsidR="002C0D15" w:rsidRPr="00A06029" w:rsidRDefault="002C0D15" w:rsidP="00813A82">
            <w:pPr>
              <w:widowControl w:val="0"/>
              <w:autoSpaceDE w:val="0"/>
              <w:autoSpaceDN w:val="0"/>
              <w:adjustRightInd w:val="0"/>
              <w:jc w:val="center"/>
              <w:rPr>
                <w:kern w:val="1"/>
                <w:sz w:val="18"/>
                <w:szCs w:val="18"/>
                <w:lang w:bidi="en-US"/>
              </w:rPr>
            </w:pPr>
            <w:r w:rsidRPr="00A06029">
              <w:rPr>
                <w:kern w:val="1"/>
                <w:sz w:val="18"/>
                <w:szCs w:val="18"/>
                <w:lang w:bidi="en-US"/>
              </w:rPr>
              <w:t>Strategic Approach</w:t>
            </w:r>
          </w:p>
          <w:p w14:paraId="7321B413" w14:textId="5EEA5FB7" w:rsidR="00565FF1" w:rsidRPr="00A06029" w:rsidRDefault="00565FF1" w:rsidP="00813A82">
            <w:pPr>
              <w:widowControl w:val="0"/>
              <w:autoSpaceDE w:val="0"/>
              <w:autoSpaceDN w:val="0"/>
              <w:adjustRightInd w:val="0"/>
              <w:jc w:val="center"/>
              <w:rPr>
                <w:kern w:val="1"/>
                <w:sz w:val="18"/>
                <w:szCs w:val="18"/>
                <w:lang w:bidi="en-US"/>
              </w:rPr>
            </w:pPr>
          </w:p>
          <w:p w14:paraId="79B609EC" w14:textId="77777777" w:rsidR="00565FF1" w:rsidRPr="00A06029" w:rsidRDefault="00565FF1" w:rsidP="00182FAC">
            <w:pPr>
              <w:rPr>
                <w:sz w:val="18"/>
                <w:szCs w:val="18"/>
                <w:lang w:bidi="en-US"/>
              </w:rPr>
            </w:pPr>
          </w:p>
          <w:p w14:paraId="53C6D2A8" w14:textId="77777777" w:rsidR="00565FF1" w:rsidRPr="00A06029" w:rsidRDefault="00565FF1" w:rsidP="00182FAC">
            <w:pPr>
              <w:rPr>
                <w:sz w:val="18"/>
                <w:szCs w:val="18"/>
                <w:lang w:bidi="en-US"/>
              </w:rPr>
            </w:pPr>
          </w:p>
          <w:p w14:paraId="3F9EE9AC" w14:textId="79BD86E6" w:rsidR="002C0D15" w:rsidRPr="00A06029" w:rsidRDefault="002C0D15" w:rsidP="00182FAC">
            <w:pPr>
              <w:rPr>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F0635AF" w14:textId="36B10B99" w:rsidR="002C0D15" w:rsidRPr="00A06029"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exhibits a detailed strategic approach to school turnaround that prioritizes key strategies and actions. Key strategies are rigorous and clearly aligned to ea</w:t>
            </w:r>
            <w:r w:rsidR="00565FF1" w:rsidRPr="00A06029">
              <w:rPr>
                <w:sz w:val="18"/>
                <w:szCs w:val="18"/>
                <w:lang w:bidi="en-US"/>
              </w:rPr>
              <w:t>c</w:t>
            </w:r>
            <w:r w:rsidRPr="00A06029">
              <w:rPr>
                <w:sz w:val="18"/>
                <w:szCs w:val="18"/>
                <w:lang w:bidi="en-US"/>
              </w:rPr>
              <w:t>h s</w:t>
            </w:r>
            <w:r w:rsidR="00565FF1" w:rsidRPr="00A06029">
              <w:rPr>
                <w:sz w:val="18"/>
                <w:szCs w:val="18"/>
                <w:lang w:bidi="en-US"/>
              </w:rPr>
              <w:t>e</w:t>
            </w:r>
            <w:r w:rsidRPr="00A06029">
              <w:rPr>
                <w:sz w:val="18"/>
                <w:szCs w:val="18"/>
                <w:lang w:bidi="en-US"/>
              </w:rPr>
              <w:t>lected turnaround practice.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C467348" w14:textId="41BC997A" w:rsidR="002C0D15" w:rsidRPr="00A06029" w:rsidRDefault="002C0D15" w:rsidP="00182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exhibits a strategic approach to school turnaround that prioritizes key strategies and actions. Key strategies are ambitious and aligned to each selected turnaround</w:t>
            </w:r>
            <w:r w:rsidR="00565FF1" w:rsidRPr="00A06029">
              <w:rPr>
                <w:sz w:val="18"/>
                <w:szCs w:val="18"/>
                <w:lang w:bidi="en-US"/>
              </w:rPr>
              <w:t xml:space="preserve"> practice</w:t>
            </w:r>
            <w:r w:rsidR="00C62632" w:rsidRPr="00A06029">
              <w:rPr>
                <w:sz w:val="18"/>
                <w:szCs w:val="18"/>
                <w:lang w:bidi="en-US"/>
              </w:rPr>
              <w:t>.</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5C182FA" w14:textId="77777777" w:rsidR="002C0D15" w:rsidRPr="00A06029"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 xml:space="preserve">The renewal application exhibits a strategic approach to school turnaround that prioritizes key strategies and actions OR key strategies are ambitious and aligned to each selected turnaround practice. </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CA60ED" w14:textId="77777777" w:rsidR="002C0D15" w:rsidRPr="00A06029" w:rsidRDefault="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kern w:val="1"/>
                <w:sz w:val="18"/>
                <w:szCs w:val="18"/>
                <w:lang w:bidi="en-US"/>
              </w:rPr>
            </w:pPr>
            <w:r w:rsidRPr="00A06029">
              <w:rPr>
                <w:sz w:val="18"/>
                <w:szCs w:val="18"/>
                <w:lang w:bidi="en-US"/>
              </w:rPr>
              <w:t>The renewal application does not present a strategic approach to school turnaround that prioritizes key strategies and actions AND key strategies are not ambitious or aligned to the selected turnaround practices.</w:t>
            </w:r>
          </w:p>
        </w:tc>
      </w:tr>
      <w:tr w:rsidR="002C0D15" w:rsidRPr="00A06029" w14:paraId="42AF4CD8" w14:textId="77777777" w:rsidTr="006E6B6C">
        <w:tblPrEx>
          <w:tblBorders>
            <w:top w:val="none" w:sz="0" w:space="0" w:color="auto"/>
          </w:tblBorders>
        </w:tblPrEx>
        <w:trPr>
          <w:trHeight w:val="56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221CCB78" w14:textId="3FC40E5B"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8</w:t>
            </w:r>
            <w:r w:rsidR="003439FF" w:rsidRPr="00A06029">
              <w:rPr>
                <w:kern w:val="1"/>
                <w:sz w:val="18"/>
                <w:szCs w:val="18"/>
                <w:lang w:bidi="en-US"/>
              </w:rPr>
              <w:t xml:space="preserve">: </w:t>
            </w:r>
          </w:p>
          <w:p w14:paraId="45B677F6"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Intentional Practices for Improving Instruction</w:t>
            </w:r>
          </w:p>
          <w:p w14:paraId="0424E925" w14:textId="77777777" w:rsidR="002C0D15" w:rsidRPr="00A06029" w:rsidRDefault="002C0D15" w:rsidP="00813A82">
            <w:pPr>
              <w:widowControl w:val="0"/>
              <w:autoSpaceDE w:val="0"/>
              <w:autoSpaceDN w:val="0"/>
              <w:adjustRightInd w:val="0"/>
              <w:jc w:val="center"/>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710DC94"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w:t>
            </w:r>
            <w:r w:rsidR="00A647FE" w:rsidRPr="00A06029">
              <w:rPr>
                <w:sz w:val="18"/>
                <w:szCs w:val="18"/>
                <w:lang w:bidi="en-US"/>
              </w:rPr>
              <w:t>clearly describes</w:t>
            </w:r>
            <w:r w:rsidRPr="00A06029">
              <w:rPr>
                <w:sz w:val="18"/>
                <w:szCs w:val="18"/>
                <w:lang w:bidi="en-US"/>
              </w:rPr>
              <w:t xml:space="preserve"> how school leadership has defined a clear instructional focus and shared expectations for instructional practice, </w:t>
            </w:r>
            <w:r w:rsidR="00A647FE" w:rsidRPr="00A06029">
              <w:rPr>
                <w:sz w:val="18"/>
                <w:szCs w:val="18"/>
                <w:lang w:bidi="en-US"/>
              </w:rPr>
              <w:t>and that directly address</w:t>
            </w:r>
            <w:r w:rsidRPr="00A06029">
              <w:rPr>
                <w:sz w:val="18"/>
                <w:szCs w:val="18"/>
                <w:lang w:bidi="en-US"/>
              </w:rPr>
              <w:t xml:space="preserve"> </w:t>
            </w:r>
            <w:r w:rsidRPr="00A06029">
              <w:rPr>
                <w:b/>
                <w:sz w:val="18"/>
                <w:szCs w:val="18"/>
                <w:lang w:bidi="en-US"/>
              </w:rPr>
              <w:t xml:space="preserve">each </w:t>
            </w:r>
            <w:r w:rsidRPr="00A06029">
              <w:rPr>
                <w:sz w:val="18"/>
                <w:szCs w:val="18"/>
                <w:lang w:bidi="en-US"/>
              </w:rPr>
              <w:t>of the following:</w:t>
            </w:r>
          </w:p>
          <w:p w14:paraId="7CEACCB7"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The student need the focus addresses</w:t>
            </w:r>
          </w:p>
          <w:p w14:paraId="56BC7619"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170B9366"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How the school ensure</w:t>
            </w:r>
            <w:r w:rsidR="00F424DE" w:rsidRPr="00A06029">
              <w:rPr>
                <w:sz w:val="18"/>
                <w:szCs w:val="18"/>
                <w:lang w:bidi="en-US"/>
              </w:rPr>
              <w:t>s that</w:t>
            </w:r>
            <w:r w:rsidRPr="00A06029">
              <w:rPr>
                <w:sz w:val="18"/>
                <w:szCs w:val="18"/>
                <w:lang w:bidi="en-US"/>
              </w:rPr>
              <w:t xml:space="preserve"> all staff understand and can apply instructional practices</w:t>
            </w:r>
          </w:p>
          <w:p w14:paraId="32225C43"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6B3A569F" w14:textId="77777777" w:rsidR="002C0D15" w:rsidRPr="00A06029" w:rsidRDefault="003439FF">
            <w:pPr>
              <w:pStyle w:val="ListParagraph"/>
              <w:numPr>
                <w:ilvl w:val="0"/>
                <w:numId w:val="38"/>
              </w:numPr>
              <w:spacing w:before="40" w:after="40"/>
              <w:ind w:left="256" w:hanging="256"/>
              <w:contextualSpacing/>
              <w:rPr>
                <w:sz w:val="18"/>
                <w:szCs w:val="18"/>
                <w:lang w:bidi="en-US"/>
              </w:rPr>
            </w:pPr>
            <w:r w:rsidRPr="00A06029">
              <w:rPr>
                <w:sz w:val="18"/>
                <w:szCs w:val="18"/>
                <w:lang w:bidi="en-US"/>
              </w:rPr>
              <w:t xml:space="preserve">How the school schedule </w:t>
            </w:r>
            <w:r w:rsidR="00F424DE" w:rsidRPr="00A06029">
              <w:rPr>
                <w:sz w:val="18"/>
                <w:szCs w:val="18"/>
                <w:lang w:bidi="en-US"/>
              </w:rPr>
              <w:t>is</w:t>
            </w:r>
            <w:r w:rsidRPr="00A06029">
              <w:rPr>
                <w:sz w:val="18"/>
                <w:szCs w:val="18"/>
                <w:lang w:bidi="en-US"/>
              </w:rPr>
              <w:t xml:space="preserve"> maximized to ensure all students receive a well-rounded course of studies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819FB43"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F424DE" w:rsidRPr="00A06029">
              <w:rPr>
                <w:sz w:val="18"/>
                <w:szCs w:val="18"/>
                <w:lang w:bidi="en-US"/>
              </w:rPr>
              <w:t>renewal application</w:t>
            </w:r>
            <w:r w:rsidRPr="00A06029">
              <w:rPr>
                <w:sz w:val="18"/>
                <w:szCs w:val="18"/>
                <w:lang w:bidi="en-US"/>
              </w:rPr>
              <w:t xml:space="preserve"> generally describes how school leadership has defined a clear instructional focus and shared expectations for instructional practice, </w:t>
            </w:r>
            <w:r w:rsidR="00A647FE" w:rsidRPr="00A06029">
              <w:rPr>
                <w:sz w:val="18"/>
                <w:szCs w:val="18"/>
                <w:lang w:bidi="en-US"/>
              </w:rPr>
              <w:t>and that generally address</w:t>
            </w:r>
            <w:r w:rsidRPr="00A06029">
              <w:rPr>
                <w:sz w:val="18"/>
                <w:szCs w:val="18"/>
                <w:lang w:bidi="en-US"/>
              </w:rPr>
              <w:t xml:space="preserve"> </w:t>
            </w:r>
            <w:r w:rsidRPr="00A06029">
              <w:rPr>
                <w:b/>
                <w:sz w:val="18"/>
                <w:szCs w:val="18"/>
                <w:lang w:bidi="en-US"/>
              </w:rPr>
              <w:t>each</w:t>
            </w:r>
            <w:r w:rsidRPr="00A06029">
              <w:rPr>
                <w:sz w:val="18"/>
                <w:szCs w:val="18"/>
                <w:lang w:bidi="en-US"/>
              </w:rPr>
              <w:t xml:space="preserve"> of the following:</w:t>
            </w:r>
          </w:p>
          <w:p w14:paraId="57C90996"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The student need the focus addresses</w:t>
            </w:r>
          </w:p>
          <w:p w14:paraId="5681ADEF"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47FA9FFC"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the school ensure</w:t>
            </w:r>
            <w:r w:rsidR="00690FB3" w:rsidRPr="00A06029">
              <w:rPr>
                <w:sz w:val="18"/>
                <w:szCs w:val="18"/>
                <w:lang w:bidi="en-US"/>
              </w:rPr>
              <w:t>s that</w:t>
            </w:r>
            <w:r w:rsidRPr="00A06029">
              <w:rPr>
                <w:sz w:val="18"/>
                <w:szCs w:val="18"/>
                <w:lang w:bidi="en-US"/>
              </w:rPr>
              <w:t xml:space="preserve"> all staff understand and can apply instructional practices</w:t>
            </w:r>
          </w:p>
          <w:p w14:paraId="74D8718B"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2E88CA06"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 xml:space="preserve">How the school schedule </w:t>
            </w:r>
            <w:r w:rsidR="00690FB3" w:rsidRPr="00A06029">
              <w:rPr>
                <w:sz w:val="18"/>
                <w:szCs w:val="18"/>
                <w:lang w:bidi="en-US"/>
              </w:rPr>
              <w:t>is</w:t>
            </w:r>
            <w:r w:rsidRPr="00A06029">
              <w:rPr>
                <w:sz w:val="18"/>
                <w:szCs w:val="18"/>
                <w:lang w:bidi="en-US"/>
              </w:rPr>
              <w:t xml:space="preserve"> maximized to ensure all students receive a well-rounded course of studies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0BB0AA4"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690FB3" w:rsidRPr="00A06029">
              <w:rPr>
                <w:sz w:val="18"/>
                <w:szCs w:val="18"/>
                <w:lang w:bidi="en-US"/>
              </w:rPr>
              <w:t>renewal application</w:t>
            </w:r>
            <w:r w:rsidRPr="00A06029">
              <w:rPr>
                <w:sz w:val="18"/>
                <w:szCs w:val="18"/>
                <w:lang w:bidi="en-US"/>
              </w:rPr>
              <w:t xml:space="preserve"> generally describes how school leadership has defined a clear instructional focus and shared expectations for instructional practice, </w:t>
            </w:r>
            <w:r w:rsidR="00A647FE" w:rsidRPr="00A06029">
              <w:rPr>
                <w:sz w:val="18"/>
                <w:szCs w:val="18"/>
                <w:lang w:bidi="en-US"/>
              </w:rPr>
              <w:t>and that generally addressed</w:t>
            </w:r>
            <w:r w:rsidRPr="00A06029">
              <w:rPr>
                <w:sz w:val="18"/>
                <w:szCs w:val="18"/>
                <w:lang w:bidi="en-US"/>
              </w:rPr>
              <w:t xml:space="preserve"> </w:t>
            </w:r>
            <w:r w:rsidRPr="00A06029">
              <w:rPr>
                <w:b/>
                <w:sz w:val="18"/>
                <w:szCs w:val="18"/>
                <w:lang w:bidi="en-US"/>
              </w:rPr>
              <w:t xml:space="preserve">some but not all (at least 3) </w:t>
            </w:r>
            <w:r w:rsidRPr="00A06029">
              <w:rPr>
                <w:sz w:val="18"/>
                <w:szCs w:val="18"/>
                <w:lang w:bidi="en-US"/>
              </w:rPr>
              <w:t>of the following:</w:t>
            </w:r>
          </w:p>
          <w:p w14:paraId="329413D7"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The student need the focus addresses</w:t>
            </w:r>
          </w:p>
          <w:p w14:paraId="75C9E5E9"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5D860E6F"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the school ensure</w:t>
            </w:r>
            <w:r w:rsidR="00690FB3" w:rsidRPr="00A06029">
              <w:rPr>
                <w:sz w:val="18"/>
                <w:szCs w:val="18"/>
                <w:lang w:bidi="en-US"/>
              </w:rPr>
              <w:t>s that</w:t>
            </w:r>
            <w:r w:rsidRPr="00A06029">
              <w:rPr>
                <w:sz w:val="18"/>
                <w:szCs w:val="18"/>
                <w:lang w:bidi="en-US"/>
              </w:rPr>
              <w:t xml:space="preserve"> all staff understand and can apply instructional practices</w:t>
            </w:r>
          </w:p>
          <w:p w14:paraId="7AE49CA6"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2F5A94D3" w14:textId="77777777" w:rsidR="002C0D15" w:rsidRPr="00A06029" w:rsidRDefault="003439FF">
            <w:pPr>
              <w:pStyle w:val="ListParagraph"/>
              <w:numPr>
                <w:ilvl w:val="0"/>
                <w:numId w:val="38"/>
              </w:numPr>
              <w:spacing w:before="40" w:after="40"/>
              <w:ind w:left="196" w:hanging="196"/>
              <w:contextualSpacing/>
              <w:rPr>
                <w:sz w:val="18"/>
                <w:szCs w:val="18"/>
                <w:lang w:bidi="en-US"/>
              </w:rPr>
            </w:pPr>
            <w:r w:rsidRPr="00A06029">
              <w:rPr>
                <w:sz w:val="18"/>
                <w:szCs w:val="18"/>
                <w:lang w:bidi="en-US"/>
              </w:rPr>
              <w:t xml:space="preserve">How the school schedule </w:t>
            </w:r>
            <w:r w:rsidR="00690FB3" w:rsidRPr="00A06029">
              <w:rPr>
                <w:sz w:val="18"/>
                <w:szCs w:val="18"/>
                <w:lang w:bidi="en-US"/>
              </w:rPr>
              <w:t>is</w:t>
            </w:r>
            <w:r w:rsidRPr="00A06029">
              <w:rPr>
                <w:sz w:val="18"/>
                <w:szCs w:val="18"/>
                <w:lang w:bidi="en-US"/>
              </w:rPr>
              <w:t xml:space="preserve"> maximized to ensure all students receive a well-rounded course of studies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10C3AB1" w14:textId="77777777" w:rsidR="002C0D15" w:rsidRPr="00A06029" w:rsidRDefault="003439FF">
            <w:pPr>
              <w:pStyle w:val="ListParagraph"/>
              <w:spacing w:before="40" w:after="40"/>
              <w:ind w:left="0"/>
              <w:rPr>
                <w:sz w:val="18"/>
                <w:szCs w:val="18"/>
                <w:lang w:bidi="en-US"/>
              </w:rPr>
            </w:pPr>
            <w:r w:rsidRPr="00A06029">
              <w:rPr>
                <w:sz w:val="18"/>
                <w:szCs w:val="18"/>
                <w:lang w:bidi="en-US"/>
              </w:rPr>
              <w:t xml:space="preserve">The </w:t>
            </w:r>
            <w:r w:rsidR="00690FB3" w:rsidRPr="00A06029">
              <w:rPr>
                <w:sz w:val="18"/>
                <w:szCs w:val="18"/>
                <w:lang w:bidi="en-US"/>
              </w:rPr>
              <w:t>renewal application</w:t>
            </w:r>
            <w:r w:rsidRPr="00A06029">
              <w:rPr>
                <w:sz w:val="18"/>
                <w:szCs w:val="18"/>
                <w:lang w:bidi="en-US"/>
              </w:rPr>
              <w:t xml:space="preserve"> provides a limited description of how school leadership has defined a clear instructional focus and shared expectations for instructional practice, </w:t>
            </w:r>
            <w:r w:rsidR="00A647FE" w:rsidRPr="00A06029">
              <w:rPr>
                <w:b/>
                <w:sz w:val="18"/>
                <w:szCs w:val="18"/>
                <w:lang w:bidi="en-US"/>
              </w:rPr>
              <w:t xml:space="preserve">or only address two (2) of the </w:t>
            </w:r>
            <w:r w:rsidRPr="00A06029">
              <w:rPr>
                <w:sz w:val="18"/>
                <w:szCs w:val="18"/>
                <w:lang w:bidi="en-US"/>
              </w:rPr>
              <w:t>following:</w:t>
            </w:r>
            <w:r w:rsidR="00A647FE" w:rsidRPr="00A06029">
              <w:rPr>
                <w:b/>
                <w:sz w:val="18"/>
                <w:szCs w:val="18"/>
                <w:lang w:bidi="en-US"/>
              </w:rPr>
              <w:t xml:space="preserve"> </w:t>
            </w:r>
          </w:p>
          <w:p w14:paraId="0D34828D"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The student need the focus addresses</w:t>
            </w:r>
          </w:p>
          <w:p w14:paraId="3281246E"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The data used to identify and monitor goals in a way that promotes rigor and maintains high expectations for adults and students.</w:t>
            </w:r>
          </w:p>
          <w:p w14:paraId="1F5F5532"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How the school ensure</w:t>
            </w:r>
            <w:r w:rsidR="00690FB3" w:rsidRPr="00A06029">
              <w:rPr>
                <w:sz w:val="18"/>
                <w:szCs w:val="18"/>
                <w:lang w:bidi="en-US"/>
              </w:rPr>
              <w:t>s that</w:t>
            </w:r>
            <w:r w:rsidRPr="00A06029">
              <w:rPr>
                <w:sz w:val="18"/>
                <w:szCs w:val="18"/>
                <w:lang w:bidi="en-US"/>
              </w:rPr>
              <w:t xml:space="preserve"> all staff understand and can apply instructional practices</w:t>
            </w:r>
          </w:p>
          <w:p w14:paraId="275432B6"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How instruction will be aligned to state standards (MA Curriculum Frameworks) and delivered in a way that is rigorous, differentiated, engaging, and relevant to students</w:t>
            </w:r>
          </w:p>
          <w:p w14:paraId="642A37E6" w14:textId="77777777" w:rsidR="002C0D15" w:rsidRPr="00A06029" w:rsidRDefault="003439FF">
            <w:pPr>
              <w:pStyle w:val="ListParagraph"/>
              <w:numPr>
                <w:ilvl w:val="0"/>
                <w:numId w:val="38"/>
              </w:numPr>
              <w:tabs>
                <w:tab w:val="center" w:pos="4320"/>
                <w:tab w:val="right" w:pos="8640"/>
              </w:tabs>
              <w:spacing w:before="40" w:after="40"/>
              <w:ind w:left="256" w:hanging="256"/>
              <w:contextualSpacing/>
              <w:rPr>
                <w:sz w:val="18"/>
                <w:szCs w:val="18"/>
                <w:lang w:bidi="en-US"/>
              </w:rPr>
            </w:pPr>
            <w:r w:rsidRPr="00A06029">
              <w:rPr>
                <w:sz w:val="18"/>
                <w:szCs w:val="18"/>
                <w:lang w:bidi="en-US"/>
              </w:rPr>
              <w:t xml:space="preserve">How the school schedule </w:t>
            </w:r>
            <w:r w:rsidR="00690FB3" w:rsidRPr="00A06029">
              <w:rPr>
                <w:sz w:val="18"/>
                <w:szCs w:val="18"/>
                <w:lang w:bidi="en-US"/>
              </w:rPr>
              <w:t>is</w:t>
            </w:r>
            <w:r w:rsidRPr="00A06029">
              <w:rPr>
                <w:sz w:val="18"/>
                <w:szCs w:val="18"/>
                <w:lang w:bidi="en-US"/>
              </w:rPr>
              <w:t xml:space="preserve"> maximized to ensure all students receive a well-rounded course of studies</w:t>
            </w:r>
          </w:p>
        </w:tc>
      </w:tr>
      <w:tr w:rsidR="00C143D4" w:rsidRPr="00A06029" w14:paraId="2BF90F0A" w14:textId="77777777" w:rsidTr="00FD1CF3">
        <w:tblPrEx>
          <w:tblBorders>
            <w:top w:val="none" w:sz="0" w:space="0" w:color="auto"/>
          </w:tblBorders>
        </w:tblPrEx>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14:paraId="5A23CF96"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ADF9485"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E5182CA"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8135C5E"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9CB6BF3" w14:textId="77777777" w:rsidR="00C143D4" w:rsidRPr="00A06029" w:rsidRDefault="00C143D4"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2C0D15" w:rsidRPr="00A06029" w14:paraId="5D20CADA" w14:textId="77777777" w:rsidTr="00FD1CF3">
        <w:tblPrEx>
          <w:tblBorders>
            <w:top w:val="none" w:sz="0" w:space="0" w:color="auto"/>
          </w:tblBorders>
        </w:tblPrEx>
        <w:trPr>
          <w:trHeight w:val="1078"/>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0CC2AA3C" w14:textId="4D87872A"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9</w:t>
            </w:r>
            <w:r w:rsidR="003439FF" w:rsidRPr="00A06029">
              <w:rPr>
                <w:kern w:val="1"/>
                <w:sz w:val="18"/>
                <w:szCs w:val="18"/>
                <w:lang w:bidi="en-US"/>
              </w:rPr>
              <w:t xml:space="preserve">: </w:t>
            </w:r>
          </w:p>
          <w:p w14:paraId="23096ABC" w14:textId="77777777" w:rsidR="002C0D15" w:rsidRPr="00A06029" w:rsidRDefault="003439FF" w:rsidP="00813A82">
            <w:pPr>
              <w:widowControl w:val="0"/>
              <w:autoSpaceDE w:val="0"/>
              <w:autoSpaceDN w:val="0"/>
              <w:adjustRightInd w:val="0"/>
              <w:jc w:val="center"/>
              <w:rPr>
                <w:kern w:val="1"/>
                <w:sz w:val="18"/>
                <w:szCs w:val="18"/>
                <w:lang w:bidi="en-US"/>
              </w:rPr>
            </w:pPr>
            <w:r w:rsidRPr="00A06029">
              <w:rPr>
                <w:kern w:val="1"/>
                <w:sz w:val="18"/>
                <w:szCs w:val="18"/>
                <w:lang w:bidi="en-US"/>
              </w:rPr>
              <w:t>Tiered Academic and Non-Academic Supports</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5064D8" w14:textId="77777777" w:rsidR="003439FF" w:rsidRPr="00A06029" w:rsidRDefault="003439FF" w:rsidP="003439FF">
            <w:pPr>
              <w:spacing w:before="40" w:after="40"/>
              <w:ind w:left="-14"/>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w:t>
            </w:r>
            <w:r w:rsidR="00A647FE" w:rsidRPr="00A06029">
              <w:rPr>
                <w:sz w:val="18"/>
                <w:szCs w:val="18"/>
                <w:lang w:bidi="en-US"/>
              </w:rPr>
              <w:t xml:space="preserve">provides detailed evidence that the school has developed and is improving its </w:t>
            </w:r>
            <w:r w:rsidRPr="00A06029">
              <w:rPr>
                <w:sz w:val="18"/>
                <w:szCs w:val="18"/>
                <w:lang w:bidi="en-US"/>
              </w:rPr>
              <w:t xml:space="preserve">system to identify and provide targeted supports for students’ academic and non-academic needs, </w:t>
            </w:r>
            <w:r w:rsidR="00866793" w:rsidRPr="00A06029">
              <w:rPr>
                <w:sz w:val="18"/>
                <w:szCs w:val="18"/>
                <w:lang w:bidi="en-US"/>
              </w:rPr>
              <w:t xml:space="preserve">and directly improving </w:t>
            </w:r>
            <w:r w:rsidRPr="00A06029">
              <w:rPr>
                <w:sz w:val="18"/>
                <w:szCs w:val="18"/>
                <w:lang w:bidi="en-US"/>
              </w:rPr>
              <w:t xml:space="preserve"> </w:t>
            </w:r>
            <w:r w:rsidRPr="00A06029">
              <w:rPr>
                <w:b/>
                <w:sz w:val="18"/>
                <w:szCs w:val="18"/>
                <w:lang w:bidi="en-US"/>
              </w:rPr>
              <w:t>each</w:t>
            </w:r>
            <w:r w:rsidRPr="00A06029">
              <w:rPr>
                <w:sz w:val="18"/>
                <w:szCs w:val="18"/>
                <w:lang w:bidi="en-US"/>
              </w:rPr>
              <w:t xml:space="preserve"> of the following:</w:t>
            </w:r>
          </w:p>
          <w:p w14:paraId="1639954D"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using a variety of ongoing assessments to identify student needs</w:t>
            </w:r>
          </w:p>
          <w:p w14:paraId="3A2174DA"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providing student-specific interventions, enrichments, and supports</w:t>
            </w:r>
          </w:p>
          <w:p w14:paraId="308CACC8"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monitoring the impact of both academic and social/emotional interventions</w:t>
            </w:r>
          </w:p>
          <w:p w14:paraId="1FCD497A" w14:textId="77777777" w:rsidR="003439FF" w:rsidRPr="00A06029" w:rsidRDefault="003439FF" w:rsidP="003439FF">
            <w:pPr>
              <w:pStyle w:val="ListParagraph"/>
              <w:numPr>
                <w:ilvl w:val="0"/>
                <w:numId w:val="39"/>
              </w:numPr>
              <w:spacing w:before="40" w:after="40"/>
              <w:ind w:left="256" w:hanging="198"/>
              <w:contextualSpacing/>
              <w:rPr>
                <w:sz w:val="18"/>
                <w:szCs w:val="18"/>
                <w:lang w:bidi="en-US"/>
              </w:rPr>
            </w:pPr>
            <w:r w:rsidRPr="00A06029">
              <w:rPr>
                <w:sz w:val="18"/>
                <w:szCs w:val="18"/>
                <w:lang w:bidi="en-US"/>
              </w:rPr>
              <w:t>adapting and modifying structures and resources to improve both core and targeted supports</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188987A"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describes </w:t>
            </w:r>
            <w:r w:rsidR="00866793" w:rsidRPr="00A06029">
              <w:rPr>
                <w:sz w:val="18"/>
                <w:szCs w:val="18"/>
                <w:lang w:bidi="en-US"/>
              </w:rPr>
              <w:t xml:space="preserve">how the school has developed and is improving its </w:t>
            </w:r>
            <w:r w:rsidRPr="00A06029">
              <w:rPr>
                <w:sz w:val="18"/>
                <w:szCs w:val="18"/>
                <w:lang w:bidi="en-US"/>
              </w:rPr>
              <w:t xml:space="preserve">system to identify and provide targeted supports for students’ academic and non-academic needs, including at least general descriptions of </w:t>
            </w:r>
            <w:r w:rsidRPr="00A06029">
              <w:rPr>
                <w:b/>
                <w:sz w:val="18"/>
                <w:szCs w:val="18"/>
                <w:lang w:bidi="en-US"/>
              </w:rPr>
              <w:t xml:space="preserve">each </w:t>
            </w:r>
            <w:r w:rsidRPr="00A06029">
              <w:rPr>
                <w:sz w:val="18"/>
                <w:szCs w:val="18"/>
                <w:lang w:bidi="en-US"/>
              </w:rPr>
              <w:t>of the following:</w:t>
            </w:r>
          </w:p>
          <w:p w14:paraId="104E3AEB"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using a variety of ongoing assessments to identify student needs</w:t>
            </w:r>
          </w:p>
          <w:p w14:paraId="2436FE7F"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providing student-specific interventions, enrichments, and supports</w:t>
            </w:r>
          </w:p>
          <w:p w14:paraId="6CCE1FA8"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monitoring the impact of both academic and social/emotional interventions</w:t>
            </w:r>
          </w:p>
          <w:p w14:paraId="3AA161D9"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adapting and modifying structures and resources</w:t>
            </w:r>
            <w:r w:rsidR="005964B9" w:rsidRPr="00A06029">
              <w:rPr>
                <w:sz w:val="18"/>
                <w:szCs w:val="18"/>
                <w:lang w:bidi="en-US"/>
              </w:rPr>
              <w:t xml:space="preserve"> </w:t>
            </w:r>
            <w:r w:rsidRPr="00A06029">
              <w:rPr>
                <w:sz w:val="18"/>
                <w:szCs w:val="18"/>
                <w:lang w:bidi="en-US"/>
              </w:rPr>
              <w:t>to improve both core and targeted supports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C33985F"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describes a clear system to identify and provide targeted supports for students’ academic and non-academic needs, including at </w:t>
            </w:r>
            <w:r w:rsidRPr="00A06029">
              <w:rPr>
                <w:b/>
                <w:sz w:val="18"/>
                <w:szCs w:val="18"/>
                <w:lang w:bidi="en-US"/>
              </w:rPr>
              <w:t>least general descriptions of some but not all (at least 2) of the following:</w:t>
            </w:r>
          </w:p>
          <w:p w14:paraId="42696CD9"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using a variety of ongoing assessments to identify student needs</w:t>
            </w:r>
          </w:p>
          <w:p w14:paraId="61818FBB"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providing student-specific interventions, enrichments, and supports</w:t>
            </w:r>
          </w:p>
          <w:p w14:paraId="4273DD0A"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monitoring the impact of both academic and social/emotional interventions</w:t>
            </w:r>
          </w:p>
          <w:p w14:paraId="71F395E2" w14:textId="77777777" w:rsidR="003439FF" w:rsidRPr="00A06029" w:rsidRDefault="003439FF" w:rsidP="003439FF">
            <w:pPr>
              <w:pStyle w:val="ListParagraph"/>
              <w:numPr>
                <w:ilvl w:val="0"/>
                <w:numId w:val="39"/>
              </w:numPr>
              <w:spacing w:before="40" w:after="40"/>
              <w:ind w:left="196" w:hanging="228"/>
              <w:contextualSpacing/>
              <w:rPr>
                <w:sz w:val="18"/>
                <w:szCs w:val="18"/>
                <w:lang w:bidi="en-US"/>
              </w:rPr>
            </w:pPr>
            <w:r w:rsidRPr="00A06029">
              <w:rPr>
                <w:sz w:val="18"/>
                <w:szCs w:val="18"/>
                <w:lang w:bidi="en-US"/>
              </w:rPr>
              <w:t>adapting and modifying structures and resources to improve both core and targeted supports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8C9E35B"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provides a limited description of a clear system to identify and provide targeted supports for students’ academic and non-academic needs, </w:t>
            </w:r>
            <w:r w:rsidRPr="00A06029">
              <w:rPr>
                <w:b/>
                <w:sz w:val="18"/>
                <w:szCs w:val="18"/>
                <w:lang w:bidi="en-US"/>
              </w:rPr>
              <w:t>OR</w:t>
            </w:r>
            <w:r w:rsidRPr="00A06029">
              <w:rPr>
                <w:sz w:val="18"/>
                <w:szCs w:val="18"/>
                <w:lang w:bidi="en-US"/>
              </w:rPr>
              <w:t xml:space="preserve"> provides limited descriptions of </w:t>
            </w:r>
            <w:r w:rsidRPr="00A06029">
              <w:rPr>
                <w:b/>
                <w:sz w:val="18"/>
                <w:szCs w:val="18"/>
                <w:lang w:bidi="en-US"/>
              </w:rPr>
              <w:t>most of the following (3 or more)</w:t>
            </w:r>
            <w:r w:rsidRPr="00A06029">
              <w:rPr>
                <w:sz w:val="18"/>
                <w:szCs w:val="18"/>
                <w:lang w:bidi="en-US"/>
              </w:rPr>
              <w:t>:</w:t>
            </w:r>
          </w:p>
          <w:p w14:paraId="6423F565"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using a variety of ongoing assessments to identify student needs</w:t>
            </w:r>
          </w:p>
          <w:p w14:paraId="528A0DA4"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providing student-specific interventions, enrichments, and supports</w:t>
            </w:r>
          </w:p>
          <w:p w14:paraId="153A2047"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monitoring the impact of both academic and social/emotional interventions</w:t>
            </w:r>
          </w:p>
          <w:p w14:paraId="71F4F325" w14:textId="77777777" w:rsidR="003439FF" w:rsidRPr="00A06029" w:rsidRDefault="003439FF" w:rsidP="003439FF">
            <w:pPr>
              <w:pStyle w:val="ListParagraph"/>
              <w:numPr>
                <w:ilvl w:val="0"/>
                <w:numId w:val="39"/>
              </w:numPr>
              <w:spacing w:before="40" w:after="40"/>
              <w:ind w:left="166" w:hanging="198"/>
              <w:contextualSpacing/>
              <w:rPr>
                <w:sz w:val="18"/>
                <w:szCs w:val="18"/>
                <w:lang w:bidi="en-US"/>
              </w:rPr>
            </w:pPr>
            <w:r w:rsidRPr="00A06029">
              <w:rPr>
                <w:sz w:val="18"/>
                <w:szCs w:val="18"/>
                <w:lang w:bidi="en-US"/>
              </w:rPr>
              <w:t>adapting and modifying structures and resources to improve both core and targeted supports</w:t>
            </w:r>
          </w:p>
        </w:tc>
      </w:tr>
      <w:tr w:rsidR="002C0D15" w:rsidRPr="00A06029" w14:paraId="3BE26EB3" w14:textId="77777777" w:rsidTr="00FD1CF3">
        <w:tblPrEx>
          <w:tblBorders>
            <w:top w:val="none" w:sz="0" w:space="0" w:color="auto"/>
          </w:tblBorders>
        </w:tblPrEx>
        <w:trPr>
          <w:trHeight w:val="4543"/>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4E12E323" w14:textId="0A96CA7B"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10</w:t>
            </w:r>
            <w:r w:rsidR="002C0D15" w:rsidRPr="00A06029">
              <w:rPr>
                <w:kern w:val="1"/>
                <w:sz w:val="18"/>
                <w:szCs w:val="18"/>
                <w:lang w:bidi="en-US"/>
              </w:rPr>
              <w:t>:</w:t>
            </w:r>
          </w:p>
          <w:p w14:paraId="45A09CAB" w14:textId="77777777" w:rsidR="002C0D15" w:rsidRPr="00A06029" w:rsidRDefault="002C0D15" w:rsidP="00813A82">
            <w:pPr>
              <w:widowControl w:val="0"/>
              <w:autoSpaceDE w:val="0"/>
              <w:autoSpaceDN w:val="0"/>
              <w:adjustRightInd w:val="0"/>
              <w:jc w:val="center"/>
              <w:rPr>
                <w:kern w:val="1"/>
                <w:sz w:val="17"/>
                <w:szCs w:val="17"/>
                <w:lang w:bidi="en-US"/>
              </w:rPr>
            </w:pPr>
            <w:r w:rsidRPr="00A06029">
              <w:rPr>
                <w:kern w:val="1"/>
                <w:sz w:val="18"/>
                <w:szCs w:val="18"/>
                <w:lang w:bidi="en-US"/>
              </w:rPr>
              <w:t>School Culture and Climate</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DA715A0" w14:textId="77777777" w:rsidR="002C0D15" w:rsidRPr="00A06029" w:rsidRDefault="003439FF" w:rsidP="00F62B8E">
            <w:pPr>
              <w:tabs>
                <w:tab w:val="center" w:pos="4320"/>
                <w:tab w:val="right" w:pos="8640"/>
              </w:tabs>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w:t>
            </w:r>
            <w:r w:rsidR="00FC6809" w:rsidRPr="00A06029">
              <w:rPr>
                <w:sz w:val="18"/>
                <w:szCs w:val="18"/>
                <w:lang w:bidi="en-US"/>
              </w:rPr>
              <w:t xml:space="preserve">provides detailed evidence that the school has developed and is improving its </w:t>
            </w:r>
            <w:r w:rsidRPr="00A06029">
              <w:rPr>
                <w:sz w:val="18"/>
                <w:szCs w:val="18"/>
                <w:lang w:bidi="en-US"/>
              </w:rPr>
              <w:t xml:space="preserve">approach to ensuring </w:t>
            </w:r>
            <w:r w:rsidR="00FC6809" w:rsidRPr="00A06029">
              <w:rPr>
                <w:sz w:val="18"/>
                <w:szCs w:val="18"/>
                <w:lang w:bidi="en-US"/>
              </w:rPr>
              <w:t xml:space="preserve">a </w:t>
            </w:r>
            <w:r w:rsidRPr="00A06029">
              <w:rPr>
                <w:sz w:val="18"/>
                <w:szCs w:val="18"/>
                <w:lang w:bidi="en-US"/>
              </w:rPr>
              <w:t>safe, orderly and respectful environment,</w:t>
            </w:r>
            <w:r w:rsidR="00336145" w:rsidRPr="00A06029">
              <w:rPr>
                <w:sz w:val="18"/>
                <w:szCs w:val="18"/>
                <w:lang w:bidi="en-US"/>
              </w:rPr>
              <w:t xml:space="preserve"> and</w:t>
            </w:r>
            <w:r w:rsidRPr="00A06029">
              <w:rPr>
                <w:sz w:val="18"/>
                <w:szCs w:val="18"/>
                <w:lang w:bidi="en-US"/>
              </w:rPr>
              <w:t xml:space="preserve"> </w:t>
            </w:r>
            <w:r w:rsidR="00FC6809" w:rsidRPr="00A06029">
              <w:rPr>
                <w:sz w:val="18"/>
                <w:szCs w:val="18"/>
                <w:lang w:bidi="en-US"/>
              </w:rPr>
              <w:t>that directly includes</w:t>
            </w:r>
            <w:r w:rsidRPr="00A06029">
              <w:rPr>
                <w:sz w:val="18"/>
                <w:szCs w:val="18"/>
                <w:lang w:bidi="en-US"/>
              </w:rPr>
              <w:t>:</w:t>
            </w:r>
          </w:p>
          <w:p w14:paraId="4DF57C3B" w14:textId="77777777" w:rsidR="006A20AF" w:rsidRPr="00A06029" w:rsidRDefault="003439FF">
            <w:pPr>
              <w:pStyle w:val="ListParagraph"/>
              <w:numPr>
                <w:ilvl w:val="0"/>
                <w:numId w:val="40"/>
              </w:numPr>
              <w:tabs>
                <w:tab w:val="center" w:pos="4320"/>
                <w:tab w:val="right" w:pos="8640"/>
              </w:tabs>
              <w:spacing w:before="40" w:after="40"/>
              <w:ind w:left="256" w:hanging="256"/>
              <w:contextualSpacing/>
              <w:rPr>
                <w:sz w:val="18"/>
                <w:szCs w:val="18"/>
                <w:lang w:bidi="en-US"/>
              </w:rPr>
            </w:pPr>
            <w:r w:rsidRPr="00A06029">
              <w:rPr>
                <w:sz w:val="18"/>
                <w:szCs w:val="18"/>
                <w:lang w:bidi="en-US"/>
              </w:rPr>
              <w:t>a clear set of shared behavioral expectations and practices that support students’ learning</w:t>
            </w:r>
          </w:p>
          <w:p w14:paraId="5DABCCDB" w14:textId="77777777" w:rsidR="006A20AF" w:rsidRPr="00A06029" w:rsidRDefault="003439FF">
            <w:pPr>
              <w:pStyle w:val="ListParagraph"/>
              <w:numPr>
                <w:ilvl w:val="0"/>
                <w:numId w:val="40"/>
              </w:numPr>
              <w:tabs>
                <w:tab w:val="center" w:pos="4320"/>
                <w:tab w:val="right" w:pos="8640"/>
              </w:tabs>
              <w:spacing w:before="40" w:after="40"/>
              <w:ind w:left="256" w:hanging="25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22DEDD34" w14:textId="77777777" w:rsidR="006A20AF" w:rsidRPr="00A06029" w:rsidRDefault="003439FF">
            <w:pPr>
              <w:pStyle w:val="ListParagraph"/>
              <w:numPr>
                <w:ilvl w:val="0"/>
                <w:numId w:val="40"/>
              </w:numPr>
              <w:tabs>
                <w:tab w:val="center" w:pos="4320"/>
                <w:tab w:val="right" w:pos="8640"/>
              </w:tabs>
              <w:spacing w:before="40" w:after="40"/>
              <w:ind w:left="256" w:hanging="256"/>
              <w:contextualSpacing/>
              <w:rPr>
                <w:sz w:val="18"/>
                <w:szCs w:val="18"/>
                <w:lang w:bidi="en-US"/>
              </w:rPr>
            </w:pPr>
            <w:r w:rsidRPr="00A06029">
              <w:rPr>
                <w:sz w:val="18"/>
                <w:szCs w:val="18"/>
                <w:lang w:bidi="en-US"/>
              </w:rPr>
              <w:t>strategies to build staff capacity to deliver culturally relevant instruction to students</w:t>
            </w:r>
          </w:p>
          <w:p w14:paraId="2C429D17" w14:textId="77777777" w:rsidR="003439FF" w:rsidRPr="00A06029" w:rsidRDefault="003439FF" w:rsidP="003439FF">
            <w:pPr>
              <w:pStyle w:val="ListParagraph"/>
              <w:numPr>
                <w:ilvl w:val="0"/>
                <w:numId w:val="40"/>
              </w:numPr>
              <w:spacing w:before="40" w:after="40"/>
              <w:ind w:left="256" w:hanging="256"/>
              <w:contextualSpacing/>
              <w:rPr>
                <w:sz w:val="17"/>
                <w:szCs w:val="17"/>
                <w:lang w:bidi="en-US"/>
              </w:rPr>
            </w:pPr>
            <w:r w:rsidRPr="00A06029">
              <w:rPr>
                <w:sz w:val="18"/>
                <w:szCs w:val="18"/>
                <w:lang w:bidi="en-US"/>
              </w:rPr>
              <w:t>strategies to encourage student expression, autonomy and leadership</w:t>
            </w:r>
          </w:p>
          <w:p w14:paraId="712F1EA8" w14:textId="77777777" w:rsidR="006E6B6C" w:rsidRPr="006E6B6C" w:rsidRDefault="006E6B6C" w:rsidP="006E6B6C">
            <w:pPr>
              <w:rPr>
                <w:sz w:val="17"/>
                <w:szCs w:val="17"/>
                <w:lang w:bidi="en-US"/>
              </w:rPr>
            </w:pPr>
          </w:p>
          <w:p w14:paraId="46FDED2A" w14:textId="24599EBA" w:rsidR="006E6B6C" w:rsidRDefault="006E6B6C" w:rsidP="006E6B6C">
            <w:pPr>
              <w:rPr>
                <w:sz w:val="17"/>
                <w:szCs w:val="17"/>
                <w:lang w:bidi="en-US"/>
              </w:rPr>
            </w:pPr>
          </w:p>
          <w:p w14:paraId="1D2B0902" w14:textId="77777777" w:rsidR="00565FF1" w:rsidRPr="006E6B6C" w:rsidRDefault="00565FF1" w:rsidP="006E6B6C">
            <w:pPr>
              <w:rPr>
                <w:sz w:val="17"/>
                <w:szCs w:val="17"/>
                <w:lang w:bidi="en-US"/>
              </w:rPr>
            </w:pP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D19C824"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describes </w:t>
            </w:r>
            <w:r w:rsidR="00336145" w:rsidRPr="00A06029">
              <w:rPr>
                <w:sz w:val="18"/>
                <w:szCs w:val="18"/>
                <w:lang w:bidi="en-US"/>
              </w:rPr>
              <w:t xml:space="preserve">how the school has developed and is improving its </w:t>
            </w:r>
            <w:r w:rsidRPr="00A06029">
              <w:rPr>
                <w:sz w:val="18"/>
                <w:szCs w:val="18"/>
                <w:lang w:bidi="en-US"/>
              </w:rPr>
              <w:t>approach to ensuring</w:t>
            </w:r>
            <w:r w:rsidR="00FC6809" w:rsidRPr="00A06029">
              <w:rPr>
                <w:sz w:val="18"/>
                <w:szCs w:val="18"/>
                <w:lang w:bidi="en-US"/>
              </w:rPr>
              <w:t xml:space="preserve"> a</w:t>
            </w:r>
            <w:r w:rsidRPr="00A06029">
              <w:rPr>
                <w:sz w:val="18"/>
                <w:szCs w:val="18"/>
                <w:lang w:bidi="en-US"/>
              </w:rPr>
              <w:t xml:space="preserve"> safe, orderly and respectful environment,</w:t>
            </w:r>
            <w:r w:rsidR="00336145" w:rsidRPr="00A06029">
              <w:rPr>
                <w:sz w:val="18"/>
                <w:szCs w:val="18"/>
                <w:lang w:bidi="en-US"/>
              </w:rPr>
              <w:t xml:space="preserve"> and that </w:t>
            </w:r>
            <w:r w:rsidRPr="00A06029">
              <w:rPr>
                <w:sz w:val="18"/>
                <w:szCs w:val="18"/>
                <w:lang w:bidi="en-US"/>
              </w:rPr>
              <w:t xml:space="preserve"> </w:t>
            </w:r>
            <w:r w:rsidR="00336145" w:rsidRPr="00A06029">
              <w:rPr>
                <w:sz w:val="18"/>
                <w:szCs w:val="18"/>
                <w:lang w:bidi="en-US"/>
              </w:rPr>
              <w:t>includes</w:t>
            </w:r>
            <w:r w:rsidRPr="00A06029">
              <w:rPr>
                <w:sz w:val="18"/>
                <w:szCs w:val="18"/>
                <w:lang w:bidi="en-US"/>
              </w:rPr>
              <w:t>:</w:t>
            </w:r>
          </w:p>
          <w:p w14:paraId="711FFB98"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a clear set of shared behavioral expectations and practices that support students’ learning</w:t>
            </w:r>
          </w:p>
          <w:p w14:paraId="7303F35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799B845B"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build staff capacity to deliver culturally relevant instruction to students</w:t>
            </w:r>
          </w:p>
          <w:p w14:paraId="5E318DF8"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encourage student expression, autonomy and leadership</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204720"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generally </w:t>
            </w:r>
            <w:r w:rsidR="00336145" w:rsidRPr="00A06029">
              <w:rPr>
                <w:sz w:val="18"/>
                <w:szCs w:val="18"/>
                <w:lang w:bidi="en-US"/>
              </w:rPr>
              <w:t xml:space="preserve">describes how the school has developed and is improving its </w:t>
            </w:r>
            <w:r w:rsidRPr="00A06029">
              <w:rPr>
                <w:sz w:val="18"/>
                <w:szCs w:val="18"/>
                <w:lang w:bidi="en-US"/>
              </w:rPr>
              <w:t>approach to ensuring</w:t>
            </w:r>
            <w:r w:rsidR="00FC6809" w:rsidRPr="00A06029">
              <w:rPr>
                <w:sz w:val="18"/>
                <w:szCs w:val="18"/>
                <w:lang w:bidi="en-US"/>
              </w:rPr>
              <w:t xml:space="preserve"> a</w:t>
            </w:r>
            <w:r w:rsidRPr="00A06029">
              <w:rPr>
                <w:sz w:val="18"/>
                <w:szCs w:val="18"/>
                <w:lang w:bidi="en-US"/>
              </w:rPr>
              <w:t xml:space="preserve"> safe, orderly and respectful environment, </w:t>
            </w:r>
            <w:r w:rsidR="00336145" w:rsidRPr="00A06029">
              <w:rPr>
                <w:sz w:val="18"/>
                <w:szCs w:val="18"/>
                <w:lang w:bidi="en-US"/>
              </w:rPr>
              <w:t xml:space="preserve">and that addresses </w:t>
            </w:r>
            <w:r w:rsidRPr="00A06029">
              <w:rPr>
                <w:b/>
                <w:sz w:val="18"/>
                <w:szCs w:val="18"/>
                <w:lang w:bidi="en-US"/>
              </w:rPr>
              <w:t>at least 2 of the following:</w:t>
            </w:r>
          </w:p>
          <w:p w14:paraId="27555CE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a clear set of shared behavioral expectations and practices that support students’ learning</w:t>
            </w:r>
          </w:p>
          <w:p w14:paraId="10DA18A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19F0BFD9"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build staff capacity to deliver culturally relevant instruction to students</w:t>
            </w:r>
          </w:p>
          <w:p w14:paraId="43FCA101" w14:textId="77777777" w:rsidR="003439FF" w:rsidRPr="00A06029" w:rsidRDefault="003439FF" w:rsidP="003439FF">
            <w:pPr>
              <w:pStyle w:val="ListParagraph"/>
              <w:numPr>
                <w:ilvl w:val="0"/>
                <w:numId w:val="40"/>
              </w:numPr>
              <w:spacing w:before="40" w:after="40"/>
              <w:ind w:left="196" w:hanging="196"/>
              <w:contextualSpacing/>
              <w:rPr>
                <w:sz w:val="18"/>
                <w:szCs w:val="18"/>
                <w:lang w:bidi="en-US"/>
              </w:rPr>
            </w:pPr>
            <w:r w:rsidRPr="00A06029">
              <w:rPr>
                <w:sz w:val="18"/>
                <w:szCs w:val="18"/>
                <w:lang w:bidi="en-US"/>
              </w:rPr>
              <w:t>strategies to encourage student expression, autonomy and leadership</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DB96D8B" w14:textId="77777777" w:rsidR="003439FF" w:rsidRPr="00A06029" w:rsidRDefault="003439FF" w:rsidP="003439FF">
            <w:pPr>
              <w:spacing w:before="40" w:after="40"/>
              <w:rPr>
                <w:sz w:val="18"/>
                <w:szCs w:val="18"/>
                <w:lang w:bidi="en-US"/>
              </w:rPr>
            </w:pPr>
            <w:r w:rsidRPr="00A06029">
              <w:rPr>
                <w:sz w:val="18"/>
                <w:szCs w:val="18"/>
                <w:lang w:bidi="en-US"/>
              </w:rPr>
              <w:t xml:space="preserve">The </w:t>
            </w:r>
            <w:r w:rsidR="00F753E7" w:rsidRPr="00A06029">
              <w:rPr>
                <w:sz w:val="18"/>
                <w:szCs w:val="18"/>
                <w:lang w:bidi="en-US"/>
              </w:rPr>
              <w:t>renewal application</w:t>
            </w:r>
            <w:r w:rsidRPr="00A06029">
              <w:rPr>
                <w:sz w:val="18"/>
                <w:szCs w:val="18"/>
                <w:lang w:bidi="en-US"/>
              </w:rPr>
              <w:t xml:space="preserve"> provides a limited description of </w:t>
            </w:r>
            <w:r w:rsidR="00336145" w:rsidRPr="00A06029">
              <w:rPr>
                <w:sz w:val="18"/>
                <w:szCs w:val="18"/>
                <w:lang w:bidi="en-US"/>
              </w:rPr>
              <w:t xml:space="preserve">how the school has developed and is improving its </w:t>
            </w:r>
            <w:r w:rsidRPr="00A06029">
              <w:rPr>
                <w:sz w:val="18"/>
                <w:szCs w:val="18"/>
                <w:lang w:bidi="en-US"/>
              </w:rPr>
              <w:t>approach to ensuring</w:t>
            </w:r>
            <w:r w:rsidR="00336145" w:rsidRPr="00A06029">
              <w:rPr>
                <w:sz w:val="18"/>
                <w:szCs w:val="18"/>
                <w:lang w:bidi="en-US"/>
              </w:rPr>
              <w:t xml:space="preserve"> a</w:t>
            </w:r>
            <w:r w:rsidRPr="00A06029">
              <w:rPr>
                <w:sz w:val="18"/>
                <w:szCs w:val="18"/>
                <w:lang w:bidi="en-US"/>
              </w:rPr>
              <w:t xml:space="preserve"> safe, orderly and respectful environment, </w:t>
            </w:r>
            <w:r w:rsidR="00336145" w:rsidRPr="00A06029">
              <w:rPr>
                <w:b/>
                <w:sz w:val="18"/>
                <w:szCs w:val="18"/>
                <w:lang w:bidi="en-US"/>
              </w:rPr>
              <w:t xml:space="preserve">addressing only one or two </w:t>
            </w:r>
            <w:r w:rsidRPr="00A06029">
              <w:rPr>
                <w:b/>
                <w:sz w:val="18"/>
                <w:szCs w:val="18"/>
                <w:lang w:bidi="en-US"/>
              </w:rPr>
              <w:t>of the following:</w:t>
            </w:r>
          </w:p>
          <w:p w14:paraId="5DAC4097"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a clear set of shared behavioral expectations and practices that support students’ learning</w:t>
            </w:r>
          </w:p>
          <w:p w14:paraId="3436CB8E"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proactive approaches to develop the intra-personal and inter-personal social and emotional skills of students and adults</w:t>
            </w:r>
          </w:p>
          <w:p w14:paraId="352BD33D"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strategies to build staff capacity to deliver culturally relevant instruction to students</w:t>
            </w:r>
          </w:p>
          <w:p w14:paraId="6D539E07" w14:textId="77777777" w:rsidR="003439FF" w:rsidRPr="00A06029" w:rsidRDefault="003439FF" w:rsidP="003439FF">
            <w:pPr>
              <w:pStyle w:val="ListParagraph"/>
              <w:numPr>
                <w:ilvl w:val="0"/>
                <w:numId w:val="40"/>
              </w:numPr>
              <w:spacing w:before="40" w:after="40"/>
              <w:ind w:left="166" w:hanging="166"/>
              <w:contextualSpacing/>
              <w:rPr>
                <w:sz w:val="18"/>
                <w:szCs w:val="18"/>
                <w:lang w:bidi="en-US"/>
              </w:rPr>
            </w:pPr>
            <w:r w:rsidRPr="00A06029">
              <w:rPr>
                <w:sz w:val="18"/>
                <w:szCs w:val="18"/>
                <w:lang w:bidi="en-US"/>
              </w:rPr>
              <w:t>strategies to encourage student expression, autonomy and leadership</w:t>
            </w:r>
          </w:p>
        </w:tc>
      </w:tr>
      <w:tr w:rsidR="00FD1CF3" w:rsidRPr="00A06029" w14:paraId="256C2777" w14:textId="77777777" w:rsidTr="00FD1CF3">
        <w:tblPrEx>
          <w:tblBorders>
            <w:top w:val="none" w:sz="0" w:space="0" w:color="auto"/>
          </w:tblBorders>
        </w:tblPrEx>
        <w:trPr>
          <w:trHeight w:val="2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tcPr>
          <w:p w14:paraId="78BDA21D"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E01319E"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ED93046"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D1DB7E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8252E40"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FD1CF3" w:rsidRPr="00A06029" w14:paraId="56CA0BCC" w14:textId="77777777" w:rsidTr="00FD1CF3">
        <w:tblPrEx>
          <w:tblBorders>
            <w:top w:val="none" w:sz="0" w:space="0" w:color="auto"/>
          </w:tblBorders>
        </w:tblPrEx>
        <w:trPr>
          <w:trHeight w:val="4723"/>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4132CE62" w14:textId="1656A9EE" w:rsidR="00FD1CF3"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lastRenderedPageBreak/>
              <w:t>11</w:t>
            </w:r>
            <w:r w:rsidR="00FD1CF3" w:rsidRPr="00A06029">
              <w:rPr>
                <w:kern w:val="1"/>
                <w:sz w:val="18"/>
                <w:szCs w:val="18"/>
                <w:lang w:bidi="en-US"/>
              </w:rPr>
              <w:t>:</w:t>
            </w:r>
          </w:p>
          <w:p w14:paraId="55244A63" w14:textId="77777777" w:rsidR="00FD1CF3" w:rsidRPr="00A06029" w:rsidRDefault="00FD1CF3" w:rsidP="00813A82">
            <w:pPr>
              <w:widowControl w:val="0"/>
              <w:autoSpaceDE w:val="0"/>
              <w:autoSpaceDN w:val="0"/>
              <w:adjustRightInd w:val="0"/>
              <w:jc w:val="center"/>
              <w:rPr>
                <w:kern w:val="1"/>
                <w:sz w:val="17"/>
                <w:szCs w:val="17"/>
                <w:lang w:bidi="en-US"/>
              </w:rPr>
            </w:pPr>
            <w:r w:rsidRPr="00A06029">
              <w:rPr>
                <w:kern w:val="1"/>
                <w:sz w:val="18"/>
                <w:szCs w:val="18"/>
                <w:lang w:bidi="en-US"/>
              </w:rPr>
              <w:t>Family Engagement</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C468810" w14:textId="77777777" w:rsidR="00FD1CF3" w:rsidRPr="00A06029" w:rsidRDefault="00FD1CF3" w:rsidP="00F62B8E">
            <w:pPr>
              <w:spacing w:before="40" w:after="40"/>
              <w:rPr>
                <w:sz w:val="18"/>
                <w:szCs w:val="18"/>
                <w:lang w:bidi="en-US"/>
              </w:rPr>
            </w:pPr>
            <w:r w:rsidRPr="00A06029">
              <w:rPr>
                <w:sz w:val="18"/>
                <w:szCs w:val="18"/>
                <w:lang w:bidi="en-US"/>
              </w:rPr>
              <w:t xml:space="preserve">The renewal application provides a detailed description of how the school engages families as respected partners in the learning of their children, including detailed descriptions of </w:t>
            </w:r>
            <w:r w:rsidRPr="00A06029">
              <w:rPr>
                <w:b/>
                <w:sz w:val="18"/>
                <w:szCs w:val="18"/>
                <w:lang w:bidi="en-US"/>
              </w:rPr>
              <w:t>each</w:t>
            </w:r>
            <w:r w:rsidRPr="00A06029">
              <w:rPr>
                <w:sz w:val="18"/>
                <w:szCs w:val="18"/>
                <w:lang w:bidi="en-US"/>
              </w:rPr>
              <w:t xml:space="preserve"> of the following:</w:t>
            </w:r>
          </w:p>
          <w:p w14:paraId="68DEAE51"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41D257D4"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3D804A44"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7DADDBE8"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1DA3EE2" w14:textId="77777777" w:rsidR="00FD1CF3" w:rsidRPr="00A06029" w:rsidRDefault="00FD1CF3">
            <w:pPr>
              <w:spacing w:before="40" w:after="40"/>
              <w:rPr>
                <w:sz w:val="18"/>
                <w:szCs w:val="18"/>
                <w:lang w:bidi="en-US"/>
              </w:rPr>
            </w:pPr>
            <w:r w:rsidRPr="00A06029">
              <w:rPr>
                <w:sz w:val="18"/>
                <w:szCs w:val="18"/>
                <w:lang w:bidi="en-US"/>
              </w:rPr>
              <w:t xml:space="preserve">The renewal application generally describes how the school engages families as respected partners in the learning of their children, including at least general descriptions of </w:t>
            </w:r>
            <w:r w:rsidRPr="00A06029">
              <w:rPr>
                <w:b/>
                <w:sz w:val="18"/>
                <w:szCs w:val="18"/>
                <w:lang w:bidi="en-US"/>
              </w:rPr>
              <w:t>each</w:t>
            </w:r>
            <w:r w:rsidRPr="00A06029">
              <w:rPr>
                <w:sz w:val="18"/>
                <w:szCs w:val="18"/>
                <w:lang w:bidi="en-US"/>
              </w:rPr>
              <w:t xml:space="preserve"> of the following:</w:t>
            </w:r>
          </w:p>
          <w:p w14:paraId="7CAB1148"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49C2E54D"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54E39569"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39E7C033"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0AC54351" w14:textId="77777777" w:rsidR="00FD1CF3" w:rsidRPr="00A06029" w:rsidRDefault="00FD1CF3">
            <w:pPr>
              <w:spacing w:before="40" w:after="40"/>
              <w:rPr>
                <w:sz w:val="18"/>
                <w:szCs w:val="18"/>
                <w:lang w:bidi="en-US"/>
              </w:rPr>
            </w:pPr>
            <w:r w:rsidRPr="00A06029">
              <w:rPr>
                <w:sz w:val="18"/>
                <w:szCs w:val="18"/>
                <w:lang w:bidi="en-US"/>
              </w:rPr>
              <w:t xml:space="preserve">The renewal application generally describes how the school will engage families as respected partners in the learning of their children, including at least general descriptions of </w:t>
            </w:r>
            <w:r w:rsidRPr="00A06029">
              <w:rPr>
                <w:b/>
                <w:sz w:val="18"/>
                <w:szCs w:val="18"/>
                <w:lang w:bidi="en-US"/>
              </w:rPr>
              <w:t>some but not all</w:t>
            </w:r>
            <w:r w:rsidRPr="00A06029">
              <w:rPr>
                <w:sz w:val="18"/>
                <w:szCs w:val="18"/>
                <w:lang w:bidi="en-US"/>
              </w:rPr>
              <w:t xml:space="preserve"> </w:t>
            </w:r>
            <w:r w:rsidRPr="00A06029">
              <w:rPr>
                <w:b/>
                <w:sz w:val="18"/>
                <w:szCs w:val="18"/>
                <w:lang w:bidi="en-US"/>
              </w:rPr>
              <w:t xml:space="preserve">(at least 2) </w:t>
            </w:r>
            <w:r w:rsidRPr="00A06029">
              <w:rPr>
                <w:sz w:val="18"/>
                <w:szCs w:val="18"/>
                <w:lang w:bidi="en-US"/>
              </w:rPr>
              <w:t>of the following:</w:t>
            </w:r>
          </w:p>
          <w:p w14:paraId="4CB42549"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36073777"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4DE790D1"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47AB91CB"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C04F9DB" w14:textId="77777777" w:rsidR="00FD1CF3" w:rsidRPr="00A06029" w:rsidRDefault="00FD1CF3">
            <w:pPr>
              <w:spacing w:before="40" w:after="40"/>
              <w:rPr>
                <w:sz w:val="18"/>
                <w:szCs w:val="18"/>
                <w:lang w:bidi="en-US"/>
              </w:rPr>
            </w:pPr>
            <w:r w:rsidRPr="00A06029">
              <w:rPr>
                <w:sz w:val="18"/>
                <w:szCs w:val="18"/>
                <w:lang w:bidi="en-US"/>
              </w:rPr>
              <w:t xml:space="preserve">The renewal application provides a limited description of how the school will engage families as respected partners in the learning of their children, </w:t>
            </w:r>
            <w:r w:rsidRPr="00A06029">
              <w:rPr>
                <w:b/>
                <w:sz w:val="18"/>
                <w:szCs w:val="18"/>
                <w:lang w:bidi="en-US"/>
              </w:rPr>
              <w:t>OR</w:t>
            </w:r>
            <w:r w:rsidRPr="00A06029">
              <w:rPr>
                <w:sz w:val="18"/>
                <w:szCs w:val="18"/>
                <w:lang w:bidi="en-US"/>
              </w:rPr>
              <w:t xml:space="preserve"> provides limited descriptions of </w:t>
            </w:r>
            <w:r w:rsidRPr="00A06029">
              <w:rPr>
                <w:b/>
                <w:sz w:val="18"/>
                <w:szCs w:val="18"/>
                <w:lang w:bidi="en-US"/>
              </w:rPr>
              <w:t>most of the following (3 or more):</w:t>
            </w:r>
          </w:p>
          <w:p w14:paraId="05F209A0"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Frequent positive communication around student progress and families’ goals for their children</w:t>
            </w:r>
          </w:p>
          <w:p w14:paraId="3167E20B"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Opportunities for teachers and families to learn from and with each other in culturally relevant ways that support the work of the school</w:t>
            </w:r>
          </w:p>
          <w:p w14:paraId="79578C32" w14:textId="77777777" w:rsidR="00FD1CF3" w:rsidRPr="00A06029" w:rsidRDefault="00FD1CF3">
            <w:pPr>
              <w:pStyle w:val="ListParagraph"/>
              <w:numPr>
                <w:ilvl w:val="0"/>
                <w:numId w:val="41"/>
              </w:numPr>
              <w:spacing w:before="40" w:after="40"/>
              <w:contextualSpacing/>
              <w:rPr>
                <w:sz w:val="18"/>
                <w:szCs w:val="18"/>
                <w:lang w:bidi="en-US"/>
              </w:rPr>
            </w:pPr>
            <w:r w:rsidRPr="00A06029">
              <w:rPr>
                <w:sz w:val="18"/>
                <w:szCs w:val="18"/>
                <w:lang w:bidi="en-US"/>
              </w:rPr>
              <w:t>Communications with families in multiple languages, as needed.</w:t>
            </w:r>
          </w:p>
          <w:p w14:paraId="2EAA4FF4" w14:textId="77777777" w:rsidR="00FD1CF3" w:rsidRPr="00A06029" w:rsidRDefault="00FD1CF3">
            <w:pPr>
              <w:pStyle w:val="ListParagraph"/>
              <w:numPr>
                <w:ilvl w:val="0"/>
                <w:numId w:val="41"/>
              </w:numPr>
              <w:spacing w:before="40" w:after="40"/>
              <w:contextualSpacing/>
              <w:rPr>
                <w:sz w:val="17"/>
                <w:szCs w:val="17"/>
                <w:lang w:bidi="en-US"/>
              </w:rPr>
            </w:pPr>
            <w:r w:rsidRPr="00A06029">
              <w:rPr>
                <w:sz w:val="18"/>
                <w:szCs w:val="18"/>
                <w:lang w:bidi="en-US"/>
              </w:rPr>
              <w:t>Strategies that involve all staff in this effort rather than relying on one designee</w:t>
            </w:r>
          </w:p>
        </w:tc>
      </w:tr>
      <w:tr w:rsidR="00FD1CF3" w:rsidRPr="00A06029" w14:paraId="03F08D8A" w14:textId="77777777" w:rsidTr="00FD1CF3">
        <w:tblPrEx>
          <w:tblBorders>
            <w:top w:val="none" w:sz="0" w:space="0" w:color="auto"/>
          </w:tblBorders>
        </w:tblPrEx>
        <w:trPr>
          <w:jc w:val="center"/>
        </w:trPr>
        <w:tc>
          <w:tcPr>
            <w:tcW w:w="1221" w:type="dxa"/>
            <w:tcBorders>
              <w:top w:val="single" w:sz="8" w:space="0" w:color="auto"/>
              <w:left w:val="single" w:sz="4" w:space="0" w:color="auto"/>
              <w:bottom w:val="single" w:sz="8" w:space="0" w:color="auto"/>
              <w:right w:val="single" w:sz="8" w:space="0" w:color="auto"/>
            </w:tcBorders>
            <w:shd w:val="clear" w:color="auto" w:fill="auto"/>
            <w:vAlign w:val="center"/>
          </w:tcPr>
          <w:p w14:paraId="203367E1" w14:textId="5F70FD8D" w:rsidR="00FD1CF3"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12</w:t>
            </w:r>
            <w:r w:rsidR="00FD1CF3" w:rsidRPr="00A06029">
              <w:rPr>
                <w:kern w:val="1"/>
                <w:sz w:val="18"/>
                <w:szCs w:val="18"/>
                <w:lang w:bidi="en-US"/>
              </w:rPr>
              <w:t xml:space="preserve">: </w:t>
            </w:r>
          </w:p>
          <w:p w14:paraId="6F24E340"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District Monitoring</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752EF726" w14:textId="77777777" w:rsidR="00FD1CF3" w:rsidRPr="00A06029" w:rsidRDefault="00FD1CF3" w:rsidP="00F6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 xml:space="preserve">The renewal application includes a detailed description of district system to monitor benchmarks to evaluate the effectiveness of turnaround implementation efforts at the school and district level AND a description of explicit shifts in district actions or policies needed to support successful turnaround efforts in the school. </w:t>
            </w:r>
          </w:p>
        </w:tc>
        <w:tc>
          <w:tcPr>
            <w:tcW w:w="351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5CC5209"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The renewal application includes a general description of district systems to monitor benchmarks to evaluate the effectiveness of turnaround implementation efforts at the school and district level AND a general description of shifts in district actions or policies needed to support successful turnaround efforts.</w:t>
            </w:r>
          </w:p>
        </w:tc>
        <w:tc>
          <w:tcPr>
            <w:tcW w:w="342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2A73E608"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A06029">
              <w:rPr>
                <w:sz w:val="18"/>
                <w:szCs w:val="18"/>
                <w:lang w:bidi="en-US"/>
              </w:rPr>
              <w:t>The renewal application provides a basic description of district systems and structures to monitor benchmarks to evaluate the effectiveness of turnaround implementation efforts at the school and district level and does not describe shifts in district actions or policies that may be needed to support turnaround efforts.</w:t>
            </w:r>
          </w:p>
        </w:tc>
        <w:tc>
          <w:tcPr>
            <w:tcW w:w="338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3B4C94AD" w14:textId="77777777" w:rsidR="00FD1CF3" w:rsidRPr="00A06029" w:rsidRDefault="00FD1C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highlight w:val="yellow"/>
                <w:lang w:bidi="en-US"/>
              </w:rPr>
            </w:pPr>
            <w:r w:rsidRPr="00A06029">
              <w:rPr>
                <w:sz w:val="18"/>
                <w:szCs w:val="18"/>
                <w:lang w:bidi="en-US"/>
              </w:rPr>
              <w:t xml:space="preserve">The renewal application’s description of district systems and structures to monitor benchmarks to evaluate the effectiveness of turnaround implementation efforts at the school and district level is lacking and there is minimal to no description of shifts in district actions or policies.  </w:t>
            </w:r>
          </w:p>
        </w:tc>
      </w:tr>
    </w:tbl>
    <w:p w14:paraId="3E728EB2" w14:textId="77777777" w:rsidR="00FC6809" w:rsidRPr="00A06029" w:rsidRDefault="00FC6809">
      <w:pPr>
        <w:rPr>
          <w:sz w:val="22"/>
          <w:szCs w:val="22"/>
        </w:rPr>
      </w:pPr>
      <w:r w:rsidRPr="00A06029">
        <w:rPr>
          <w:sz w:val="22"/>
          <w:szCs w:val="22"/>
        </w:rPr>
        <w:br w:type="page"/>
      </w:r>
    </w:p>
    <w:tbl>
      <w:tblPr>
        <w:tblW w:w="14862" w:type="dxa"/>
        <w:jc w:val="center"/>
        <w:tblBorders>
          <w:left w:val="nil"/>
          <w:right w:val="nil"/>
        </w:tblBorders>
        <w:tblLayout w:type="fixed"/>
        <w:tblLook w:val="0000" w:firstRow="0" w:lastRow="0" w:firstColumn="0" w:lastColumn="0" w:noHBand="0" w:noVBand="0"/>
      </w:tblPr>
      <w:tblGrid>
        <w:gridCol w:w="1311"/>
        <w:gridCol w:w="3482"/>
        <w:gridCol w:w="3330"/>
        <w:gridCol w:w="3268"/>
        <w:gridCol w:w="3471"/>
      </w:tblGrid>
      <w:tr w:rsidR="00FD1CF3" w:rsidRPr="00A06029" w14:paraId="13CB88ED" w14:textId="77777777" w:rsidTr="002F72EB">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tcPr>
          <w:p w14:paraId="4BD918E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18"/>
                <w:szCs w:val="18"/>
                <w:lang w:bidi="en-US"/>
              </w:rPr>
            </w:pP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629D58BE"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Strong – 4</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9625068"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Adequate - 3</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5BB38863"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Marginal - 2</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1184194E" w14:textId="77777777" w:rsidR="00FD1CF3" w:rsidRPr="00A06029" w:rsidRDefault="00FD1CF3" w:rsidP="002F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b/>
                <w:bCs/>
                <w:sz w:val="18"/>
                <w:szCs w:val="18"/>
                <w:lang w:bidi="en-US"/>
              </w:rPr>
              <w:t>Weak – 1</w:t>
            </w:r>
          </w:p>
        </w:tc>
      </w:tr>
      <w:tr w:rsidR="00FD1CF3" w:rsidRPr="00A06029" w14:paraId="7A97AF2E" w14:textId="77777777" w:rsidTr="00537E34">
        <w:trPr>
          <w:jc w:val="center"/>
        </w:trPr>
        <w:tc>
          <w:tcPr>
            <w:tcW w:w="1311" w:type="dxa"/>
            <w:tcBorders>
              <w:top w:val="single" w:sz="8" w:space="0" w:color="auto"/>
              <w:left w:val="single" w:sz="4" w:space="0" w:color="auto"/>
              <w:bottom w:val="single" w:sz="8" w:space="0" w:color="auto"/>
              <w:right w:val="single" w:sz="8" w:space="0" w:color="auto"/>
            </w:tcBorders>
            <w:shd w:val="clear" w:color="auto" w:fill="auto"/>
            <w:vAlign w:val="center"/>
          </w:tcPr>
          <w:p w14:paraId="0250996F" w14:textId="373331F8"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1</w:t>
            </w:r>
            <w:r w:rsidR="00492282" w:rsidRPr="00A06029">
              <w:rPr>
                <w:kern w:val="1"/>
                <w:sz w:val="18"/>
                <w:szCs w:val="18"/>
                <w:lang w:bidi="en-US"/>
              </w:rPr>
              <w:t>3</w:t>
            </w:r>
            <w:r w:rsidRPr="00A06029">
              <w:rPr>
                <w:kern w:val="1"/>
                <w:sz w:val="18"/>
                <w:szCs w:val="18"/>
                <w:lang w:bidi="en-US"/>
              </w:rPr>
              <w:t xml:space="preserve">: </w:t>
            </w:r>
          </w:p>
          <w:p w14:paraId="691AE6AD"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18"/>
                <w:szCs w:val="18"/>
                <w:lang w:bidi="en-US"/>
              </w:rPr>
            </w:pPr>
            <w:r w:rsidRPr="00A06029">
              <w:rPr>
                <w:kern w:val="1"/>
                <w:sz w:val="18"/>
                <w:szCs w:val="18"/>
                <w:lang w:bidi="en-US"/>
              </w:rPr>
              <w:t>School Monitoring</w:t>
            </w:r>
          </w:p>
        </w:tc>
        <w:tc>
          <w:tcPr>
            <w:tcW w:w="3482"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48107342" w14:textId="77777777" w:rsidR="00FD1CF3" w:rsidRPr="00A06029" w:rsidRDefault="00FD1CF3" w:rsidP="00813A82">
            <w:pPr>
              <w:widowControl w:val="0"/>
              <w:autoSpaceDE w:val="0"/>
              <w:autoSpaceDN w:val="0"/>
              <w:adjustRightInd w:val="0"/>
              <w:spacing w:before="80" w:after="80"/>
              <w:rPr>
                <w:kern w:val="1"/>
                <w:sz w:val="18"/>
                <w:szCs w:val="18"/>
                <w:lang w:bidi="en-US"/>
              </w:rPr>
            </w:pPr>
            <w:r w:rsidRPr="00A06029">
              <w:rPr>
                <w:sz w:val="18"/>
                <w:szCs w:val="18"/>
                <w:lang w:bidi="en-US"/>
              </w:rPr>
              <w:t xml:space="preserve">It is clear throughout the renewal application that the school is actively collecting data, monitoring progress towards turnaround goals and benchmarks, and using that information to modify strategies and initiatives. </w:t>
            </w:r>
          </w:p>
        </w:tc>
        <w:tc>
          <w:tcPr>
            <w:tcW w:w="333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3A2297D9" w14:textId="77777777" w:rsidR="00FD1CF3" w:rsidRPr="00A06029" w:rsidRDefault="00FD1CF3" w:rsidP="00813A82">
            <w:pPr>
              <w:widowControl w:val="0"/>
              <w:autoSpaceDE w:val="0"/>
              <w:autoSpaceDN w:val="0"/>
              <w:adjustRightInd w:val="0"/>
              <w:spacing w:before="80" w:after="80"/>
              <w:rPr>
                <w:kern w:val="1"/>
                <w:sz w:val="18"/>
                <w:szCs w:val="18"/>
                <w:lang w:bidi="en-US"/>
              </w:rPr>
            </w:pPr>
            <w:r w:rsidRPr="00A06029">
              <w:rPr>
                <w:sz w:val="18"/>
                <w:szCs w:val="18"/>
                <w:lang w:bidi="en-US"/>
              </w:rPr>
              <w:t xml:space="preserve">Throughout the renewal application is evident that the school is using an adequate system to collect data, monitor progress towards turnaround goals and benchmarks, and uses that information to modify strategies and initiatives. </w:t>
            </w:r>
          </w:p>
        </w:tc>
        <w:tc>
          <w:tcPr>
            <w:tcW w:w="3268"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5C2836BF" w14:textId="77777777" w:rsidR="00FD1CF3" w:rsidRPr="00A06029" w:rsidRDefault="00FD1CF3" w:rsidP="00813A82">
            <w:pPr>
              <w:widowControl w:val="0"/>
              <w:autoSpaceDE w:val="0"/>
              <w:autoSpaceDN w:val="0"/>
              <w:adjustRightInd w:val="0"/>
              <w:spacing w:before="80" w:after="80"/>
              <w:rPr>
                <w:kern w:val="1"/>
                <w:sz w:val="18"/>
                <w:szCs w:val="18"/>
                <w:lang w:bidi="en-US"/>
              </w:rPr>
            </w:pPr>
            <w:r w:rsidRPr="00A06029">
              <w:rPr>
                <w:sz w:val="18"/>
                <w:szCs w:val="18"/>
                <w:lang w:bidi="en-US"/>
              </w:rPr>
              <w:t xml:space="preserve">The system to collect data, monitor progress towards turnaround goals and benchmarks, and use that information to modify strategies and initiatives as described in the renewal application could use some improvement to be fully effective. </w:t>
            </w:r>
          </w:p>
        </w:tc>
        <w:tc>
          <w:tcPr>
            <w:tcW w:w="3471"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0DC93234" w14:textId="77777777" w:rsidR="00FD1CF3" w:rsidRPr="00A06029" w:rsidRDefault="00FD1CF3"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sz w:val="18"/>
                <w:szCs w:val="18"/>
                <w:lang w:bidi="en-US"/>
              </w:rPr>
            </w:pPr>
            <w:r w:rsidRPr="00A06029">
              <w:rPr>
                <w:sz w:val="18"/>
                <w:szCs w:val="18"/>
                <w:lang w:bidi="en-US"/>
              </w:rPr>
              <w:t>It is unclear throughout the renewal application if the school has an effective system to monitor progress towards turnaround goals and benchmarks, and use that information to modify strategies and initiatives.</w:t>
            </w:r>
          </w:p>
        </w:tc>
      </w:tr>
    </w:tbl>
    <w:p w14:paraId="2828840E" w14:textId="77777777" w:rsidR="002C0D15" w:rsidRPr="00A06029" w:rsidRDefault="002C0D15" w:rsidP="002C0D15">
      <w:pPr>
        <w:outlineLvl w:val="0"/>
        <w:rPr>
          <w:b/>
          <w:sz w:val="22"/>
          <w:szCs w:val="22"/>
        </w:rPr>
      </w:pPr>
    </w:p>
    <w:p w14:paraId="355EC8CE" w14:textId="584CA4CC" w:rsidR="002C0D15" w:rsidRPr="00A06029" w:rsidRDefault="009E4A83" w:rsidP="002C0D15">
      <w:pPr>
        <w:outlineLvl w:val="0"/>
        <w:rPr>
          <w:b/>
          <w:sz w:val="22"/>
          <w:szCs w:val="22"/>
        </w:rPr>
      </w:pPr>
      <w:r w:rsidRPr="00A06029">
        <w:rPr>
          <w:b/>
          <w:sz w:val="22"/>
          <w:szCs w:val="22"/>
        </w:rPr>
        <w:t>Financial Plan</w:t>
      </w:r>
      <w:r w:rsidR="002C0D15" w:rsidRPr="00A06029">
        <w:rPr>
          <w:b/>
          <w:sz w:val="22"/>
          <w:szCs w:val="22"/>
        </w:rPr>
        <w:t xml:space="preserve"> Items:</w:t>
      </w:r>
    </w:p>
    <w:p w14:paraId="104A57C3" w14:textId="77777777" w:rsidR="002C0D15" w:rsidRPr="00A06029" w:rsidRDefault="002C0D15" w:rsidP="002C0D15">
      <w:pPr>
        <w:jc w:val="center"/>
        <w:rPr>
          <w:rFonts w:cs="Palatino-Roman"/>
          <w:sz w:val="22"/>
          <w:szCs w:val="22"/>
          <w:lang w:bidi="en-US"/>
        </w:rPr>
      </w:pPr>
    </w:p>
    <w:tbl>
      <w:tblPr>
        <w:tblW w:w="14670" w:type="dxa"/>
        <w:jc w:val="center"/>
        <w:tblBorders>
          <w:top w:val="nil"/>
          <w:left w:val="nil"/>
          <w:right w:val="nil"/>
        </w:tblBorders>
        <w:tblLayout w:type="fixed"/>
        <w:tblLook w:val="0000" w:firstRow="0" w:lastRow="0" w:firstColumn="0" w:lastColumn="0" w:noHBand="0" w:noVBand="0"/>
      </w:tblPr>
      <w:tblGrid>
        <w:gridCol w:w="1395"/>
        <w:gridCol w:w="3330"/>
        <w:gridCol w:w="3330"/>
        <w:gridCol w:w="3240"/>
        <w:gridCol w:w="3375"/>
      </w:tblGrid>
      <w:tr w:rsidR="002C0D15" w:rsidRPr="00A06029" w14:paraId="0545FEDB" w14:textId="77777777" w:rsidTr="00813A82">
        <w:trPr>
          <w:jc w:val="center"/>
        </w:trPr>
        <w:tc>
          <w:tcPr>
            <w:tcW w:w="14670" w:type="dxa"/>
            <w:gridSpan w:val="5"/>
            <w:tcBorders>
              <w:top w:val="single" w:sz="8" w:space="0" w:color="auto"/>
              <w:left w:val="single" w:sz="4" w:space="0" w:color="auto"/>
              <w:bottom w:val="single" w:sz="4" w:space="0" w:color="auto"/>
              <w:right w:val="single" w:sz="8" w:space="0" w:color="auto"/>
            </w:tcBorders>
          </w:tcPr>
          <w:p w14:paraId="0F158DEA" w14:textId="77777777" w:rsidR="002C0D15" w:rsidRPr="00A06029" w:rsidRDefault="002C0D15" w:rsidP="00813A82">
            <w:pPr>
              <w:widowControl w:val="0"/>
              <w:tabs>
                <w:tab w:val="left" w:pos="720"/>
                <w:tab w:val="left" w:pos="1080"/>
                <w:tab w:val="left" w:pos="1440"/>
                <w:tab w:val="left" w:pos="1800"/>
              </w:tabs>
              <w:autoSpaceDE w:val="0"/>
              <w:autoSpaceDN w:val="0"/>
              <w:adjustRightInd w:val="0"/>
              <w:rPr>
                <w:b/>
                <w:bCs/>
                <w:sz w:val="18"/>
                <w:szCs w:val="18"/>
                <w:lang w:bidi="en-US"/>
              </w:rPr>
            </w:pPr>
            <w:r w:rsidRPr="00A06029">
              <w:rPr>
                <w:b/>
                <w:bCs/>
                <w:sz w:val="18"/>
                <w:szCs w:val="18"/>
                <w:lang w:bidi="en-US"/>
              </w:rPr>
              <w:t>Capacity and Commitment</w:t>
            </w:r>
          </w:p>
          <w:p w14:paraId="48F1F4B7" w14:textId="1B28E670"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Roman"/>
                <w:b/>
                <w:bCs/>
                <w:sz w:val="18"/>
                <w:szCs w:val="18"/>
                <w:lang w:bidi="en-US"/>
              </w:rPr>
            </w:pPr>
            <w:r w:rsidRPr="00A06029">
              <w:rPr>
                <w:sz w:val="18"/>
                <w:szCs w:val="18"/>
                <w:u w:val="single"/>
                <w:lang w:bidi="en-US"/>
              </w:rPr>
              <w:t>Scoring Criteria</w:t>
            </w:r>
            <w:r w:rsidRPr="00A06029">
              <w:rPr>
                <w:sz w:val="18"/>
                <w:szCs w:val="18"/>
                <w:lang w:bidi="en-US"/>
              </w:rPr>
              <w:t xml:space="preserve">: </w:t>
            </w:r>
            <w:r w:rsidRPr="00A06029">
              <w:rPr>
                <w:rFonts w:cs="Palatino-Roman"/>
                <w:sz w:val="18"/>
                <w:szCs w:val="18"/>
                <w:lang w:bidi="en-US"/>
              </w:rPr>
              <w:t>The extent to which the district and school demonstrate the capacity and commitment to use S</w:t>
            </w:r>
            <w:r w:rsidR="00B83C4F" w:rsidRPr="00A06029">
              <w:rPr>
                <w:rFonts w:cs="Palatino-Roman"/>
                <w:sz w:val="18"/>
                <w:szCs w:val="18"/>
                <w:lang w:bidi="en-US"/>
              </w:rPr>
              <w:t xml:space="preserve">RG </w:t>
            </w:r>
            <w:r w:rsidRPr="00A06029">
              <w:rPr>
                <w:rFonts w:cs="Palatino-Roman"/>
                <w:sz w:val="18"/>
                <w:szCs w:val="18"/>
                <w:lang w:bidi="en-US"/>
              </w:rPr>
              <w:t>funds to support the strategies identified in the application and are planning for sustainability.</w:t>
            </w:r>
          </w:p>
        </w:tc>
      </w:tr>
      <w:tr w:rsidR="002C0D15" w:rsidRPr="00A06029" w14:paraId="4ED93493" w14:textId="77777777" w:rsidTr="00021954">
        <w:trPr>
          <w:jc w:val="center"/>
        </w:trPr>
        <w:tc>
          <w:tcPr>
            <w:tcW w:w="1395" w:type="dxa"/>
            <w:tcBorders>
              <w:top w:val="single" w:sz="8" w:space="0" w:color="auto"/>
              <w:left w:val="single" w:sz="4" w:space="0" w:color="auto"/>
              <w:bottom w:val="single" w:sz="4" w:space="0" w:color="auto"/>
              <w:right w:val="single" w:sz="4" w:space="0" w:color="auto"/>
            </w:tcBorders>
          </w:tcPr>
          <w:p w14:paraId="694EBA0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
                <w:bCs/>
                <w:sz w:val="18"/>
                <w:szCs w:val="18"/>
                <w:lang w:bidi="en-US"/>
              </w:rPr>
            </w:pPr>
          </w:p>
        </w:tc>
        <w:tc>
          <w:tcPr>
            <w:tcW w:w="3330" w:type="dxa"/>
            <w:tcBorders>
              <w:top w:val="single" w:sz="8" w:space="0" w:color="auto"/>
              <w:left w:val="single" w:sz="4" w:space="0" w:color="auto"/>
              <w:bottom w:val="single" w:sz="8" w:space="0" w:color="auto"/>
              <w:right w:val="single" w:sz="4" w:space="0" w:color="auto"/>
            </w:tcBorders>
          </w:tcPr>
          <w:p w14:paraId="0C43674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Strong - 4</w:t>
            </w:r>
          </w:p>
        </w:tc>
        <w:tc>
          <w:tcPr>
            <w:tcW w:w="3330" w:type="dxa"/>
            <w:tcBorders>
              <w:top w:val="single" w:sz="8" w:space="0" w:color="auto"/>
              <w:left w:val="single" w:sz="4" w:space="0" w:color="auto"/>
              <w:bottom w:val="single" w:sz="4" w:space="0" w:color="auto"/>
              <w:right w:val="single" w:sz="8" w:space="0" w:color="auto"/>
            </w:tcBorders>
          </w:tcPr>
          <w:p w14:paraId="10DEB6C3"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Adequate - 3</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tcPr>
          <w:p w14:paraId="4B161CBF"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Marginal - 2</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A59B74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18"/>
                <w:szCs w:val="18"/>
                <w:lang w:bidi="en-US"/>
              </w:rPr>
            </w:pPr>
            <w:r w:rsidRPr="00A06029">
              <w:rPr>
                <w:rFonts w:cs="Palatino-Roman"/>
                <w:b/>
                <w:bCs/>
                <w:sz w:val="18"/>
                <w:szCs w:val="18"/>
                <w:lang w:bidi="en-US"/>
              </w:rPr>
              <w:t>Weak - 1</w:t>
            </w:r>
          </w:p>
        </w:tc>
      </w:tr>
      <w:tr w:rsidR="002C0D15" w:rsidRPr="00A06029" w14:paraId="0F4E3EFB" w14:textId="77777777" w:rsidTr="00021954">
        <w:trPr>
          <w:jc w:val="center"/>
        </w:trPr>
        <w:tc>
          <w:tcPr>
            <w:tcW w:w="1395" w:type="dxa"/>
            <w:tcBorders>
              <w:top w:val="single" w:sz="8" w:space="0" w:color="auto"/>
              <w:left w:val="single" w:sz="4" w:space="0" w:color="auto"/>
              <w:bottom w:val="single" w:sz="4" w:space="0" w:color="auto"/>
              <w:right w:val="single" w:sz="8" w:space="0" w:color="auto"/>
            </w:tcBorders>
          </w:tcPr>
          <w:p w14:paraId="7DC2C90F"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p>
          <w:p w14:paraId="34A8469A" w14:textId="7D6E3FB7"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A06029">
              <w:rPr>
                <w:rFonts w:cs="Palatino-Roman"/>
                <w:bCs/>
                <w:sz w:val="18"/>
                <w:szCs w:val="18"/>
                <w:lang w:bidi="en-US"/>
              </w:rPr>
              <w:t>14</w:t>
            </w:r>
            <w:r w:rsidR="002C0D15" w:rsidRPr="00A06029">
              <w:rPr>
                <w:rFonts w:cs="Palatino-Roman"/>
                <w:bCs/>
                <w:sz w:val="18"/>
                <w:szCs w:val="18"/>
                <w:lang w:bidi="en-US"/>
              </w:rPr>
              <w:t xml:space="preserve">: </w:t>
            </w:r>
          </w:p>
          <w:p w14:paraId="36A9490E" w14:textId="2F1C2DE3" w:rsidR="002C0D15" w:rsidRPr="00A06029" w:rsidRDefault="002C0D15" w:rsidP="004A67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Palatino-Roman"/>
                <w:bCs/>
                <w:sz w:val="18"/>
                <w:szCs w:val="18"/>
                <w:lang w:bidi="en-US"/>
              </w:rPr>
            </w:pPr>
            <w:r w:rsidRPr="00A06029">
              <w:rPr>
                <w:rFonts w:cs="Palatino-Roman"/>
                <w:bCs/>
                <w:sz w:val="18"/>
                <w:szCs w:val="18"/>
                <w:lang w:bidi="en-US"/>
              </w:rPr>
              <w:t xml:space="preserve">Quality of </w:t>
            </w:r>
            <w:r w:rsidR="004A675A" w:rsidRPr="00A06029">
              <w:rPr>
                <w:rFonts w:cs="Palatino-Roman"/>
                <w:bCs/>
                <w:sz w:val="18"/>
                <w:szCs w:val="18"/>
                <w:lang w:bidi="en-US"/>
              </w:rPr>
              <w:t xml:space="preserve">Financial Plan </w:t>
            </w:r>
          </w:p>
        </w:tc>
        <w:tc>
          <w:tcPr>
            <w:tcW w:w="3330" w:type="dxa"/>
            <w:tcBorders>
              <w:top w:val="single" w:sz="8" w:space="0" w:color="auto"/>
              <w:left w:val="single" w:sz="8" w:space="0" w:color="auto"/>
              <w:bottom w:val="single" w:sz="8" w:space="0" w:color="auto"/>
              <w:right w:val="single" w:sz="8" w:space="0" w:color="auto"/>
            </w:tcBorders>
            <w:vAlign w:val="center"/>
          </w:tcPr>
          <w:p w14:paraId="17646007" w14:textId="44897066" w:rsidR="002C0D15" w:rsidRPr="00A06029" w:rsidRDefault="007A2B44"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The financial plan</w:t>
            </w:r>
            <w:r w:rsidR="002C0D15" w:rsidRPr="00A06029">
              <w:rPr>
                <w:rFonts w:cs="Palatino-Roman"/>
                <w:bCs/>
                <w:sz w:val="18"/>
                <w:szCs w:val="18"/>
                <w:lang w:bidi="en-US"/>
              </w:rPr>
              <w:t xml:space="preserve"> clearly justifies how all proposed grant expenditures are aligned, reasonable, necessary, and allowable </w:t>
            </w:r>
            <w:r w:rsidR="002C0D15" w:rsidRPr="00A06029">
              <w:rPr>
                <w:rFonts w:cs="Palatino-Roman"/>
                <w:sz w:val="18"/>
                <w:szCs w:val="18"/>
                <w:lang w:bidi="en-US"/>
              </w:rPr>
              <w:t xml:space="preserve">to support the key strategies as proposed in the original redesign plan and renewal application.  </w:t>
            </w:r>
          </w:p>
        </w:tc>
        <w:tc>
          <w:tcPr>
            <w:tcW w:w="3330" w:type="dxa"/>
            <w:tcBorders>
              <w:top w:val="single" w:sz="8" w:space="0" w:color="auto"/>
              <w:left w:val="single" w:sz="8" w:space="0" w:color="auto"/>
              <w:bottom w:val="single" w:sz="4" w:space="0" w:color="auto"/>
              <w:right w:val="single" w:sz="8" w:space="0" w:color="auto"/>
            </w:tcBorders>
            <w:vAlign w:val="center"/>
          </w:tcPr>
          <w:p w14:paraId="00C49A07" w14:textId="0D7BAE0C"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 xml:space="preserve">The </w:t>
            </w:r>
            <w:r w:rsidR="007A2B44" w:rsidRPr="00A06029">
              <w:rPr>
                <w:rFonts w:cs="Palatino-Roman"/>
                <w:bCs/>
                <w:sz w:val="18"/>
                <w:szCs w:val="18"/>
                <w:lang w:bidi="en-US"/>
              </w:rPr>
              <w:t xml:space="preserve">financial plan </w:t>
            </w:r>
            <w:r w:rsidRPr="00A06029">
              <w:rPr>
                <w:rFonts w:cs="Palatino-Roman"/>
                <w:bCs/>
                <w:sz w:val="18"/>
                <w:szCs w:val="18"/>
                <w:lang w:bidi="en-US"/>
              </w:rPr>
              <w:t xml:space="preserve">adequately justifies how most proposed grant expenditures are aligned, reasonable, necessary, and allowable </w:t>
            </w:r>
            <w:r w:rsidRPr="00A06029">
              <w:rPr>
                <w:rFonts w:cs="Palatino-Roman"/>
                <w:sz w:val="18"/>
                <w:szCs w:val="18"/>
                <w:lang w:bidi="en-US"/>
              </w:rPr>
              <w:t xml:space="preserve">to support the key strategies as proposed in the original redesign plan and renewal application.  </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1155BBD6" w14:textId="5C47F639"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 xml:space="preserve">The </w:t>
            </w:r>
            <w:r w:rsidR="007A2B44" w:rsidRPr="00A06029">
              <w:rPr>
                <w:rFonts w:cs="Palatino-Roman"/>
                <w:bCs/>
                <w:sz w:val="18"/>
                <w:szCs w:val="18"/>
                <w:lang w:bidi="en-US"/>
              </w:rPr>
              <w:t xml:space="preserve">financial plan </w:t>
            </w:r>
            <w:r w:rsidRPr="00A06029">
              <w:rPr>
                <w:rFonts w:cs="Palatino-Roman"/>
                <w:bCs/>
                <w:sz w:val="18"/>
                <w:szCs w:val="18"/>
                <w:lang w:bidi="en-US"/>
              </w:rPr>
              <w:t xml:space="preserve">justifies how some proposed grant expenditures are aligned, reasonable, necessary, and allowable </w:t>
            </w:r>
            <w:r w:rsidRPr="00A06029">
              <w:rPr>
                <w:rFonts w:cs="Palatino-Roman"/>
                <w:sz w:val="18"/>
                <w:szCs w:val="18"/>
                <w:lang w:bidi="en-US"/>
              </w:rPr>
              <w:t xml:space="preserve">to support the key strategies as proposed in the original redesign plan and renewal application.  </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113CA8D" w14:textId="2B39ACE0"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rFonts w:ascii="Helvetica" w:hAnsi="Helvetica" w:cs="Helvetica"/>
                <w:kern w:val="1"/>
                <w:sz w:val="18"/>
                <w:szCs w:val="18"/>
                <w:lang w:bidi="en-US"/>
              </w:rPr>
            </w:pPr>
            <w:r w:rsidRPr="00A06029">
              <w:rPr>
                <w:rFonts w:cs="Palatino-Roman"/>
                <w:bCs/>
                <w:sz w:val="18"/>
                <w:szCs w:val="18"/>
                <w:lang w:bidi="en-US"/>
              </w:rPr>
              <w:t xml:space="preserve">The </w:t>
            </w:r>
            <w:r w:rsidR="007A2B44" w:rsidRPr="00A06029">
              <w:rPr>
                <w:rFonts w:cs="Palatino-Roman"/>
                <w:bCs/>
                <w:sz w:val="18"/>
                <w:szCs w:val="18"/>
                <w:lang w:bidi="en-US"/>
              </w:rPr>
              <w:t xml:space="preserve">financial plan </w:t>
            </w:r>
            <w:r w:rsidRPr="00A06029">
              <w:rPr>
                <w:rFonts w:cs="Palatino-Roman"/>
                <w:bCs/>
                <w:sz w:val="18"/>
                <w:szCs w:val="18"/>
                <w:lang w:bidi="en-US"/>
              </w:rPr>
              <w:t xml:space="preserve">does not clearly justify how most proposed grant expenditures are aligned, reasonable, necessary, and allowable </w:t>
            </w:r>
            <w:r w:rsidRPr="00A06029">
              <w:rPr>
                <w:rFonts w:cs="Palatino-Roman"/>
                <w:sz w:val="18"/>
                <w:szCs w:val="18"/>
                <w:lang w:bidi="en-US"/>
              </w:rPr>
              <w:t xml:space="preserve">to support the key strategies as proposed in the original redesign plan and renewal application.  </w:t>
            </w:r>
          </w:p>
        </w:tc>
      </w:tr>
      <w:tr w:rsidR="002C0D15" w:rsidRPr="00A06029" w14:paraId="4DC7C88D" w14:textId="77777777" w:rsidTr="00021954">
        <w:trPr>
          <w:jc w:val="center"/>
        </w:trPr>
        <w:tc>
          <w:tcPr>
            <w:tcW w:w="1395" w:type="dxa"/>
            <w:tcBorders>
              <w:top w:val="single" w:sz="8" w:space="0" w:color="auto"/>
              <w:left w:val="single" w:sz="4" w:space="0" w:color="auto"/>
              <w:bottom w:val="single" w:sz="4" w:space="0" w:color="auto"/>
              <w:right w:val="single" w:sz="4" w:space="0" w:color="auto"/>
            </w:tcBorders>
            <w:vAlign w:val="center"/>
          </w:tcPr>
          <w:p w14:paraId="47D2E469" w14:textId="18E5B069" w:rsidR="002C0D15" w:rsidRPr="00A06029" w:rsidRDefault="00492282" w:rsidP="00813A82">
            <w:pPr>
              <w:widowControl w:val="0"/>
              <w:autoSpaceDE w:val="0"/>
              <w:autoSpaceDN w:val="0"/>
              <w:adjustRightInd w:val="0"/>
              <w:jc w:val="center"/>
              <w:rPr>
                <w:kern w:val="1"/>
                <w:sz w:val="18"/>
                <w:szCs w:val="18"/>
                <w:lang w:bidi="en-US"/>
              </w:rPr>
            </w:pPr>
            <w:r w:rsidRPr="00A06029">
              <w:rPr>
                <w:kern w:val="1"/>
                <w:sz w:val="18"/>
                <w:szCs w:val="18"/>
                <w:lang w:bidi="en-US"/>
              </w:rPr>
              <w:t>15</w:t>
            </w:r>
            <w:r w:rsidR="002C0D15" w:rsidRPr="00A06029">
              <w:rPr>
                <w:kern w:val="1"/>
                <w:sz w:val="18"/>
                <w:szCs w:val="18"/>
                <w:lang w:bidi="en-US"/>
              </w:rPr>
              <w:t xml:space="preserve">: </w:t>
            </w:r>
          </w:p>
          <w:p w14:paraId="00915B57" w14:textId="77777777" w:rsidR="002C0D15" w:rsidRPr="00A06029" w:rsidRDefault="002C0D15" w:rsidP="00813A82">
            <w:pPr>
              <w:widowControl w:val="0"/>
              <w:autoSpaceDE w:val="0"/>
              <w:autoSpaceDN w:val="0"/>
              <w:adjustRightInd w:val="0"/>
              <w:jc w:val="center"/>
              <w:rPr>
                <w:kern w:val="1"/>
                <w:sz w:val="18"/>
                <w:szCs w:val="18"/>
                <w:lang w:bidi="en-US"/>
              </w:rPr>
            </w:pPr>
            <w:r w:rsidRPr="00A06029">
              <w:rPr>
                <w:kern w:val="1"/>
                <w:sz w:val="18"/>
                <w:szCs w:val="18"/>
                <w:lang w:bidi="en-US"/>
              </w:rPr>
              <w:t>Funding Sustainability</w:t>
            </w:r>
          </w:p>
        </w:tc>
        <w:tc>
          <w:tcPr>
            <w:tcW w:w="3330" w:type="dxa"/>
            <w:tcBorders>
              <w:top w:val="single" w:sz="8" w:space="0" w:color="auto"/>
              <w:left w:val="single" w:sz="4" w:space="0" w:color="auto"/>
              <w:bottom w:val="single" w:sz="4" w:space="0" w:color="auto"/>
              <w:right w:val="single" w:sz="4" w:space="0" w:color="auto"/>
            </w:tcBorders>
            <w:vAlign w:val="center"/>
          </w:tcPr>
          <w:p w14:paraId="6369C376"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18"/>
                <w:szCs w:val="18"/>
                <w:lang w:bidi="en-US"/>
              </w:rPr>
            </w:pPr>
            <w:r w:rsidRPr="00A06029">
              <w:rPr>
                <w:sz w:val="18"/>
                <w:szCs w:val="18"/>
                <w:lang w:bidi="en-US"/>
              </w:rPr>
              <w:t>The renewal application clearly describes how the school uses data to target or refine supports and inform future funding decisions and sustainability.</w:t>
            </w:r>
          </w:p>
        </w:tc>
        <w:tc>
          <w:tcPr>
            <w:tcW w:w="3330" w:type="dxa"/>
            <w:tcBorders>
              <w:top w:val="single" w:sz="8" w:space="0" w:color="auto"/>
              <w:left w:val="single" w:sz="4" w:space="0" w:color="auto"/>
              <w:bottom w:val="single" w:sz="4" w:space="0" w:color="auto"/>
              <w:right w:val="single" w:sz="8" w:space="0" w:color="auto"/>
            </w:tcBorders>
            <w:vAlign w:val="center"/>
          </w:tcPr>
          <w:p w14:paraId="6B7C822C"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18"/>
                <w:szCs w:val="18"/>
                <w:lang w:bidi="en-US"/>
              </w:rPr>
            </w:pPr>
            <w:r w:rsidRPr="00A06029">
              <w:rPr>
                <w:sz w:val="18"/>
                <w:szCs w:val="18"/>
                <w:lang w:bidi="en-US"/>
              </w:rPr>
              <w:t>The renewal application generally describes how the school uses data to target or refine supports and inform future funding decisions and sustainability.</w:t>
            </w:r>
          </w:p>
        </w:tc>
        <w:tc>
          <w:tcPr>
            <w:tcW w:w="324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229AC46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after="80"/>
              <w:rPr>
                <w:bCs/>
                <w:sz w:val="18"/>
                <w:szCs w:val="18"/>
                <w:lang w:bidi="en-US"/>
              </w:rPr>
            </w:pPr>
            <w:r w:rsidRPr="00A06029">
              <w:rPr>
                <w:sz w:val="18"/>
                <w:szCs w:val="18"/>
                <w:lang w:bidi="en-US"/>
              </w:rPr>
              <w:t>The renewal application marginally describes how the school uses data to target or refine supports and inform future funding decisions and sustainability.</w:t>
            </w:r>
          </w:p>
        </w:tc>
        <w:tc>
          <w:tcPr>
            <w:tcW w:w="337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66D64FB"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szCs w:val="18"/>
                <w:lang w:bidi="en-US"/>
              </w:rPr>
            </w:pPr>
            <w:r w:rsidRPr="00A06029">
              <w:rPr>
                <w:sz w:val="18"/>
                <w:szCs w:val="18"/>
                <w:lang w:bidi="en-US"/>
              </w:rPr>
              <w:t>The renewal application provides a weak description of how the school uses data to target or refine supports and inform future funding decisions and sustainability.</w:t>
            </w:r>
          </w:p>
        </w:tc>
      </w:tr>
    </w:tbl>
    <w:p w14:paraId="04659B20" w14:textId="77777777" w:rsidR="002C0D15" w:rsidRPr="00A06029" w:rsidRDefault="002C0D15" w:rsidP="002C0D15">
      <w:pPr>
        <w:jc w:val="center"/>
        <w:rPr>
          <w:b/>
          <w:bCs/>
          <w:sz w:val="22"/>
          <w:szCs w:val="22"/>
        </w:rPr>
      </w:pPr>
    </w:p>
    <w:p w14:paraId="48FCBC31" w14:textId="77777777" w:rsidR="004B3A52" w:rsidRPr="00A06029" w:rsidRDefault="004B3A52" w:rsidP="002C0D15">
      <w:pPr>
        <w:jc w:val="center"/>
        <w:rPr>
          <w:rFonts w:cs="Palatino-Roman"/>
          <w:b/>
          <w:sz w:val="22"/>
          <w:szCs w:val="22"/>
          <w:lang w:bidi="en-US"/>
        </w:rPr>
      </w:pPr>
    </w:p>
    <w:p w14:paraId="22CC8C07" w14:textId="77777777" w:rsidR="004B3A52" w:rsidRPr="00A06029" w:rsidRDefault="004B3A52" w:rsidP="002C0D15">
      <w:pPr>
        <w:jc w:val="center"/>
        <w:rPr>
          <w:rFonts w:cs="Palatino-Roman"/>
          <w:b/>
          <w:sz w:val="22"/>
          <w:szCs w:val="22"/>
          <w:lang w:bidi="en-US"/>
        </w:rPr>
      </w:pPr>
    </w:p>
    <w:p w14:paraId="1C24B56C" w14:textId="77777777" w:rsidR="004B3A52" w:rsidRPr="00A06029" w:rsidRDefault="004B3A52" w:rsidP="002C0D15">
      <w:pPr>
        <w:jc w:val="center"/>
        <w:rPr>
          <w:rFonts w:cs="Palatino-Roman"/>
          <w:b/>
          <w:sz w:val="22"/>
          <w:szCs w:val="22"/>
          <w:lang w:bidi="en-US"/>
        </w:rPr>
      </w:pPr>
    </w:p>
    <w:p w14:paraId="4750B1A6" w14:textId="77777777" w:rsidR="00FC6809" w:rsidRPr="00A06029" w:rsidRDefault="00FC6809">
      <w:pPr>
        <w:rPr>
          <w:rFonts w:cs="Palatino-Roman"/>
          <w:b/>
          <w:sz w:val="22"/>
          <w:szCs w:val="22"/>
          <w:lang w:bidi="en-US"/>
        </w:rPr>
      </w:pPr>
      <w:r w:rsidRPr="00A06029">
        <w:rPr>
          <w:rFonts w:cs="Palatino-Roman"/>
          <w:b/>
          <w:sz w:val="22"/>
          <w:szCs w:val="22"/>
          <w:lang w:bidi="en-US"/>
        </w:rPr>
        <w:br w:type="page"/>
      </w:r>
    </w:p>
    <w:p w14:paraId="7DBBF6BB" w14:textId="23FB0BF2" w:rsidR="002C0D15" w:rsidRPr="00A06029" w:rsidRDefault="00270517" w:rsidP="002C0D15">
      <w:pPr>
        <w:jc w:val="center"/>
        <w:rPr>
          <w:rFonts w:cs="Palatino-Roman"/>
          <w:b/>
          <w:sz w:val="22"/>
          <w:szCs w:val="22"/>
          <w:lang w:bidi="en-US"/>
        </w:rPr>
      </w:pPr>
      <w:r w:rsidRPr="00A06029">
        <w:rPr>
          <w:rFonts w:cs="Palatino-Roman"/>
          <w:b/>
          <w:sz w:val="22"/>
          <w:szCs w:val="22"/>
          <w:lang w:bidi="en-US"/>
        </w:rPr>
        <w:lastRenderedPageBreak/>
        <w:t xml:space="preserve">SRG </w:t>
      </w:r>
      <w:r w:rsidR="002C0D15" w:rsidRPr="00A06029">
        <w:rPr>
          <w:rFonts w:cs="Palatino-Roman"/>
          <w:b/>
          <w:sz w:val="22"/>
          <w:szCs w:val="22"/>
          <w:lang w:bidi="en-US"/>
        </w:rPr>
        <w:t>Renewal Scoring Sheet</w:t>
      </w:r>
    </w:p>
    <w:p w14:paraId="2EF56470" w14:textId="77777777" w:rsidR="002C0D15" w:rsidRPr="00A06029"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sidRPr="00A06029">
        <w:rPr>
          <w:rFonts w:cs="Palatino-Roman"/>
          <w:sz w:val="22"/>
          <w:szCs w:val="22"/>
          <w:lang w:bidi="en-US"/>
        </w:rPr>
        <w:t>District Name:</w:t>
      </w:r>
    </w:p>
    <w:p w14:paraId="171AE3F2" w14:textId="77777777" w:rsidR="002C0D15" w:rsidRPr="00A06029"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Palatino-Roman"/>
          <w:sz w:val="22"/>
          <w:szCs w:val="22"/>
          <w:lang w:bidi="en-US"/>
        </w:rPr>
      </w:pPr>
      <w:r w:rsidRPr="00A06029">
        <w:rPr>
          <w:rFonts w:cs="Palatino-Roman"/>
          <w:sz w:val="22"/>
          <w:szCs w:val="22"/>
          <w:lang w:bidi="en-US"/>
        </w:rPr>
        <w:t>School Name:</w:t>
      </w:r>
      <w:r w:rsidRPr="00A06029">
        <w:rPr>
          <w:rFonts w:cs="Palatino-Roman"/>
          <w:sz w:val="22"/>
          <w:szCs w:val="22"/>
          <w:lang w:bidi="en-US"/>
        </w:rPr>
        <w:tab/>
      </w:r>
      <w:r w:rsidRPr="00A06029">
        <w:rPr>
          <w:rFonts w:cs="Palatino-Roman"/>
          <w:sz w:val="22"/>
          <w:szCs w:val="22"/>
          <w:lang w:bidi="en-US"/>
        </w:rPr>
        <w:tab/>
      </w:r>
      <w:r w:rsidRPr="00A06029">
        <w:rPr>
          <w:rFonts w:cs="Palatino-Roman"/>
          <w:sz w:val="22"/>
          <w:szCs w:val="22"/>
          <w:lang w:bidi="en-US"/>
        </w:rPr>
        <w:tab/>
      </w:r>
    </w:p>
    <w:p w14:paraId="7DA78AC9" w14:textId="77777777" w:rsidR="002C0D15" w:rsidRPr="00A06029" w:rsidRDefault="002C0D15" w:rsidP="002C0D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lang w:bidi="en-US"/>
        </w:rPr>
      </w:pPr>
    </w:p>
    <w:tbl>
      <w:tblPr>
        <w:tblW w:w="13968" w:type="dxa"/>
        <w:tblBorders>
          <w:top w:val="nil"/>
          <w:left w:val="nil"/>
          <w:right w:val="nil"/>
        </w:tblBorders>
        <w:tblLayout w:type="fixed"/>
        <w:tblLook w:val="0000" w:firstRow="0" w:lastRow="0" w:firstColumn="0" w:lastColumn="0" w:noHBand="0" w:noVBand="0"/>
      </w:tblPr>
      <w:tblGrid>
        <w:gridCol w:w="2808"/>
        <w:gridCol w:w="2432"/>
        <w:gridCol w:w="2338"/>
        <w:gridCol w:w="2341"/>
        <w:gridCol w:w="990"/>
        <w:gridCol w:w="3059"/>
      </w:tblGrid>
      <w:tr w:rsidR="002C0D15" w:rsidRPr="00A06029" w14:paraId="72585C5E" w14:textId="77777777" w:rsidTr="00813A82">
        <w:trPr>
          <w:trHeight w:val="907"/>
        </w:trPr>
        <w:tc>
          <w:tcPr>
            <w:tcW w:w="2808" w:type="dxa"/>
            <w:tcBorders>
              <w:bottom w:val="single" w:sz="8" w:space="0" w:color="auto"/>
              <w:right w:val="single" w:sz="8" w:space="0" w:color="auto"/>
            </w:tcBorders>
            <w:tcMar>
              <w:top w:w="100" w:type="nil"/>
              <w:left w:w="100" w:type="nil"/>
              <w:bottom w:w="100" w:type="nil"/>
              <w:right w:w="100" w:type="nil"/>
            </w:tcMar>
          </w:tcPr>
          <w:p w14:paraId="1F8432F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bidi="en-US"/>
              </w:rPr>
            </w:pPr>
          </w:p>
        </w:tc>
        <w:tc>
          <w:tcPr>
            <w:tcW w:w="2432"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2DA4D207" w14:textId="77777777" w:rsidR="002C0D15" w:rsidRPr="00A06029" w:rsidRDefault="002C0D15" w:rsidP="00813A82">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 w:val="22"/>
                <w:szCs w:val="22"/>
                <w:lang w:bidi="en-US"/>
              </w:rPr>
            </w:pPr>
            <w:r w:rsidRPr="00A06029">
              <w:rPr>
                <w:rFonts w:cs="Palatino-Roman"/>
                <w:b/>
                <w:bCs/>
                <w:sz w:val="20"/>
                <w:lang w:bidi="en-US"/>
              </w:rPr>
              <w:t>Capacity and Commitment</w:t>
            </w:r>
          </w:p>
        </w:tc>
        <w:tc>
          <w:tcPr>
            <w:tcW w:w="23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271A2046" w14:textId="77777777" w:rsidR="002C0D15" w:rsidRPr="00A06029" w:rsidRDefault="002C0D15" w:rsidP="00813A82">
            <w:pPr>
              <w:widowControl w:val="0"/>
              <w:tabs>
                <w:tab w:val="left" w:pos="720"/>
                <w:tab w:val="left" w:pos="1080"/>
                <w:tab w:val="left" w:pos="1440"/>
                <w:tab w:val="left" w:pos="1800"/>
              </w:tabs>
              <w:autoSpaceDE w:val="0"/>
              <w:autoSpaceDN w:val="0"/>
              <w:adjustRightInd w:val="0"/>
              <w:spacing w:after="40" w:line="264" w:lineRule="auto"/>
              <w:jc w:val="center"/>
              <w:rPr>
                <w:rFonts w:ascii="Helvetica" w:hAnsi="Helvetica" w:cs="Helvetica"/>
                <w:kern w:val="1"/>
                <w:sz w:val="22"/>
                <w:szCs w:val="22"/>
                <w:lang w:bidi="en-US"/>
              </w:rPr>
            </w:pPr>
            <w:r w:rsidRPr="00A06029">
              <w:rPr>
                <w:rFonts w:cs="Palatino-Roman"/>
                <w:b/>
                <w:bCs/>
                <w:sz w:val="20"/>
                <w:lang w:bidi="en-US"/>
              </w:rPr>
              <w:t xml:space="preserve">Data Analysis </w:t>
            </w:r>
          </w:p>
        </w:tc>
        <w:tc>
          <w:tcPr>
            <w:tcW w:w="2341"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3054ED1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kern w:val="1"/>
                <w:sz w:val="22"/>
                <w:szCs w:val="22"/>
                <w:lang w:bidi="en-US"/>
              </w:rPr>
            </w:pPr>
            <w:r w:rsidRPr="00A06029">
              <w:rPr>
                <w:rFonts w:cs="Palatino-Roman"/>
                <w:b/>
                <w:bCs/>
                <w:sz w:val="20"/>
                <w:lang w:bidi="en-US"/>
              </w:rPr>
              <w:t>Strategic and Actionable Approach</w:t>
            </w:r>
          </w:p>
        </w:tc>
        <w:tc>
          <w:tcPr>
            <w:tcW w:w="99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vAlign w:val="center"/>
          </w:tcPr>
          <w:p w14:paraId="4517F55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rPr>
                <w:rFonts w:ascii="Helvetica" w:hAnsi="Helvetica" w:cs="Helvetica"/>
                <w:b/>
                <w:kern w:val="1"/>
                <w:sz w:val="22"/>
                <w:szCs w:val="22"/>
                <w:lang w:bidi="en-US"/>
              </w:rPr>
            </w:pPr>
            <w:r w:rsidRPr="00A06029">
              <w:rPr>
                <w:rFonts w:cs="Palatino-Roman"/>
                <w:b/>
                <w:bCs/>
                <w:sz w:val="20"/>
                <w:lang w:bidi="en-US"/>
              </w:rPr>
              <w:t>Total</w:t>
            </w:r>
          </w:p>
        </w:tc>
        <w:tc>
          <w:tcPr>
            <w:tcW w:w="3059" w:type="dxa"/>
            <w:tcBorders>
              <w:top w:val="single" w:sz="8" w:space="0" w:color="auto"/>
              <w:left w:val="single" w:sz="8" w:space="0" w:color="auto"/>
              <w:bottom w:val="single" w:sz="8" w:space="0" w:color="auto"/>
              <w:right w:val="single" w:sz="8" w:space="0" w:color="auto"/>
            </w:tcBorders>
            <w:shd w:val="clear" w:color="auto" w:fill="E6E6E6"/>
            <w:vAlign w:val="center"/>
          </w:tcPr>
          <w:p w14:paraId="432B61EB"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2"/>
                <w:szCs w:val="22"/>
                <w:lang w:bidi="en-US"/>
              </w:rPr>
            </w:pPr>
            <w:r w:rsidRPr="00A06029">
              <w:rPr>
                <w:rFonts w:cs="Palatino-Roman"/>
                <w:b/>
                <w:bCs/>
                <w:sz w:val="20"/>
                <w:lang w:bidi="en-US"/>
              </w:rPr>
              <w:t>Comments</w:t>
            </w:r>
          </w:p>
        </w:tc>
      </w:tr>
      <w:tr w:rsidR="002C0D15" w:rsidRPr="00A06029" w14:paraId="5D909919" w14:textId="7777777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42DC86D9" w14:textId="52818F4B" w:rsidR="002C0D15" w:rsidRPr="00A06029" w:rsidRDefault="00BD0E29"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2"/>
                <w:lang w:bidi="en-US"/>
              </w:rPr>
            </w:pPr>
            <w:r w:rsidRPr="00A06029">
              <w:rPr>
                <w:rFonts w:cs="Palatino-Roman"/>
                <w:b/>
                <w:bCs/>
                <w:sz w:val="20"/>
                <w:lang w:bidi="en-US"/>
              </w:rPr>
              <w:t>Turnaround Plan</w:t>
            </w:r>
            <w:r w:rsidR="002C0D15" w:rsidRPr="00A06029">
              <w:rPr>
                <w:rFonts w:cs="Palatino-Roman"/>
                <w:b/>
                <w:bCs/>
                <w:sz w:val="20"/>
                <w:lang w:bidi="en-US"/>
              </w:rPr>
              <w:t xml:space="preserve">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212E00AF" w14:textId="7B6787A5"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16</w:t>
            </w:r>
          </w:p>
        </w:tc>
        <w:tc>
          <w:tcPr>
            <w:tcW w:w="2338" w:type="dxa"/>
            <w:tcBorders>
              <w:top w:val="single" w:sz="8" w:space="0" w:color="auto"/>
              <w:left w:val="single" w:sz="8" w:space="0" w:color="auto"/>
              <w:bottom w:val="single" w:sz="8" w:space="0" w:color="auto"/>
              <w:right w:val="single" w:sz="8" w:space="0" w:color="auto"/>
            </w:tcBorders>
            <w:vAlign w:val="center"/>
          </w:tcPr>
          <w:p w14:paraId="7CDD08D8"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46A94D6A"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2</w:t>
            </w:r>
            <w:r w:rsidR="00FB6990" w:rsidRPr="00A06029">
              <w:rPr>
                <w:kern w:val="1"/>
                <w:sz w:val="22"/>
                <w:szCs w:val="22"/>
                <w:lang w:bidi="en-US"/>
              </w:rPr>
              <w:t>8</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680BBA97" w14:textId="164E2135"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52</w:t>
            </w:r>
          </w:p>
        </w:tc>
        <w:tc>
          <w:tcPr>
            <w:tcW w:w="3059" w:type="dxa"/>
            <w:tcBorders>
              <w:top w:val="single" w:sz="8" w:space="0" w:color="auto"/>
              <w:left w:val="single" w:sz="8" w:space="0" w:color="auto"/>
              <w:bottom w:val="single" w:sz="8" w:space="0" w:color="auto"/>
              <w:right w:val="single" w:sz="8" w:space="0" w:color="auto"/>
            </w:tcBorders>
          </w:tcPr>
          <w:p w14:paraId="25021FF4"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2"/>
                <w:szCs w:val="22"/>
                <w:lang w:bidi="en-US"/>
              </w:rPr>
            </w:pPr>
          </w:p>
        </w:tc>
      </w:tr>
      <w:tr w:rsidR="002C0D15" w:rsidRPr="00A06029" w14:paraId="4A760C74" w14:textId="7777777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shd w:val="clear" w:color="auto" w:fill="auto"/>
            <w:vAlign w:val="center"/>
          </w:tcPr>
          <w:p w14:paraId="0F4E3C8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2"/>
                <w:lang w:bidi="en-US"/>
              </w:rPr>
            </w:pPr>
            <w:r w:rsidRPr="00A06029">
              <w:rPr>
                <w:rFonts w:cs="Palatino-Roman"/>
                <w:b/>
                <w:bCs/>
                <w:sz w:val="20"/>
                <w:lang w:bidi="en-US"/>
              </w:rPr>
              <w:t>Budget Review Items</w:t>
            </w:r>
          </w:p>
        </w:tc>
        <w:tc>
          <w:tcPr>
            <w:tcW w:w="2432" w:type="dxa"/>
            <w:tcBorders>
              <w:top w:val="single" w:sz="8" w:space="0" w:color="auto"/>
              <w:left w:val="single" w:sz="8" w:space="0" w:color="auto"/>
              <w:bottom w:val="single" w:sz="8" w:space="0" w:color="auto"/>
              <w:right w:val="single" w:sz="8" w:space="0" w:color="auto"/>
            </w:tcBorders>
            <w:shd w:val="clear" w:color="auto" w:fill="auto"/>
            <w:vAlign w:val="center"/>
          </w:tcPr>
          <w:p w14:paraId="47750F3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2338" w:type="dxa"/>
            <w:tcBorders>
              <w:top w:val="single" w:sz="8" w:space="0" w:color="auto"/>
              <w:left w:val="single" w:sz="8" w:space="0" w:color="auto"/>
              <w:bottom w:val="single" w:sz="8" w:space="0" w:color="auto"/>
              <w:right w:val="single" w:sz="8" w:space="0" w:color="auto"/>
            </w:tcBorders>
            <w:vAlign w:val="center"/>
          </w:tcPr>
          <w:p w14:paraId="70D47FD9"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w:t>
            </w:r>
          </w:p>
        </w:tc>
        <w:tc>
          <w:tcPr>
            <w:tcW w:w="23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33998C0"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w:t>
            </w:r>
          </w:p>
        </w:tc>
        <w:tc>
          <w:tcPr>
            <w:tcW w:w="990" w:type="dxa"/>
            <w:tcBorders>
              <w:top w:val="single" w:sz="8" w:space="0" w:color="auto"/>
              <w:left w:val="single" w:sz="8" w:space="0" w:color="auto"/>
              <w:bottom w:val="single" w:sz="8" w:space="0" w:color="auto"/>
              <w:right w:val="single" w:sz="8" w:space="0" w:color="auto"/>
            </w:tcBorders>
            <w:tcMar>
              <w:top w:w="40" w:type="nil"/>
              <w:left w:w="40" w:type="nil"/>
              <w:bottom w:w="40" w:type="nil"/>
              <w:right w:w="40" w:type="nil"/>
            </w:tcMar>
            <w:vAlign w:val="center"/>
          </w:tcPr>
          <w:p w14:paraId="73A5CD65"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3059" w:type="dxa"/>
            <w:tcBorders>
              <w:top w:val="single" w:sz="8" w:space="0" w:color="auto"/>
              <w:left w:val="single" w:sz="8" w:space="0" w:color="auto"/>
              <w:bottom w:val="single" w:sz="8" w:space="0" w:color="auto"/>
              <w:right w:val="single" w:sz="8" w:space="0" w:color="auto"/>
            </w:tcBorders>
          </w:tcPr>
          <w:p w14:paraId="3AC59F1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kern w:val="1"/>
                <w:sz w:val="22"/>
                <w:szCs w:val="22"/>
                <w:lang w:bidi="en-US"/>
              </w:rPr>
            </w:pPr>
          </w:p>
        </w:tc>
      </w:tr>
      <w:tr w:rsidR="002C0D15" w:rsidRPr="00A06029" w14:paraId="79A2F707" w14:textId="77777777" w:rsidTr="00813A82">
        <w:tblPrEx>
          <w:tblBorders>
            <w:top w:val="none" w:sz="0" w:space="0" w:color="auto"/>
          </w:tblBorders>
        </w:tblPrEx>
        <w:trPr>
          <w:trHeight w:val="520"/>
        </w:trPr>
        <w:tc>
          <w:tcPr>
            <w:tcW w:w="280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DC88DB7"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szCs w:val="22"/>
                <w:lang w:bidi="en-US"/>
              </w:rPr>
            </w:pPr>
            <w:r w:rsidRPr="00A06029">
              <w:rPr>
                <w:rFonts w:cs="Palatino-Roman"/>
                <w:b/>
                <w:bCs/>
                <w:sz w:val="22"/>
                <w:szCs w:val="22"/>
                <w:lang w:bidi="en-US"/>
              </w:rPr>
              <w:t>Dimension Totals</w:t>
            </w:r>
          </w:p>
        </w:tc>
        <w:tc>
          <w:tcPr>
            <w:tcW w:w="2432"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01F17B94" w14:textId="6467E238" w:rsidR="002C0D15" w:rsidRPr="00A06029" w:rsidRDefault="00BD0E29"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24</w:t>
            </w:r>
          </w:p>
        </w:tc>
        <w:tc>
          <w:tcPr>
            <w:tcW w:w="23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vAlign w:val="center"/>
          </w:tcPr>
          <w:p w14:paraId="281E84EE"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8</w:t>
            </w:r>
          </w:p>
        </w:tc>
        <w:tc>
          <w:tcPr>
            <w:tcW w:w="2341"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14:paraId="35DE5FBA"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kern w:val="1"/>
                <w:sz w:val="22"/>
                <w:szCs w:val="22"/>
                <w:lang w:bidi="en-US"/>
              </w:rPr>
            </w:pPr>
            <w:r w:rsidRPr="00A06029">
              <w:rPr>
                <w:kern w:val="1"/>
                <w:sz w:val="22"/>
                <w:szCs w:val="22"/>
                <w:lang w:bidi="en-US"/>
              </w:rPr>
              <w:t>2</w:t>
            </w:r>
            <w:r w:rsidR="00FB6990" w:rsidRPr="00A06029">
              <w:rPr>
                <w:kern w:val="1"/>
                <w:sz w:val="22"/>
                <w:szCs w:val="22"/>
                <w:lang w:bidi="en-US"/>
              </w:rPr>
              <w:t>8</w:t>
            </w:r>
          </w:p>
        </w:tc>
        <w:tc>
          <w:tcPr>
            <w:tcW w:w="990" w:type="dxa"/>
            <w:tcBorders>
              <w:top w:val="single" w:sz="8" w:space="0" w:color="auto"/>
              <w:left w:val="single" w:sz="8" w:space="0" w:color="auto"/>
              <w:bottom w:val="single" w:sz="8" w:space="0" w:color="auto"/>
              <w:right w:val="single" w:sz="8" w:space="0" w:color="auto"/>
            </w:tcBorders>
            <w:shd w:val="clear" w:color="auto" w:fill="auto"/>
            <w:tcMar>
              <w:top w:w="100" w:type="nil"/>
              <w:left w:w="100" w:type="nil"/>
              <w:bottom w:w="100" w:type="nil"/>
              <w:right w:w="100" w:type="nil"/>
            </w:tcMar>
            <w:vAlign w:val="center"/>
          </w:tcPr>
          <w:p w14:paraId="2F0B3511" w14:textId="1F4BDAEE" w:rsidR="002C0D15" w:rsidRPr="00A06029" w:rsidRDefault="00492282"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kern w:val="1"/>
                <w:sz w:val="22"/>
                <w:szCs w:val="22"/>
                <w:lang w:bidi="en-US"/>
              </w:rPr>
            </w:pPr>
            <w:r w:rsidRPr="00A06029">
              <w:rPr>
                <w:b/>
                <w:kern w:val="1"/>
                <w:sz w:val="22"/>
                <w:szCs w:val="22"/>
                <w:lang w:bidi="en-US"/>
              </w:rPr>
              <w:t>60</w:t>
            </w:r>
          </w:p>
        </w:tc>
        <w:tc>
          <w:tcPr>
            <w:tcW w:w="3059" w:type="dxa"/>
            <w:tcBorders>
              <w:top w:val="single" w:sz="8" w:space="0" w:color="auto"/>
              <w:left w:val="single" w:sz="8" w:space="0" w:color="auto"/>
              <w:bottom w:val="single" w:sz="8" w:space="0" w:color="auto"/>
              <w:right w:val="single" w:sz="8" w:space="0" w:color="auto"/>
            </w:tcBorders>
            <w:shd w:val="clear" w:color="auto" w:fill="auto"/>
          </w:tcPr>
          <w:p w14:paraId="5BFFA67D" w14:textId="77777777" w:rsidR="002C0D15" w:rsidRPr="00A06029" w:rsidRDefault="002C0D15" w:rsidP="00813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lang w:bidi="en-US"/>
              </w:rPr>
            </w:pPr>
          </w:p>
        </w:tc>
      </w:tr>
    </w:tbl>
    <w:p w14:paraId="66F0DC99" w14:textId="7B20C7B8" w:rsidR="003439FF" w:rsidRPr="00A06029" w:rsidRDefault="003439FF" w:rsidP="00182FAC">
      <w:pPr>
        <w:rPr>
          <w:sz w:val="22"/>
          <w:szCs w:val="22"/>
        </w:rPr>
      </w:pPr>
    </w:p>
    <w:sectPr w:rsidR="003439FF" w:rsidRPr="00A06029" w:rsidSect="002543B1">
      <w:pgSz w:w="15840" w:h="12240" w:orient="landscape"/>
      <w:pgMar w:top="1440" w:right="1584" w:bottom="1440"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134C0" w14:textId="77777777" w:rsidR="006A7BCC" w:rsidRPr="00A06029" w:rsidRDefault="006A7BCC" w:rsidP="00F90D6A">
      <w:pPr>
        <w:rPr>
          <w:sz w:val="22"/>
          <w:szCs w:val="22"/>
        </w:rPr>
      </w:pPr>
      <w:r w:rsidRPr="00A06029">
        <w:rPr>
          <w:sz w:val="22"/>
          <w:szCs w:val="22"/>
        </w:rPr>
        <w:separator/>
      </w:r>
    </w:p>
  </w:endnote>
  <w:endnote w:type="continuationSeparator" w:id="0">
    <w:p w14:paraId="0D92ED7C" w14:textId="77777777" w:rsidR="006A7BCC" w:rsidRPr="00A06029" w:rsidRDefault="006A7BCC" w:rsidP="00F90D6A">
      <w:pPr>
        <w:rPr>
          <w:sz w:val="22"/>
          <w:szCs w:val="22"/>
        </w:rPr>
      </w:pPr>
      <w:r w:rsidRPr="00A06029">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F873" w14:textId="77777777" w:rsidR="00EC5175" w:rsidRPr="00A06029" w:rsidRDefault="00EC5175" w:rsidP="00F90D6A">
    <w:pPr>
      <w:pStyle w:val="Footer"/>
      <w:framePr w:wrap="around" w:vAnchor="text" w:hAnchor="margin" w:xAlign="right" w:y="1"/>
      <w:rPr>
        <w:rStyle w:val="PageNumber"/>
        <w:sz w:val="22"/>
        <w:szCs w:val="22"/>
      </w:rPr>
    </w:pPr>
    <w:r w:rsidRPr="00A06029">
      <w:rPr>
        <w:rStyle w:val="PageNumber"/>
        <w:sz w:val="22"/>
        <w:szCs w:val="22"/>
      </w:rPr>
      <w:fldChar w:fldCharType="begin"/>
    </w:r>
    <w:r w:rsidRPr="00A06029">
      <w:rPr>
        <w:rStyle w:val="PageNumber"/>
        <w:sz w:val="22"/>
        <w:szCs w:val="22"/>
      </w:rPr>
      <w:instrText xml:space="preserve">PAGE  </w:instrText>
    </w:r>
    <w:r w:rsidRPr="00A06029">
      <w:rPr>
        <w:rStyle w:val="PageNumber"/>
        <w:sz w:val="22"/>
        <w:szCs w:val="22"/>
      </w:rPr>
      <w:fldChar w:fldCharType="separate"/>
    </w:r>
    <w:r w:rsidRPr="00A06029">
      <w:rPr>
        <w:rStyle w:val="PageNumber"/>
        <w:noProof/>
        <w:sz w:val="22"/>
        <w:szCs w:val="22"/>
      </w:rPr>
      <w:t>2</w:t>
    </w:r>
    <w:r w:rsidRPr="00A06029">
      <w:rPr>
        <w:rStyle w:val="PageNumber"/>
        <w:sz w:val="22"/>
        <w:szCs w:val="22"/>
      </w:rPr>
      <w:fldChar w:fldCharType="end"/>
    </w:r>
  </w:p>
  <w:p w14:paraId="20513137" w14:textId="77777777" w:rsidR="00EC5175" w:rsidRPr="00A06029" w:rsidRDefault="00EC5175" w:rsidP="00F90D6A">
    <w:pPr>
      <w:pStyle w:val="Footer"/>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DEAD" w14:textId="247D07C4" w:rsidR="00EC5175" w:rsidRPr="00A06029" w:rsidRDefault="00EC5175" w:rsidP="00182FAC">
    <w:pPr>
      <w:pStyle w:val="Footer"/>
      <w:jc w:val="right"/>
      <w:rPr>
        <w:sz w:val="20"/>
      </w:rPr>
    </w:pPr>
    <w:r w:rsidRPr="00A06029">
      <w:rPr>
        <w:sz w:val="20"/>
      </w:rPr>
      <w:fldChar w:fldCharType="begin"/>
    </w:r>
    <w:r w:rsidRPr="00A06029">
      <w:rPr>
        <w:sz w:val="20"/>
      </w:rPr>
      <w:instrText xml:space="preserve"> PAGE   \* MERGEFORMAT </w:instrText>
    </w:r>
    <w:r w:rsidRPr="00A06029">
      <w:rPr>
        <w:sz w:val="20"/>
      </w:rPr>
      <w:fldChar w:fldCharType="separate"/>
    </w:r>
    <w:r w:rsidR="00FB271E">
      <w:rPr>
        <w:noProof/>
        <w:sz w:val="20"/>
      </w:rPr>
      <w:t>16</w:t>
    </w:r>
    <w:r w:rsidRPr="00A0602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A0B3E" w14:textId="77777777" w:rsidR="006A7BCC" w:rsidRPr="00A06029" w:rsidRDefault="006A7BCC" w:rsidP="00F90D6A">
      <w:pPr>
        <w:rPr>
          <w:sz w:val="22"/>
          <w:szCs w:val="22"/>
        </w:rPr>
      </w:pPr>
      <w:r w:rsidRPr="00A06029">
        <w:rPr>
          <w:sz w:val="22"/>
          <w:szCs w:val="22"/>
        </w:rPr>
        <w:separator/>
      </w:r>
    </w:p>
  </w:footnote>
  <w:footnote w:type="continuationSeparator" w:id="0">
    <w:p w14:paraId="1048E112" w14:textId="77777777" w:rsidR="006A7BCC" w:rsidRPr="00A06029" w:rsidRDefault="006A7BCC" w:rsidP="00F90D6A">
      <w:pPr>
        <w:rPr>
          <w:sz w:val="22"/>
          <w:szCs w:val="22"/>
        </w:rPr>
      </w:pPr>
      <w:r w:rsidRPr="00A06029">
        <w:rPr>
          <w:sz w:val="22"/>
          <w:szCs w:val="22"/>
        </w:rPr>
        <w:continuationSeparator/>
      </w:r>
    </w:p>
  </w:footnote>
  <w:footnote w:id="1">
    <w:p w14:paraId="6EDE4425" w14:textId="77777777" w:rsidR="00EC5175" w:rsidRPr="00A06029" w:rsidRDefault="00EC5175" w:rsidP="00A156DB">
      <w:pPr>
        <w:pStyle w:val="FootnoteText"/>
        <w:rPr>
          <w:sz w:val="22"/>
          <w:szCs w:val="22"/>
        </w:rPr>
      </w:pPr>
      <w:r w:rsidRPr="00A06029">
        <w:rPr>
          <w:rStyle w:val="FootnoteReference"/>
          <w:sz w:val="22"/>
          <w:szCs w:val="22"/>
        </w:rPr>
        <w:footnoteRef/>
      </w:r>
      <w:r w:rsidRPr="00A06029">
        <w:rPr>
          <w:sz w:val="22"/>
          <w:szCs w:val="22"/>
        </w:rPr>
        <w:t xml:space="preserve"> </w:t>
      </w:r>
      <w:hyperlink r:id="rId1" w:history="1">
        <w:r w:rsidRPr="00A06029">
          <w:rPr>
            <w:rStyle w:val="Hyperlink"/>
            <w:rFonts w:asciiTheme="minorHAnsi" w:hAnsiTheme="minorHAnsi" w:cstheme="minorHAnsi"/>
            <w:sz w:val="20"/>
            <w:szCs w:val="20"/>
          </w:rPr>
          <w:t>http://www.doe.mass.edu/turnaround/redesign/</w:t>
        </w:r>
      </w:hyperlink>
      <w:r w:rsidRPr="00A06029">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7FA4" w14:textId="77777777" w:rsidR="00EC5175" w:rsidRPr="00A06029" w:rsidRDefault="00EC5175" w:rsidP="00731A8D">
    <w:pPr>
      <w:pStyle w:val="Header"/>
      <w:jc w:val="center"/>
      <w:rPr>
        <w:rFonts w:ascii="Palatino" w:hAnsi="Palatino"/>
        <w:b/>
        <w:sz w:val="22"/>
        <w:szCs w:val="22"/>
      </w:rPr>
    </w:pPr>
    <w:r w:rsidRPr="00A06029">
      <w:rPr>
        <w:rFonts w:ascii="Palatino" w:hAnsi="Palatino"/>
        <w:b/>
        <w:sz w:val="22"/>
        <w:szCs w:val="22"/>
      </w:rPr>
      <w:t>School Redesign Grant Renewal: Application for Year Two Renewal</w:t>
    </w:r>
  </w:p>
  <w:p w14:paraId="5583A7B8" w14:textId="77777777" w:rsidR="00EC5175" w:rsidRPr="00A06029" w:rsidRDefault="00EC5175">
    <w:pPr>
      <w:pStyle w:val="Header"/>
      <w:rPr>
        <w:rFonts w:ascii="Palatino" w:hAnsi="Palatino"/>
        <w:b/>
        <w:sz w:val="22"/>
        <w:szCs w:val="22"/>
      </w:rPr>
    </w:pPr>
  </w:p>
  <w:p w14:paraId="36C62253" w14:textId="77777777" w:rsidR="00EC5175" w:rsidRPr="00A06029" w:rsidRDefault="00EC5175" w:rsidP="00BF3022">
    <w:pPr>
      <w:pStyle w:val="Header"/>
      <w:jc w:val="center"/>
      <w:rPr>
        <w:sz w:val="22"/>
        <w:szCs w:val="22"/>
      </w:rPr>
    </w:pPr>
    <w:r w:rsidRPr="00A06029">
      <w:rPr>
        <w:rFonts w:ascii="Palatino" w:hAnsi="Palatino"/>
        <w:b/>
        <w:sz w:val="22"/>
        <w:szCs w:val="22"/>
      </w:rPr>
      <w:t>School Reflection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14C0" w14:textId="77777777" w:rsidR="00EC5175" w:rsidRPr="00A06029" w:rsidRDefault="00EC5175" w:rsidP="005024BF">
    <w:pPr>
      <w:pStyle w:val="Header"/>
      <w:jc w:val="center"/>
      <w:rPr>
        <w:rFonts w:ascii="Palatino" w:hAnsi="Palatino"/>
        <w:b/>
        <w:sz w:val="22"/>
        <w:szCs w:val="22"/>
      </w:rPr>
    </w:pPr>
  </w:p>
  <w:p w14:paraId="381DE6D0" w14:textId="77777777" w:rsidR="00EC5175" w:rsidRPr="00A06029" w:rsidRDefault="00EC5175" w:rsidP="00CE23A2">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0AA34851" wp14:editId="351A01D3">
          <wp:extent cx="2158365" cy="871855"/>
          <wp:effectExtent l="1905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Elementary and Secondary Education logo"/>
                  <pic:cNvPicPr>
                    <a:picLocks noChangeAspect="1" noChangeArrowheads="1"/>
                  </pic:cNvPicPr>
                </pic:nvPicPr>
                <pic:blipFill>
                  <a:blip r:embed="rId1"/>
                  <a:srcRect/>
                  <a:stretch>
                    <a:fillRect/>
                  </a:stretch>
                </pic:blipFill>
                <pic:spPr bwMode="auto">
                  <a:xfrm>
                    <a:off x="0" y="0"/>
                    <a:ext cx="2158365" cy="871855"/>
                  </a:xfrm>
                  <a:prstGeom prst="rect">
                    <a:avLst/>
                  </a:prstGeom>
                  <a:noFill/>
                  <a:ln w="9525">
                    <a:noFill/>
                    <a:miter lim="800000"/>
                    <a:headEnd/>
                    <a:tailEnd/>
                  </a:ln>
                </pic:spPr>
              </pic:pic>
            </a:graphicData>
          </a:graphic>
        </wp:inline>
      </w:drawing>
    </w:r>
  </w:p>
  <w:p w14:paraId="6E2C83F7" w14:textId="77777777" w:rsidR="00EC5175" w:rsidRPr="00A06029" w:rsidRDefault="00EC5175" w:rsidP="00CE23A2">
    <w:pPr>
      <w:pStyle w:val="Header"/>
      <w:jc w:val="center"/>
      <w:rPr>
        <w:rFonts w:ascii="Palatino" w:hAnsi="Palatino"/>
        <w:b/>
        <w:sz w:val="22"/>
        <w:szCs w:val="22"/>
      </w:rPr>
    </w:pPr>
  </w:p>
  <w:p w14:paraId="3CCF82BB" w14:textId="77777777" w:rsidR="00EC5175" w:rsidRPr="00A06029" w:rsidRDefault="00EC5175" w:rsidP="00CE23A2">
    <w:pPr>
      <w:pStyle w:val="Header"/>
      <w:jc w:val="center"/>
      <w:rPr>
        <w:rFonts w:ascii="Palatino" w:hAnsi="Palatino"/>
        <w:b/>
        <w:sz w:val="22"/>
        <w:szCs w:val="22"/>
      </w:rPr>
    </w:pPr>
  </w:p>
  <w:p w14:paraId="7FD71E44" w14:textId="77777777" w:rsidR="00EC5175" w:rsidRPr="00A06029" w:rsidRDefault="00EC5175" w:rsidP="0087453D">
    <w:pPr>
      <w:pStyle w:val="Header"/>
      <w:rPr>
        <w:rFonts w:ascii="Palatino" w:hAnsi="Palatino"/>
        <w:b/>
        <w:sz w:val="22"/>
        <w:szCs w:val="22"/>
      </w:rPr>
    </w:pPr>
  </w:p>
  <w:p w14:paraId="7AB10AD7" w14:textId="45EED166" w:rsidR="00EC5175" w:rsidRPr="00A06029" w:rsidRDefault="00EC5175" w:rsidP="00D46507">
    <w:pPr>
      <w:pStyle w:val="Header"/>
      <w:jc w:val="center"/>
      <w:rPr>
        <w:rFonts w:asciiTheme="minorHAnsi" w:hAnsiTheme="minorHAnsi" w:cstheme="minorHAnsi"/>
        <w:b/>
        <w:sz w:val="22"/>
        <w:szCs w:val="22"/>
      </w:rPr>
    </w:pPr>
    <w:r w:rsidRPr="00A06029">
      <w:rPr>
        <w:rFonts w:asciiTheme="minorHAnsi" w:hAnsiTheme="minorHAnsi" w:cstheme="minorHAnsi"/>
        <w:b/>
        <w:sz w:val="22"/>
        <w:szCs w:val="22"/>
      </w:rPr>
      <w:t>School Redesign Grant (SRG): FY20 Renewal Application Directions and Process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8067" w14:textId="77777777" w:rsidR="00EC5175" w:rsidRPr="00A06029" w:rsidRDefault="00EC5175" w:rsidP="007F0BBB">
    <w:pPr>
      <w:pStyle w:val="Header"/>
      <w:jc w:val="center"/>
      <w:rPr>
        <w:rFonts w:ascii="Palatino" w:hAnsi="Palatino"/>
        <w:b/>
        <w:sz w:val="22"/>
        <w:szCs w:val="22"/>
      </w:rPr>
    </w:pPr>
    <w:r w:rsidRPr="00A06029">
      <w:rPr>
        <w:rFonts w:ascii="Palatino" w:hAnsi="Palatino"/>
        <w:b/>
        <w:noProof/>
        <w:sz w:val="22"/>
        <w:szCs w:val="22"/>
        <w:lang w:eastAsia="zh-CN" w:bidi="ar-SA"/>
      </w:rPr>
      <w:drawing>
        <wp:inline distT="0" distB="0" distL="0" distR="0" wp14:anchorId="41C4D08C" wp14:editId="36815CFB">
          <wp:extent cx="1329055" cy="553085"/>
          <wp:effectExtent l="19050" t="0" r="444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rcRect/>
                  <a:stretch>
                    <a:fillRect/>
                  </a:stretch>
                </pic:blipFill>
                <pic:spPr bwMode="auto">
                  <a:xfrm>
                    <a:off x="0" y="0"/>
                    <a:ext cx="1329055" cy="553085"/>
                  </a:xfrm>
                  <a:prstGeom prst="rect">
                    <a:avLst/>
                  </a:prstGeom>
                  <a:noFill/>
                  <a:ln w="9525">
                    <a:noFill/>
                    <a:miter lim="800000"/>
                    <a:headEnd/>
                    <a:tailEnd/>
                  </a:ln>
                </pic:spPr>
              </pic:pic>
            </a:graphicData>
          </a:graphic>
        </wp:inline>
      </w:drawing>
    </w:r>
  </w:p>
  <w:p w14:paraId="1893C3CB" w14:textId="77777777" w:rsidR="00EC5175" w:rsidRPr="00A06029" w:rsidRDefault="00EC5175" w:rsidP="00CE23A2">
    <w:pPr>
      <w:pStyle w:val="Header"/>
      <w:jc w:val="center"/>
      <w:rPr>
        <w:b/>
        <w:sz w:val="22"/>
        <w:szCs w:val="22"/>
      </w:rPr>
    </w:pPr>
  </w:p>
  <w:p w14:paraId="77CAFB17" w14:textId="77777777" w:rsidR="00EC5175" w:rsidRPr="00A06029" w:rsidRDefault="00EC5175" w:rsidP="00CE23A2">
    <w:pPr>
      <w:pStyle w:val="Header"/>
      <w:jc w:val="center"/>
      <w:rPr>
        <w:b/>
        <w:sz w:val="22"/>
        <w:szCs w:val="22"/>
      </w:rPr>
    </w:pPr>
    <w:r w:rsidRPr="00A06029">
      <w:rPr>
        <w:b/>
        <w:sz w:val="22"/>
        <w:szCs w:val="22"/>
      </w:rPr>
      <w:t>School Redesign Grant (SRG): FY20 Renewal Application Directions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21FD" w14:textId="77777777" w:rsidR="00EC5175" w:rsidRPr="00A06029" w:rsidRDefault="00EC5175" w:rsidP="00CE23A2">
    <w:pPr>
      <w:pStyle w:val="Header"/>
      <w:jc w:val="center"/>
      <w:rPr>
        <w:rFonts w:ascii="Palatino" w:hAnsi="Palatino"/>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FE56" w14:textId="77777777" w:rsidR="00EC5175" w:rsidRPr="00A06029" w:rsidRDefault="00EC5175" w:rsidP="008B42AB">
    <w:pPr>
      <w:pStyle w:val="Header"/>
      <w:jc w:val="center"/>
      <w:rPr>
        <w:rFonts w:ascii="Palatino" w:hAnsi="Palatino"/>
        <w:b/>
        <w:sz w:val="22"/>
        <w:szCs w:val="22"/>
      </w:rPr>
    </w:pPr>
    <w:r w:rsidRPr="00A06029">
      <w:rPr>
        <w:rFonts w:ascii="Palatino" w:hAnsi="Palatino"/>
        <w:b/>
        <w:noProof/>
        <w:sz w:val="22"/>
        <w:szCs w:val="22"/>
        <w:lang w:eastAsia="zh-CN" w:bidi="ar-SA"/>
      </w:rPr>
      <w:drawing>
        <wp:anchor distT="0" distB="0" distL="114300" distR="114300" simplePos="0" relativeHeight="251658240" behindDoc="0" locked="0" layoutInCell="1" allowOverlap="1" wp14:anchorId="0D34C637" wp14:editId="3CA4E2E7">
          <wp:simplePos x="0" y="0"/>
          <wp:positionH relativeFrom="column">
            <wp:posOffset>2305050</wp:posOffset>
          </wp:positionH>
          <wp:positionV relativeFrom="paragraph">
            <wp:posOffset>-295275</wp:posOffset>
          </wp:positionV>
          <wp:extent cx="1329055" cy="553085"/>
          <wp:effectExtent l="0" t="0" r="0" b="0"/>
          <wp:wrapThrough wrapText="bothSides">
            <wp:wrapPolygon edited="0">
              <wp:start x="0" y="0"/>
              <wp:lineTo x="0" y="20831"/>
              <wp:lineTo x="21363" y="20831"/>
              <wp:lineTo x="21363" y="0"/>
              <wp:lineTo x="0" y="0"/>
            </wp:wrapPolygon>
          </wp:wrapThrough>
          <wp:docPr id="4" name="Picture 4"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553085"/>
                  </a:xfrm>
                  <a:prstGeom prst="rect">
                    <a:avLst/>
                  </a:prstGeom>
                  <a:noFill/>
                  <a:ln w="9525">
                    <a:noFill/>
                    <a:miter lim="800000"/>
                    <a:headEnd/>
                    <a:tailEnd/>
                  </a:ln>
                </pic:spPr>
              </pic:pic>
            </a:graphicData>
          </a:graphic>
        </wp:anchor>
      </w:drawing>
    </w:r>
  </w:p>
  <w:p w14:paraId="23D8E26A" w14:textId="77777777" w:rsidR="00EC5175" w:rsidRPr="00A06029" w:rsidRDefault="00EC5175" w:rsidP="008B42AB">
    <w:pPr>
      <w:pStyle w:val="Header"/>
      <w:jc w:val="center"/>
      <w:rPr>
        <w:b/>
        <w:sz w:val="22"/>
        <w:szCs w:val="22"/>
      </w:rPr>
    </w:pPr>
  </w:p>
  <w:p w14:paraId="5272C6B0" w14:textId="77777777" w:rsidR="00EC5175" w:rsidRPr="00A06029" w:rsidRDefault="00EC5175" w:rsidP="009259F4">
    <w:pPr>
      <w:pStyle w:val="Header"/>
      <w:jc w:val="center"/>
      <w:rPr>
        <w:b/>
        <w:sz w:val="22"/>
        <w:szCs w:val="22"/>
      </w:rPr>
    </w:pPr>
    <w:r w:rsidRPr="00A06029">
      <w:rPr>
        <w:b/>
        <w:sz w:val="22"/>
        <w:szCs w:val="22"/>
      </w:rPr>
      <w:t>SRG: FY20 Renewal Application Directions</w:t>
    </w:r>
  </w:p>
  <w:p w14:paraId="183D2109" w14:textId="77777777" w:rsidR="00EC5175" w:rsidRPr="00A06029" w:rsidRDefault="00EC5175" w:rsidP="009259F4">
    <w:pPr>
      <w:pStyle w:val="Header"/>
      <w:jc w:val="center"/>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numFmt w:val="bullet"/>
      <w:lvlText w:val="•"/>
      <w:lvlJc w:val="left"/>
      <w:pPr>
        <w:tabs>
          <w:tab w:val="num" w:pos="180"/>
        </w:tabs>
        <w:ind w:left="180" w:firstLine="1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3FB50E3"/>
    <w:multiLevelType w:val="hybridMultilevel"/>
    <w:tmpl w:val="ABA4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F4D"/>
    <w:multiLevelType w:val="hybridMultilevel"/>
    <w:tmpl w:val="5ECE915E"/>
    <w:lvl w:ilvl="0" w:tplc="0409000F">
      <w:start w:val="1"/>
      <w:numFmt w:val="decimal"/>
      <w:lvlText w:val="%1."/>
      <w:lvlJc w:val="left"/>
      <w:pPr>
        <w:ind w:left="720" w:hanging="360"/>
      </w:pPr>
      <w:rPr>
        <w:rFonts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78A0"/>
    <w:multiLevelType w:val="hybridMultilevel"/>
    <w:tmpl w:val="CA3AB9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9A5C42"/>
    <w:multiLevelType w:val="multilevel"/>
    <w:tmpl w:val="2F88D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BB469A"/>
    <w:multiLevelType w:val="hybridMultilevel"/>
    <w:tmpl w:val="672E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046B8"/>
    <w:multiLevelType w:val="hybridMultilevel"/>
    <w:tmpl w:val="841A7A04"/>
    <w:lvl w:ilvl="0" w:tplc="7898CD8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791995"/>
    <w:multiLevelType w:val="hybridMultilevel"/>
    <w:tmpl w:val="93E082A0"/>
    <w:lvl w:ilvl="0" w:tplc="99C2378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A36BD"/>
    <w:multiLevelType w:val="hybridMultilevel"/>
    <w:tmpl w:val="4C70B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B704C2A"/>
    <w:multiLevelType w:val="hybridMultilevel"/>
    <w:tmpl w:val="6B5AE6E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2E7534"/>
    <w:multiLevelType w:val="hybridMultilevel"/>
    <w:tmpl w:val="AD285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B3248"/>
    <w:multiLevelType w:val="hybridMultilevel"/>
    <w:tmpl w:val="73923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67484"/>
    <w:multiLevelType w:val="hybridMultilevel"/>
    <w:tmpl w:val="15223A3A"/>
    <w:lvl w:ilvl="0" w:tplc="4F328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53780"/>
    <w:multiLevelType w:val="hybridMultilevel"/>
    <w:tmpl w:val="C3762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0106ED"/>
    <w:multiLevelType w:val="hybridMultilevel"/>
    <w:tmpl w:val="A89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E1E1E"/>
    <w:multiLevelType w:val="hybridMultilevel"/>
    <w:tmpl w:val="C4D0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C42B0"/>
    <w:multiLevelType w:val="hybridMultilevel"/>
    <w:tmpl w:val="21CE5E18"/>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D1EEC"/>
    <w:multiLevelType w:val="hybridMultilevel"/>
    <w:tmpl w:val="821E1608"/>
    <w:lvl w:ilvl="0" w:tplc="7B32B694">
      <w:start w:val="1"/>
      <w:numFmt w:val="decimal"/>
      <w:lvlText w:val="%1."/>
      <w:lvlJc w:val="left"/>
      <w:pPr>
        <w:ind w:left="360" w:hanging="360"/>
      </w:pPr>
      <w:rPr>
        <w:rFonts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AF1973"/>
    <w:multiLevelType w:val="hybridMultilevel"/>
    <w:tmpl w:val="0DE45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F13C2"/>
    <w:multiLevelType w:val="hybridMultilevel"/>
    <w:tmpl w:val="3DD0E2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0A61C15"/>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1340C"/>
    <w:multiLevelType w:val="hybridMultilevel"/>
    <w:tmpl w:val="F13E59D8"/>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52A22"/>
    <w:multiLevelType w:val="hybridMultilevel"/>
    <w:tmpl w:val="C0E6C7B8"/>
    <w:lvl w:ilvl="0" w:tplc="0B5ADF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E6B52"/>
    <w:multiLevelType w:val="hybridMultilevel"/>
    <w:tmpl w:val="E13C6FA8"/>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361B6"/>
    <w:multiLevelType w:val="hybridMultilevel"/>
    <w:tmpl w:val="9B9C199C"/>
    <w:lvl w:ilvl="0" w:tplc="593E011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E1C8B"/>
    <w:multiLevelType w:val="hybridMultilevel"/>
    <w:tmpl w:val="FD3C9D90"/>
    <w:lvl w:ilvl="0" w:tplc="87903AA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0064B1"/>
    <w:multiLevelType w:val="hybridMultilevel"/>
    <w:tmpl w:val="6B96C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D71C8"/>
    <w:multiLevelType w:val="hybridMultilevel"/>
    <w:tmpl w:val="A99C5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002109"/>
    <w:multiLevelType w:val="multilevel"/>
    <w:tmpl w:val="3816F1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7135553"/>
    <w:multiLevelType w:val="hybridMultilevel"/>
    <w:tmpl w:val="FD02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8535BE7"/>
    <w:multiLevelType w:val="hybridMultilevel"/>
    <w:tmpl w:val="03E4B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7B79EE"/>
    <w:multiLevelType w:val="hybridMultilevel"/>
    <w:tmpl w:val="0728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40A81"/>
    <w:multiLevelType w:val="hybridMultilevel"/>
    <w:tmpl w:val="288AC5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90DA7"/>
    <w:multiLevelType w:val="hybridMultilevel"/>
    <w:tmpl w:val="E440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1B2F4A"/>
    <w:multiLevelType w:val="hybridMultilevel"/>
    <w:tmpl w:val="DE7265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6E56BC"/>
    <w:multiLevelType w:val="hybridMultilevel"/>
    <w:tmpl w:val="8A66D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73DF2"/>
    <w:multiLevelType w:val="hybridMultilevel"/>
    <w:tmpl w:val="FA34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662E3C"/>
    <w:multiLevelType w:val="hybridMultilevel"/>
    <w:tmpl w:val="71A2CA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5D7C2CB2"/>
    <w:multiLevelType w:val="hybridMultilevel"/>
    <w:tmpl w:val="CB7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369E9"/>
    <w:multiLevelType w:val="hybridMultilevel"/>
    <w:tmpl w:val="C518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C10D7A"/>
    <w:multiLevelType w:val="hybridMultilevel"/>
    <w:tmpl w:val="A1C81916"/>
    <w:lvl w:ilvl="0" w:tplc="9B2EB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5D4227"/>
    <w:multiLevelType w:val="hybridMultilevel"/>
    <w:tmpl w:val="501CBF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FC456E"/>
    <w:multiLevelType w:val="hybridMultilevel"/>
    <w:tmpl w:val="8B88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3E2A47"/>
    <w:multiLevelType w:val="hybridMultilevel"/>
    <w:tmpl w:val="5802C3B4"/>
    <w:lvl w:ilvl="0" w:tplc="04090001">
      <w:start w:val="1"/>
      <w:numFmt w:val="bullet"/>
      <w:lvlText w:val=""/>
      <w:lvlJc w:val="left"/>
      <w:pPr>
        <w:ind w:left="720" w:hanging="360"/>
      </w:pPr>
      <w:rPr>
        <w:rFonts w:ascii="Symbol" w:hAnsi="Symbol" w:hint="default"/>
      </w:rPr>
    </w:lvl>
    <w:lvl w:ilvl="1" w:tplc="63B6C25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6133"/>
    <w:multiLevelType w:val="hybridMultilevel"/>
    <w:tmpl w:val="5FB8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C36F59"/>
    <w:multiLevelType w:val="hybridMultilevel"/>
    <w:tmpl w:val="BBF8B7AA"/>
    <w:lvl w:ilvl="0" w:tplc="5538B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E93C0E"/>
    <w:multiLevelType w:val="hybridMultilevel"/>
    <w:tmpl w:val="920665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14005FB"/>
    <w:multiLevelType w:val="hybridMultilevel"/>
    <w:tmpl w:val="18C45D04"/>
    <w:lvl w:ilvl="0" w:tplc="F438CA08">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7E26A3"/>
    <w:multiLevelType w:val="hybridMultilevel"/>
    <w:tmpl w:val="8EACBFB6"/>
    <w:lvl w:ilvl="0" w:tplc="C1CAF8F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D76A35"/>
    <w:multiLevelType w:val="hybridMultilevel"/>
    <w:tmpl w:val="8A8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A65438"/>
    <w:multiLevelType w:val="hybridMultilevel"/>
    <w:tmpl w:val="6BB0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C1518E"/>
    <w:multiLevelType w:val="hybridMultilevel"/>
    <w:tmpl w:val="E9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365684"/>
    <w:multiLevelType w:val="hybridMultilevel"/>
    <w:tmpl w:val="7AD0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49242D"/>
    <w:multiLevelType w:val="hybridMultilevel"/>
    <w:tmpl w:val="F722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805BA2"/>
    <w:multiLevelType w:val="multilevel"/>
    <w:tmpl w:val="4AF64F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7ED4521E"/>
    <w:multiLevelType w:val="hybridMultilevel"/>
    <w:tmpl w:val="3F10A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F053A58"/>
    <w:multiLevelType w:val="hybridMultilevel"/>
    <w:tmpl w:val="00B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F5C325E"/>
    <w:multiLevelType w:val="hybridMultilevel"/>
    <w:tmpl w:val="8F0EA0BE"/>
    <w:lvl w:ilvl="0" w:tplc="E2AC7D1E">
      <w:start w:val="1"/>
      <w:numFmt w:val="upperRoman"/>
      <w:lvlText w:val="%1."/>
      <w:lvlJc w:val="left"/>
      <w:pPr>
        <w:ind w:left="720" w:hanging="72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3"/>
  </w:num>
  <w:num w:numId="2">
    <w:abstractNumId w:val="2"/>
  </w:num>
  <w:num w:numId="3">
    <w:abstractNumId w:val="37"/>
  </w:num>
  <w:num w:numId="4">
    <w:abstractNumId w:val="17"/>
  </w:num>
  <w:num w:numId="5">
    <w:abstractNumId w:val="41"/>
  </w:num>
  <w:num w:numId="6">
    <w:abstractNumId w:val="19"/>
  </w:num>
  <w:num w:numId="7">
    <w:abstractNumId w:val="34"/>
  </w:num>
  <w:num w:numId="8">
    <w:abstractNumId w:val="47"/>
  </w:num>
  <w:num w:numId="9">
    <w:abstractNumId w:val="0"/>
  </w:num>
  <w:num w:numId="10">
    <w:abstractNumId w:val="51"/>
  </w:num>
  <w:num w:numId="11">
    <w:abstractNumId w:val="12"/>
  </w:num>
  <w:num w:numId="12">
    <w:abstractNumId w:val="29"/>
  </w:num>
  <w:num w:numId="13">
    <w:abstractNumId w:val="46"/>
  </w:num>
  <w:num w:numId="14">
    <w:abstractNumId w:val="21"/>
  </w:num>
  <w:num w:numId="15">
    <w:abstractNumId w:val="48"/>
  </w:num>
  <w:num w:numId="16">
    <w:abstractNumId w:val="9"/>
  </w:num>
  <w:num w:numId="17">
    <w:abstractNumId w:val="11"/>
  </w:num>
  <w:num w:numId="18">
    <w:abstractNumId w:val="6"/>
  </w:num>
  <w:num w:numId="19">
    <w:abstractNumId w:val="36"/>
  </w:num>
  <w:num w:numId="20">
    <w:abstractNumId w:val="15"/>
  </w:num>
  <w:num w:numId="21">
    <w:abstractNumId w:val="1"/>
  </w:num>
  <w:num w:numId="22">
    <w:abstractNumId w:val="25"/>
  </w:num>
  <w:num w:numId="23">
    <w:abstractNumId w:val="23"/>
  </w:num>
  <w:num w:numId="24">
    <w:abstractNumId w:val="24"/>
  </w:num>
  <w:num w:numId="25">
    <w:abstractNumId w:val="16"/>
  </w:num>
  <w:num w:numId="26">
    <w:abstractNumId w:val="45"/>
  </w:num>
  <w:num w:numId="27">
    <w:abstractNumId w:val="40"/>
  </w:num>
  <w:num w:numId="28">
    <w:abstractNumId w:val="4"/>
  </w:num>
  <w:num w:numId="29">
    <w:abstractNumId w:val="28"/>
  </w:num>
  <w:num w:numId="30">
    <w:abstractNumId w:val="54"/>
  </w:num>
  <w:num w:numId="31">
    <w:abstractNumId w:val="39"/>
  </w:num>
  <w:num w:numId="32">
    <w:abstractNumId w:val="49"/>
  </w:num>
  <w:num w:numId="33">
    <w:abstractNumId w:val="33"/>
  </w:num>
  <w:num w:numId="34">
    <w:abstractNumId w:val="30"/>
  </w:num>
  <w:num w:numId="35">
    <w:abstractNumId w:val="52"/>
  </w:num>
  <w:num w:numId="36">
    <w:abstractNumId w:val="13"/>
  </w:num>
  <w:num w:numId="37">
    <w:abstractNumId w:val="26"/>
  </w:num>
  <w:num w:numId="38">
    <w:abstractNumId w:val="27"/>
  </w:num>
  <w:num w:numId="39">
    <w:abstractNumId w:val="56"/>
  </w:num>
  <w:num w:numId="40">
    <w:abstractNumId w:val="18"/>
  </w:num>
  <w:num w:numId="41">
    <w:abstractNumId w:val="55"/>
  </w:num>
  <w:num w:numId="42">
    <w:abstractNumId w:val="14"/>
  </w:num>
  <w:num w:numId="43">
    <w:abstractNumId w:val="31"/>
  </w:num>
  <w:num w:numId="44">
    <w:abstractNumId w:val="38"/>
  </w:num>
  <w:num w:numId="45">
    <w:abstractNumId w:val="7"/>
  </w:num>
  <w:num w:numId="46">
    <w:abstractNumId w:val="44"/>
  </w:num>
  <w:num w:numId="47">
    <w:abstractNumId w:val="3"/>
  </w:num>
  <w:num w:numId="48">
    <w:abstractNumId w:val="32"/>
  </w:num>
  <w:num w:numId="49">
    <w:abstractNumId w:val="20"/>
  </w:num>
  <w:num w:numId="50">
    <w:abstractNumId w:val="5"/>
  </w:num>
  <w:num w:numId="51">
    <w:abstractNumId w:val="42"/>
  </w:num>
  <w:num w:numId="52">
    <w:abstractNumId w:val="22"/>
  </w:num>
  <w:num w:numId="53">
    <w:abstractNumId w:val="8"/>
  </w:num>
  <w:num w:numId="54">
    <w:abstractNumId w:val="35"/>
  </w:num>
  <w:num w:numId="55">
    <w:abstractNumId w:val="50"/>
  </w:num>
  <w:num w:numId="56">
    <w:abstractNumId w:val="57"/>
  </w:num>
  <w:num w:numId="57">
    <w:abstractNumId w:val="10"/>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6A"/>
    <w:rsid w:val="000016D8"/>
    <w:rsid w:val="00001EBC"/>
    <w:rsid w:val="000039DC"/>
    <w:rsid w:val="00004143"/>
    <w:rsid w:val="000077C0"/>
    <w:rsid w:val="00007CC7"/>
    <w:rsid w:val="000111EE"/>
    <w:rsid w:val="000117C0"/>
    <w:rsid w:val="000137AC"/>
    <w:rsid w:val="00013BEF"/>
    <w:rsid w:val="00015A7F"/>
    <w:rsid w:val="00016434"/>
    <w:rsid w:val="000167E2"/>
    <w:rsid w:val="00016CDB"/>
    <w:rsid w:val="00017AE4"/>
    <w:rsid w:val="00021954"/>
    <w:rsid w:val="00022692"/>
    <w:rsid w:val="0002346A"/>
    <w:rsid w:val="00023FEB"/>
    <w:rsid w:val="0002411C"/>
    <w:rsid w:val="00026859"/>
    <w:rsid w:val="00027B3F"/>
    <w:rsid w:val="00030423"/>
    <w:rsid w:val="00031DA0"/>
    <w:rsid w:val="000321AF"/>
    <w:rsid w:val="00032C2C"/>
    <w:rsid w:val="00034278"/>
    <w:rsid w:val="000355A7"/>
    <w:rsid w:val="000417BA"/>
    <w:rsid w:val="0004359A"/>
    <w:rsid w:val="00043719"/>
    <w:rsid w:val="000439B7"/>
    <w:rsid w:val="00044263"/>
    <w:rsid w:val="0004582C"/>
    <w:rsid w:val="000462E5"/>
    <w:rsid w:val="000475ED"/>
    <w:rsid w:val="00050E40"/>
    <w:rsid w:val="00051576"/>
    <w:rsid w:val="000520E3"/>
    <w:rsid w:val="00052700"/>
    <w:rsid w:val="00053CC2"/>
    <w:rsid w:val="000554F6"/>
    <w:rsid w:val="0005559F"/>
    <w:rsid w:val="00056632"/>
    <w:rsid w:val="000577EA"/>
    <w:rsid w:val="00057F90"/>
    <w:rsid w:val="000612B8"/>
    <w:rsid w:val="00064B54"/>
    <w:rsid w:val="00066528"/>
    <w:rsid w:val="00066EE9"/>
    <w:rsid w:val="0007206D"/>
    <w:rsid w:val="00072296"/>
    <w:rsid w:val="0007267D"/>
    <w:rsid w:val="000764E7"/>
    <w:rsid w:val="000767FF"/>
    <w:rsid w:val="000768FC"/>
    <w:rsid w:val="00076AEA"/>
    <w:rsid w:val="00081134"/>
    <w:rsid w:val="0008176E"/>
    <w:rsid w:val="00081C96"/>
    <w:rsid w:val="000840B3"/>
    <w:rsid w:val="000859FF"/>
    <w:rsid w:val="00087AEF"/>
    <w:rsid w:val="00090686"/>
    <w:rsid w:val="00091819"/>
    <w:rsid w:val="000945FD"/>
    <w:rsid w:val="0009521D"/>
    <w:rsid w:val="000966BD"/>
    <w:rsid w:val="0009706C"/>
    <w:rsid w:val="000A1911"/>
    <w:rsid w:val="000A280B"/>
    <w:rsid w:val="000A7630"/>
    <w:rsid w:val="000A7C7C"/>
    <w:rsid w:val="000B0B3E"/>
    <w:rsid w:val="000B20AE"/>
    <w:rsid w:val="000B2F27"/>
    <w:rsid w:val="000B315B"/>
    <w:rsid w:val="000B3BCA"/>
    <w:rsid w:val="000B3D0C"/>
    <w:rsid w:val="000B5018"/>
    <w:rsid w:val="000B5F8D"/>
    <w:rsid w:val="000B7348"/>
    <w:rsid w:val="000C060E"/>
    <w:rsid w:val="000C1C3A"/>
    <w:rsid w:val="000C1C8E"/>
    <w:rsid w:val="000C5198"/>
    <w:rsid w:val="000C5264"/>
    <w:rsid w:val="000C64D5"/>
    <w:rsid w:val="000D0552"/>
    <w:rsid w:val="000D1F70"/>
    <w:rsid w:val="000D45D5"/>
    <w:rsid w:val="000D4CEE"/>
    <w:rsid w:val="000D6195"/>
    <w:rsid w:val="000D687D"/>
    <w:rsid w:val="000D7B88"/>
    <w:rsid w:val="000D7E4B"/>
    <w:rsid w:val="000E0E65"/>
    <w:rsid w:val="000E11F7"/>
    <w:rsid w:val="000E132E"/>
    <w:rsid w:val="000E51AE"/>
    <w:rsid w:val="000E7083"/>
    <w:rsid w:val="000E70C7"/>
    <w:rsid w:val="000E7952"/>
    <w:rsid w:val="000F01C1"/>
    <w:rsid w:val="000F0ABB"/>
    <w:rsid w:val="000F2909"/>
    <w:rsid w:val="000F4773"/>
    <w:rsid w:val="000F4A3B"/>
    <w:rsid w:val="000F78B9"/>
    <w:rsid w:val="000F7987"/>
    <w:rsid w:val="001004D4"/>
    <w:rsid w:val="00100987"/>
    <w:rsid w:val="0010112D"/>
    <w:rsid w:val="001016A5"/>
    <w:rsid w:val="00106A4E"/>
    <w:rsid w:val="00107C07"/>
    <w:rsid w:val="00110553"/>
    <w:rsid w:val="0011517B"/>
    <w:rsid w:val="00115DF5"/>
    <w:rsid w:val="001161F3"/>
    <w:rsid w:val="00117095"/>
    <w:rsid w:val="0011717D"/>
    <w:rsid w:val="00120857"/>
    <w:rsid w:val="00121746"/>
    <w:rsid w:val="001228B1"/>
    <w:rsid w:val="001229CC"/>
    <w:rsid w:val="001233CF"/>
    <w:rsid w:val="001249BD"/>
    <w:rsid w:val="00124AC5"/>
    <w:rsid w:val="00125F19"/>
    <w:rsid w:val="00126D6D"/>
    <w:rsid w:val="001277DC"/>
    <w:rsid w:val="00130216"/>
    <w:rsid w:val="0013250C"/>
    <w:rsid w:val="00132638"/>
    <w:rsid w:val="001330F6"/>
    <w:rsid w:val="00133CA5"/>
    <w:rsid w:val="00134385"/>
    <w:rsid w:val="00137FCF"/>
    <w:rsid w:val="00141E6F"/>
    <w:rsid w:val="00141F64"/>
    <w:rsid w:val="0014270C"/>
    <w:rsid w:val="00143639"/>
    <w:rsid w:val="001437D6"/>
    <w:rsid w:val="00145569"/>
    <w:rsid w:val="00146BF3"/>
    <w:rsid w:val="00146FA4"/>
    <w:rsid w:val="001473FA"/>
    <w:rsid w:val="00151454"/>
    <w:rsid w:val="001553CD"/>
    <w:rsid w:val="001605C5"/>
    <w:rsid w:val="0016093D"/>
    <w:rsid w:val="0016146D"/>
    <w:rsid w:val="00161E0A"/>
    <w:rsid w:val="00162C86"/>
    <w:rsid w:val="00162E35"/>
    <w:rsid w:val="001631F5"/>
    <w:rsid w:val="0016394A"/>
    <w:rsid w:val="00163AF5"/>
    <w:rsid w:val="00165F35"/>
    <w:rsid w:val="00166440"/>
    <w:rsid w:val="00167B6C"/>
    <w:rsid w:val="00170FB8"/>
    <w:rsid w:val="00171D41"/>
    <w:rsid w:val="00174FC6"/>
    <w:rsid w:val="00175E41"/>
    <w:rsid w:val="0018199B"/>
    <w:rsid w:val="00182FAC"/>
    <w:rsid w:val="00185AFB"/>
    <w:rsid w:val="00185DF6"/>
    <w:rsid w:val="001860C3"/>
    <w:rsid w:val="0018715E"/>
    <w:rsid w:val="001938BD"/>
    <w:rsid w:val="00195E3F"/>
    <w:rsid w:val="00196CAE"/>
    <w:rsid w:val="00196EE9"/>
    <w:rsid w:val="001973CA"/>
    <w:rsid w:val="001A301D"/>
    <w:rsid w:val="001A33A3"/>
    <w:rsid w:val="001A492F"/>
    <w:rsid w:val="001A6716"/>
    <w:rsid w:val="001A675B"/>
    <w:rsid w:val="001B344D"/>
    <w:rsid w:val="001B39D5"/>
    <w:rsid w:val="001B4335"/>
    <w:rsid w:val="001B4F1E"/>
    <w:rsid w:val="001B5536"/>
    <w:rsid w:val="001B5A43"/>
    <w:rsid w:val="001B67A2"/>
    <w:rsid w:val="001B6B6B"/>
    <w:rsid w:val="001B6FC6"/>
    <w:rsid w:val="001C0F57"/>
    <w:rsid w:val="001C147F"/>
    <w:rsid w:val="001C1624"/>
    <w:rsid w:val="001C2AD8"/>
    <w:rsid w:val="001C342D"/>
    <w:rsid w:val="001C4668"/>
    <w:rsid w:val="001D0402"/>
    <w:rsid w:val="001D454E"/>
    <w:rsid w:val="001D543D"/>
    <w:rsid w:val="001D5C31"/>
    <w:rsid w:val="001D6ADB"/>
    <w:rsid w:val="001E16D2"/>
    <w:rsid w:val="001E182F"/>
    <w:rsid w:val="001E1B73"/>
    <w:rsid w:val="001E4256"/>
    <w:rsid w:val="001E518E"/>
    <w:rsid w:val="001E5AC5"/>
    <w:rsid w:val="001E69BD"/>
    <w:rsid w:val="001F060D"/>
    <w:rsid w:val="001F4515"/>
    <w:rsid w:val="001F69D1"/>
    <w:rsid w:val="001F7136"/>
    <w:rsid w:val="00200BF9"/>
    <w:rsid w:val="00201661"/>
    <w:rsid w:val="00201ABA"/>
    <w:rsid w:val="00201B7C"/>
    <w:rsid w:val="00202263"/>
    <w:rsid w:val="002032AF"/>
    <w:rsid w:val="0020508D"/>
    <w:rsid w:val="002064D7"/>
    <w:rsid w:val="002100CE"/>
    <w:rsid w:val="00211009"/>
    <w:rsid w:val="0021220C"/>
    <w:rsid w:val="0021290A"/>
    <w:rsid w:val="002178C4"/>
    <w:rsid w:val="00217BDF"/>
    <w:rsid w:val="002232A4"/>
    <w:rsid w:val="002246F3"/>
    <w:rsid w:val="00224761"/>
    <w:rsid w:val="00225ADC"/>
    <w:rsid w:val="00227D5C"/>
    <w:rsid w:val="002301FF"/>
    <w:rsid w:val="00233688"/>
    <w:rsid w:val="0023375B"/>
    <w:rsid w:val="002337EA"/>
    <w:rsid w:val="00233B39"/>
    <w:rsid w:val="00235DD4"/>
    <w:rsid w:val="00241A28"/>
    <w:rsid w:val="0024265E"/>
    <w:rsid w:val="00245DB3"/>
    <w:rsid w:val="0024680C"/>
    <w:rsid w:val="00250702"/>
    <w:rsid w:val="00250777"/>
    <w:rsid w:val="002543B1"/>
    <w:rsid w:val="0025533E"/>
    <w:rsid w:val="00255812"/>
    <w:rsid w:val="00255C76"/>
    <w:rsid w:val="0025605D"/>
    <w:rsid w:val="00260A2E"/>
    <w:rsid w:val="002628D6"/>
    <w:rsid w:val="00262979"/>
    <w:rsid w:val="00262D0D"/>
    <w:rsid w:val="00263D59"/>
    <w:rsid w:val="00264A17"/>
    <w:rsid w:val="00266557"/>
    <w:rsid w:val="0026751D"/>
    <w:rsid w:val="00267CAE"/>
    <w:rsid w:val="00270517"/>
    <w:rsid w:val="00271A92"/>
    <w:rsid w:val="002721EC"/>
    <w:rsid w:val="00272491"/>
    <w:rsid w:val="0027255C"/>
    <w:rsid w:val="00273796"/>
    <w:rsid w:val="00275C22"/>
    <w:rsid w:val="002760E4"/>
    <w:rsid w:val="0027619E"/>
    <w:rsid w:val="00276872"/>
    <w:rsid w:val="002809E8"/>
    <w:rsid w:val="00281E56"/>
    <w:rsid w:val="00282180"/>
    <w:rsid w:val="002823C7"/>
    <w:rsid w:val="00282582"/>
    <w:rsid w:val="00284B85"/>
    <w:rsid w:val="0029299B"/>
    <w:rsid w:val="00294ACC"/>
    <w:rsid w:val="00295325"/>
    <w:rsid w:val="00295D7C"/>
    <w:rsid w:val="002969CF"/>
    <w:rsid w:val="00297A27"/>
    <w:rsid w:val="002A019E"/>
    <w:rsid w:val="002A0876"/>
    <w:rsid w:val="002A2B85"/>
    <w:rsid w:val="002A38DF"/>
    <w:rsid w:val="002A3CEA"/>
    <w:rsid w:val="002A468F"/>
    <w:rsid w:val="002A730E"/>
    <w:rsid w:val="002A7D9B"/>
    <w:rsid w:val="002A7EBF"/>
    <w:rsid w:val="002B0CEA"/>
    <w:rsid w:val="002B1F0B"/>
    <w:rsid w:val="002B3175"/>
    <w:rsid w:val="002B31D5"/>
    <w:rsid w:val="002B35EE"/>
    <w:rsid w:val="002B4FCE"/>
    <w:rsid w:val="002B6D7F"/>
    <w:rsid w:val="002C0079"/>
    <w:rsid w:val="002C0D15"/>
    <w:rsid w:val="002C1C12"/>
    <w:rsid w:val="002C3D02"/>
    <w:rsid w:val="002C3E43"/>
    <w:rsid w:val="002C46E4"/>
    <w:rsid w:val="002C6B25"/>
    <w:rsid w:val="002D3B1E"/>
    <w:rsid w:val="002D5DE3"/>
    <w:rsid w:val="002D609E"/>
    <w:rsid w:val="002D6792"/>
    <w:rsid w:val="002E09FF"/>
    <w:rsid w:val="002E0CD2"/>
    <w:rsid w:val="002E46D9"/>
    <w:rsid w:val="002E5403"/>
    <w:rsid w:val="002E55DB"/>
    <w:rsid w:val="002E56EE"/>
    <w:rsid w:val="002E6FB8"/>
    <w:rsid w:val="002F01C0"/>
    <w:rsid w:val="002F1A53"/>
    <w:rsid w:val="002F45C9"/>
    <w:rsid w:val="002F545F"/>
    <w:rsid w:val="002F72EB"/>
    <w:rsid w:val="002F79E6"/>
    <w:rsid w:val="00300D51"/>
    <w:rsid w:val="003012BE"/>
    <w:rsid w:val="003018EA"/>
    <w:rsid w:val="00302D84"/>
    <w:rsid w:val="003070B5"/>
    <w:rsid w:val="003113A5"/>
    <w:rsid w:val="00311BE3"/>
    <w:rsid w:val="00313744"/>
    <w:rsid w:val="00313A62"/>
    <w:rsid w:val="00314883"/>
    <w:rsid w:val="00314D45"/>
    <w:rsid w:val="00317383"/>
    <w:rsid w:val="00317DD9"/>
    <w:rsid w:val="00323823"/>
    <w:rsid w:val="00324ABF"/>
    <w:rsid w:val="00326DA5"/>
    <w:rsid w:val="00330051"/>
    <w:rsid w:val="003311B2"/>
    <w:rsid w:val="003326B6"/>
    <w:rsid w:val="00333A49"/>
    <w:rsid w:val="00333E1A"/>
    <w:rsid w:val="003341BD"/>
    <w:rsid w:val="0033513B"/>
    <w:rsid w:val="0033613A"/>
    <w:rsid w:val="00336145"/>
    <w:rsid w:val="00340D6D"/>
    <w:rsid w:val="00342556"/>
    <w:rsid w:val="00342E22"/>
    <w:rsid w:val="003439FF"/>
    <w:rsid w:val="00344385"/>
    <w:rsid w:val="00345A92"/>
    <w:rsid w:val="003466EA"/>
    <w:rsid w:val="00346C9B"/>
    <w:rsid w:val="003511F5"/>
    <w:rsid w:val="003516DE"/>
    <w:rsid w:val="003527E9"/>
    <w:rsid w:val="00352978"/>
    <w:rsid w:val="0036088C"/>
    <w:rsid w:val="00361AF5"/>
    <w:rsid w:val="00362086"/>
    <w:rsid w:val="00362430"/>
    <w:rsid w:val="00363A3F"/>
    <w:rsid w:val="00364126"/>
    <w:rsid w:val="00364587"/>
    <w:rsid w:val="003645B9"/>
    <w:rsid w:val="00365F20"/>
    <w:rsid w:val="00370756"/>
    <w:rsid w:val="00370ED4"/>
    <w:rsid w:val="003714A9"/>
    <w:rsid w:val="003715BA"/>
    <w:rsid w:val="00372BB6"/>
    <w:rsid w:val="0037362E"/>
    <w:rsid w:val="00373BA7"/>
    <w:rsid w:val="00374F47"/>
    <w:rsid w:val="003775F7"/>
    <w:rsid w:val="00377A68"/>
    <w:rsid w:val="00377EDB"/>
    <w:rsid w:val="0038254B"/>
    <w:rsid w:val="00382E02"/>
    <w:rsid w:val="00383DC6"/>
    <w:rsid w:val="00385F17"/>
    <w:rsid w:val="00386D3A"/>
    <w:rsid w:val="00396920"/>
    <w:rsid w:val="003A01BD"/>
    <w:rsid w:val="003A6C8D"/>
    <w:rsid w:val="003B2648"/>
    <w:rsid w:val="003B27AD"/>
    <w:rsid w:val="003B2F60"/>
    <w:rsid w:val="003B4BDA"/>
    <w:rsid w:val="003B5ADC"/>
    <w:rsid w:val="003B6080"/>
    <w:rsid w:val="003B614F"/>
    <w:rsid w:val="003B6CCE"/>
    <w:rsid w:val="003B7129"/>
    <w:rsid w:val="003B7418"/>
    <w:rsid w:val="003C38AA"/>
    <w:rsid w:val="003C4403"/>
    <w:rsid w:val="003C6E75"/>
    <w:rsid w:val="003C73D2"/>
    <w:rsid w:val="003C7885"/>
    <w:rsid w:val="003D29EC"/>
    <w:rsid w:val="003D4D84"/>
    <w:rsid w:val="003D5FE8"/>
    <w:rsid w:val="003D6E1A"/>
    <w:rsid w:val="003E08E0"/>
    <w:rsid w:val="003E1F15"/>
    <w:rsid w:val="003E47A0"/>
    <w:rsid w:val="003F1131"/>
    <w:rsid w:val="003F1670"/>
    <w:rsid w:val="003F27CC"/>
    <w:rsid w:val="003F3F63"/>
    <w:rsid w:val="003F4213"/>
    <w:rsid w:val="003F5B71"/>
    <w:rsid w:val="00400617"/>
    <w:rsid w:val="00400673"/>
    <w:rsid w:val="004006A0"/>
    <w:rsid w:val="00401F7A"/>
    <w:rsid w:val="0040322F"/>
    <w:rsid w:val="004045E8"/>
    <w:rsid w:val="0040599D"/>
    <w:rsid w:val="00405A90"/>
    <w:rsid w:val="00405D26"/>
    <w:rsid w:val="004069E0"/>
    <w:rsid w:val="00406CEE"/>
    <w:rsid w:val="00407CB2"/>
    <w:rsid w:val="00410CEF"/>
    <w:rsid w:val="004132A4"/>
    <w:rsid w:val="00414DE8"/>
    <w:rsid w:val="00414E2F"/>
    <w:rsid w:val="00415036"/>
    <w:rsid w:val="004157BC"/>
    <w:rsid w:val="0041628B"/>
    <w:rsid w:val="00417AD3"/>
    <w:rsid w:val="00417C4A"/>
    <w:rsid w:val="00417E36"/>
    <w:rsid w:val="00417F87"/>
    <w:rsid w:val="00420BF1"/>
    <w:rsid w:val="00421ADB"/>
    <w:rsid w:val="00422D19"/>
    <w:rsid w:val="00430475"/>
    <w:rsid w:val="00431495"/>
    <w:rsid w:val="00433457"/>
    <w:rsid w:val="00433B25"/>
    <w:rsid w:val="004345B6"/>
    <w:rsid w:val="004363BC"/>
    <w:rsid w:val="0043796C"/>
    <w:rsid w:val="00440A63"/>
    <w:rsid w:val="00442021"/>
    <w:rsid w:val="004422A7"/>
    <w:rsid w:val="00442559"/>
    <w:rsid w:val="00442ED9"/>
    <w:rsid w:val="004442F4"/>
    <w:rsid w:val="0044746F"/>
    <w:rsid w:val="00450ABF"/>
    <w:rsid w:val="00452334"/>
    <w:rsid w:val="0045246A"/>
    <w:rsid w:val="00455BA2"/>
    <w:rsid w:val="004564C8"/>
    <w:rsid w:val="004568BB"/>
    <w:rsid w:val="00456D6F"/>
    <w:rsid w:val="0046047A"/>
    <w:rsid w:val="00460AD6"/>
    <w:rsid w:val="00460BCD"/>
    <w:rsid w:val="004611E6"/>
    <w:rsid w:val="004651CF"/>
    <w:rsid w:val="00466042"/>
    <w:rsid w:val="00470B64"/>
    <w:rsid w:val="00470BD9"/>
    <w:rsid w:val="00472064"/>
    <w:rsid w:val="00473991"/>
    <w:rsid w:val="004752A7"/>
    <w:rsid w:val="00476169"/>
    <w:rsid w:val="00480826"/>
    <w:rsid w:val="004836F1"/>
    <w:rsid w:val="004837B2"/>
    <w:rsid w:val="00487350"/>
    <w:rsid w:val="00487889"/>
    <w:rsid w:val="0049151E"/>
    <w:rsid w:val="00492282"/>
    <w:rsid w:val="004922A8"/>
    <w:rsid w:val="004924B9"/>
    <w:rsid w:val="0049389A"/>
    <w:rsid w:val="00494F69"/>
    <w:rsid w:val="00496D86"/>
    <w:rsid w:val="004A0A81"/>
    <w:rsid w:val="004A2253"/>
    <w:rsid w:val="004A2393"/>
    <w:rsid w:val="004A27CB"/>
    <w:rsid w:val="004A3A9D"/>
    <w:rsid w:val="004A3AAB"/>
    <w:rsid w:val="004A675A"/>
    <w:rsid w:val="004A68D4"/>
    <w:rsid w:val="004A6C48"/>
    <w:rsid w:val="004B036B"/>
    <w:rsid w:val="004B0371"/>
    <w:rsid w:val="004B3449"/>
    <w:rsid w:val="004B3A52"/>
    <w:rsid w:val="004B4005"/>
    <w:rsid w:val="004B4502"/>
    <w:rsid w:val="004B5579"/>
    <w:rsid w:val="004B73FA"/>
    <w:rsid w:val="004B7898"/>
    <w:rsid w:val="004B7A56"/>
    <w:rsid w:val="004C057B"/>
    <w:rsid w:val="004C1238"/>
    <w:rsid w:val="004C14BB"/>
    <w:rsid w:val="004C1C9B"/>
    <w:rsid w:val="004C200F"/>
    <w:rsid w:val="004C7F35"/>
    <w:rsid w:val="004D04AE"/>
    <w:rsid w:val="004D4602"/>
    <w:rsid w:val="004D4641"/>
    <w:rsid w:val="004D4F24"/>
    <w:rsid w:val="004D57D6"/>
    <w:rsid w:val="004D5B0F"/>
    <w:rsid w:val="004D7242"/>
    <w:rsid w:val="004D7690"/>
    <w:rsid w:val="004E1763"/>
    <w:rsid w:val="004E19FD"/>
    <w:rsid w:val="004E4B01"/>
    <w:rsid w:val="004E4B97"/>
    <w:rsid w:val="004E4C25"/>
    <w:rsid w:val="004E4C96"/>
    <w:rsid w:val="004E6F2B"/>
    <w:rsid w:val="004E7D4C"/>
    <w:rsid w:val="004F0708"/>
    <w:rsid w:val="004F15F0"/>
    <w:rsid w:val="004F277B"/>
    <w:rsid w:val="004F5A34"/>
    <w:rsid w:val="004F6C24"/>
    <w:rsid w:val="00501334"/>
    <w:rsid w:val="005024BF"/>
    <w:rsid w:val="00503916"/>
    <w:rsid w:val="005049DC"/>
    <w:rsid w:val="00507214"/>
    <w:rsid w:val="005072C1"/>
    <w:rsid w:val="0050731C"/>
    <w:rsid w:val="005152DE"/>
    <w:rsid w:val="00515A6E"/>
    <w:rsid w:val="00515DA3"/>
    <w:rsid w:val="00516E6C"/>
    <w:rsid w:val="0051712E"/>
    <w:rsid w:val="00517484"/>
    <w:rsid w:val="00517CD8"/>
    <w:rsid w:val="0052100E"/>
    <w:rsid w:val="005230BC"/>
    <w:rsid w:val="00524B73"/>
    <w:rsid w:val="00524CE7"/>
    <w:rsid w:val="00524DB8"/>
    <w:rsid w:val="0052509C"/>
    <w:rsid w:val="005250DF"/>
    <w:rsid w:val="00525F90"/>
    <w:rsid w:val="00527C7F"/>
    <w:rsid w:val="00531513"/>
    <w:rsid w:val="00534321"/>
    <w:rsid w:val="00534A5F"/>
    <w:rsid w:val="00535945"/>
    <w:rsid w:val="0053637E"/>
    <w:rsid w:val="00536A7C"/>
    <w:rsid w:val="00536DFE"/>
    <w:rsid w:val="00537E34"/>
    <w:rsid w:val="005413AD"/>
    <w:rsid w:val="00541C04"/>
    <w:rsid w:val="00541EA7"/>
    <w:rsid w:val="005454E4"/>
    <w:rsid w:val="00546840"/>
    <w:rsid w:val="0055344D"/>
    <w:rsid w:val="005540BD"/>
    <w:rsid w:val="005540FC"/>
    <w:rsid w:val="00555379"/>
    <w:rsid w:val="00555A38"/>
    <w:rsid w:val="00555F98"/>
    <w:rsid w:val="005563BF"/>
    <w:rsid w:val="00557461"/>
    <w:rsid w:val="00562358"/>
    <w:rsid w:val="00562B69"/>
    <w:rsid w:val="00563823"/>
    <w:rsid w:val="00563E3D"/>
    <w:rsid w:val="00563F3F"/>
    <w:rsid w:val="005650EE"/>
    <w:rsid w:val="00565C6B"/>
    <w:rsid w:val="00565FF1"/>
    <w:rsid w:val="00566B48"/>
    <w:rsid w:val="005718F9"/>
    <w:rsid w:val="0057462F"/>
    <w:rsid w:val="00574AB9"/>
    <w:rsid w:val="005804A3"/>
    <w:rsid w:val="00583366"/>
    <w:rsid w:val="0058386F"/>
    <w:rsid w:val="00583EE8"/>
    <w:rsid w:val="005860D1"/>
    <w:rsid w:val="0058692B"/>
    <w:rsid w:val="00587094"/>
    <w:rsid w:val="00590C6E"/>
    <w:rsid w:val="00591862"/>
    <w:rsid w:val="00591991"/>
    <w:rsid w:val="0059406E"/>
    <w:rsid w:val="00595942"/>
    <w:rsid w:val="005964B9"/>
    <w:rsid w:val="00597FC4"/>
    <w:rsid w:val="005A1421"/>
    <w:rsid w:val="005A20B1"/>
    <w:rsid w:val="005A7F68"/>
    <w:rsid w:val="005B0031"/>
    <w:rsid w:val="005B03A4"/>
    <w:rsid w:val="005B0492"/>
    <w:rsid w:val="005B13F9"/>
    <w:rsid w:val="005B156E"/>
    <w:rsid w:val="005B15D9"/>
    <w:rsid w:val="005B21B4"/>
    <w:rsid w:val="005B40EE"/>
    <w:rsid w:val="005B4ABA"/>
    <w:rsid w:val="005B5218"/>
    <w:rsid w:val="005B7980"/>
    <w:rsid w:val="005C1775"/>
    <w:rsid w:val="005C19B6"/>
    <w:rsid w:val="005C2479"/>
    <w:rsid w:val="005C2DBE"/>
    <w:rsid w:val="005C56B9"/>
    <w:rsid w:val="005C633B"/>
    <w:rsid w:val="005C7C5E"/>
    <w:rsid w:val="005D05D8"/>
    <w:rsid w:val="005D1573"/>
    <w:rsid w:val="005D3EF5"/>
    <w:rsid w:val="005D3FA4"/>
    <w:rsid w:val="005D5219"/>
    <w:rsid w:val="005D5A0C"/>
    <w:rsid w:val="005D5AEF"/>
    <w:rsid w:val="005E04B5"/>
    <w:rsid w:val="005E0558"/>
    <w:rsid w:val="005E2124"/>
    <w:rsid w:val="005E3051"/>
    <w:rsid w:val="005E3C39"/>
    <w:rsid w:val="005E6EE2"/>
    <w:rsid w:val="005E704E"/>
    <w:rsid w:val="005F0AE0"/>
    <w:rsid w:val="005F0CD0"/>
    <w:rsid w:val="005F1475"/>
    <w:rsid w:val="005F235E"/>
    <w:rsid w:val="005F3181"/>
    <w:rsid w:val="005F3E06"/>
    <w:rsid w:val="006004D6"/>
    <w:rsid w:val="00600FB2"/>
    <w:rsid w:val="00605FED"/>
    <w:rsid w:val="0060663F"/>
    <w:rsid w:val="00606A93"/>
    <w:rsid w:val="0060722F"/>
    <w:rsid w:val="00607642"/>
    <w:rsid w:val="00610503"/>
    <w:rsid w:val="00610D84"/>
    <w:rsid w:val="00613754"/>
    <w:rsid w:val="006171F5"/>
    <w:rsid w:val="00617C10"/>
    <w:rsid w:val="006204EE"/>
    <w:rsid w:val="00620737"/>
    <w:rsid w:val="00624229"/>
    <w:rsid w:val="00624D8C"/>
    <w:rsid w:val="00626EA7"/>
    <w:rsid w:val="0062746F"/>
    <w:rsid w:val="00630D9C"/>
    <w:rsid w:val="006313C6"/>
    <w:rsid w:val="006325BE"/>
    <w:rsid w:val="00634160"/>
    <w:rsid w:val="00634EEE"/>
    <w:rsid w:val="0063654A"/>
    <w:rsid w:val="00636F23"/>
    <w:rsid w:val="00640C21"/>
    <w:rsid w:val="00642FFE"/>
    <w:rsid w:val="0064476C"/>
    <w:rsid w:val="00645207"/>
    <w:rsid w:val="00645301"/>
    <w:rsid w:val="006454F9"/>
    <w:rsid w:val="00646306"/>
    <w:rsid w:val="006515DD"/>
    <w:rsid w:val="0065179E"/>
    <w:rsid w:val="00652A40"/>
    <w:rsid w:val="006531E9"/>
    <w:rsid w:val="00654438"/>
    <w:rsid w:val="006544B6"/>
    <w:rsid w:val="00654A31"/>
    <w:rsid w:val="0065724E"/>
    <w:rsid w:val="0065749E"/>
    <w:rsid w:val="00657F7D"/>
    <w:rsid w:val="00661A10"/>
    <w:rsid w:val="00662486"/>
    <w:rsid w:val="00662FE1"/>
    <w:rsid w:val="00662FF7"/>
    <w:rsid w:val="0066486E"/>
    <w:rsid w:val="00664D15"/>
    <w:rsid w:val="006674D3"/>
    <w:rsid w:val="006705C2"/>
    <w:rsid w:val="00672632"/>
    <w:rsid w:val="0067310F"/>
    <w:rsid w:val="00673156"/>
    <w:rsid w:val="00673A3A"/>
    <w:rsid w:val="00673C8A"/>
    <w:rsid w:val="00675D8A"/>
    <w:rsid w:val="0067726C"/>
    <w:rsid w:val="00677F46"/>
    <w:rsid w:val="006805E5"/>
    <w:rsid w:val="006806EB"/>
    <w:rsid w:val="00684072"/>
    <w:rsid w:val="0068546C"/>
    <w:rsid w:val="0068632D"/>
    <w:rsid w:val="00686D5E"/>
    <w:rsid w:val="00687111"/>
    <w:rsid w:val="006872A3"/>
    <w:rsid w:val="00690FB3"/>
    <w:rsid w:val="00693C06"/>
    <w:rsid w:val="006943C0"/>
    <w:rsid w:val="00694F8E"/>
    <w:rsid w:val="006960E9"/>
    <w:rsid w:val="00696368"/>
    <w:rsid w:val="00696A44"/>
    <w:rsid w:val="00697767"/>
    <w:rsid w:val="00697CBF"/>
    <w:rsid w:val="006A096A"/>
    <w:rsid w:val="006A0C55"/>
    <w:rsid w:val="006A20AF"/>
    <w:rsid w:val="006A22A6"/>
    <w:rsid w:val="006A2736"/>
    <w:rsid w:val="006A50F0"/>
    <w:rsid w:val="006A5856"/>
    <w:rsid w:val="006A62FC"/>
    <w:rsid w:val="006A7BCC"/>
    <w:rsid w:val="006A7E0D"/>
    <w:rsid w:val="006B067A"/>
    <w:rsid w:val="006B1095"/>
    <w:rsid w:val="006B3B07"/>
    <w:rsid w:val="006B421F"/>
    <w:rsid w:val="006B79AC"/>
    <w:rsid w:val="006B7E27"/>
    <w:rsid w:val="006B7FF8"/>
    <w:rsid w:val="006C036D"/>
    <w:rsid w:val="006C0596"/>
    <w:rsid w:val="006C07A1"/>
    <w:rsid w:val="006C0D6E"/>
    <w:rsid w:val="006C1201"/>
    <w:rsid w:val="006C1DDB"/>
    <w:rsid w:val="006C2444"/>
    <w:rsid w:val="006C2AD0"/>
    <w:rsid w:val="006C4D3C"/>
    <w:rsid w:val="006C67B2"/>
    <w:rsid w:val="006C7142"/>
    <w:rsid w:val="006D0889"/>
    <w:rsid w:val="006D308D"/>
    <w:rsid w:val="006D34FC"/>
    <w:rsid w:val="006D5DCE"/>
    <w:rsid w:val="006D751E"/>
    <w:rsid w:val="006E25CD"/>
    <w:rsid w:val="006E3034"/>
    <w:rsid w:val="006E407D"/>
    <w:rsid w:val="006E656E"/>
    <w:rsid w:val="006E6B6C"/>
    <w:rsid w:val="006E7DBF"/>
    <w:rsid w:val="006F226C"/>
    <w:rsid w:val="006F2A2E"/>
    <w:rsid w:val="006F2DFC"/>
    <w:rsid w:val="006F33A1"/>
    <w:rsid w:val="006F3430"/>
    <w:rsid w:val="006F4E15"/>
    <w:rsid w:val="006F62D3"/>
    <w:rsid w:val="006F67C3"/>
    <w:rsid w:val="006F78FD"/>
    <w:rsid w:val="006F7AD3"/>
    <w:rsid w:val="00700A89"/>
    <w:rsid w:val="007054F2"/>
    <w:rsid w:val="007067A7"/>
    <w:rsid w:val="00706913"/>
    <w:rsid w:val="00706B83"/>
    <w:rsid w:val="007101DC"/>
    <w:rsid w:val="00710627"/>
    <w:rsid w:val="007106FD"/>
    <w:rsid w:val="0071138B"/>
    <w:rsid w:val="0071245B"/>
    <w:rsid w:val="00712B53"/>
    <w:rsid w:val="00712ED3"/>
    <w:rsid w:val="0072079D"/>
    <w:rsid w:val="007226C5"/>
    <w:rsid w:val="0072394E"/>
    <w:rsid w:val="00725DBF"/>
    <w:rsid w:val="00731A8D"/>
    <w:rsid w:val="00732CF0"/>
    <w:rsid w:val="007331BF"/>
    <w:rsid w:val="00736D76"/>
    <w:rsid w:val="007375B6"/>
    <w:rsid w:val="00740274"/>
    <w:rsid w:val="007411D3"/>
    <w:rsid w:val="00743211"/>
    <w:rsid w:val="00744E15"/>
    <w:rsid w:val="007455BD"/>
    <w:rsid w:val="0074563F"/>
    <w:rsid w:val="00745948"/>
    <w:rsid w:val="007465E9"/>
    <w:rsid w:val="007466E1"/>
    <w:rsid w:val="00747589"/>
    <w:rsid w:val="007513BE"/>
    <w:rsid w:val="00752AAB"/>
    <w:rsid w:val="007542D8"/>
    <w:rsid w:val="007548A5"/>
    <w:rsid w:val="007555D6"/>
    <w:rsid w:val="00755AD8"/>
    <w:rsid w:val="00761215"/>
    <w:rsid w:val="00761F3E"/>
    <w:rsid w:val="00767773"/>
    <w:rsid w:val="00771200"/>
    <w:rsid w:val="0077148E"/>
    <w:rsid w:val="00771A2A"/>
    <w:rsid w:val="00771DB4"/>
    <w:rsid w:val="00771E45"/>
    <w:rsid w:val="0077209D"/>
    <w:rsid w:val="007725AA"/>
    <w:rsid w:val="00773F75"/>
    <w:rsid w:val="0077468E"/>
    <w:rsid w:val="00777063"/>
    <w:rsid w:val="0078352B"/>
    <w:rsid w:val="00783726"/>
    <w:rsid w:val="007838EB"/>
    <w:rsid w:val="007839C9"/>
    <w:rsid w:val="00786132"/>
    <w:rsid w:val="00786295"/>
    <w:rsid w:val="00787245"/>
    <w:rsid w:val="00787D4C"/>
    <w:rsid w:val="007902AE"/>
    <w:rsid w:val="00793BC2"/>
    <w:rsid w:val="00794202"/>
    <w:rsid w:val="00795C1F"/>
    <w:rsid w:val="00797252"/>
    <w:rsid w:val="00797AE6"/>
    <w:rsid w:val="007A1640"/>
    <w:rsid w:val="007A2A34"/>
    <w:rsid w:val="007A2B44"/>
    <w:rsid w:val="007A4E09"/>
    <w:rsid w:val="007A5CE8"/>
    <w:rsid w:val="007A6317"/>
    <w:rsid w:val="007A6A6E"/>
    <w:rsid w:val="007B1799"/>
    <w:rsid w:val="007B50AD"/>
    <w:rsid w:val="007C12C9"/>
    <w:rsid w:val="007C3631"/>
    <w:rsid w:val="007C3B2D"/>
    <w:rsid w:val="007C4A3E"/>
    <w:rsid w:val="007C6787"/>
    <w:rsid w:val="007C6C2E"/>
    <w:rsid w:val="007C6D5E"/>
    <w:rsid w:val="007D2AF6"/>
    <w:rsid w:val="007D3A43"/>
    <w:rsid w:val="007D3DD9"/>
    <w:rsid w:val="007D47D0"/>
    <w:rsid w:val="007D5236"/>
    <w:rsid w:val="007E2789"/>
    <w:rsid w:val="007E3DDE"/>
    <w:rsid w:val="007E6EF0"/>
    <w:rsid w:val="007E78C3"/>
    <w:rsid w:val="007E7AB8"/>
    <w:rsid w:val="007E7DAD"/>
    <w:rsid w:val="007F0BBB"/>
    <w:rsid w:val="007F0F6A"/>
    <w:rsid w:val="007F1255"/>
    <w:rsid w:val="007F289B"/>
    <w:rsid w:val="007F38E8"/>
    <w:rsid w:val="007F4922"/>
    <w:rsid w:val="007F5465"/>
    <w:rsid w:val="007F54B3"/>
    <w:rsid w:val="007F5CB9"/>
    <w:rsid w:val="007F5E62"/>
    <w:rsid w:val="007F785D"/>
    <w:rsid w:val="008014FF"/>
    <w:rsid w:val="00805285"/>
    <w:rsid w:val="0080576A"/>
    <w:rsid w:val="008057D9"/>
    <w:rsid w:val="00805800"/>
    <w:rsid w:val="00807778"/>
    <w:rsid w:val="00813469"/>
    <w:rsid w:val="00813A82"/>
    <w:rsid w:val="008143EA"/>
    <w:rsid w:val="00814E3D"/>
    <w:rsid w:val="00816487"/>
    <w:rsid w:val="00816578"/>
    <w:rsid w:val="00817327"/>
    <w:rsid w:val="00820D19"/>
    <w:rsid w:val="00821584"/>
    <w:rsid w:val="00821A82"/>
    <w:rsid w:val="00822C70"/>
    <w:rsid w:val="008255DE"/>
    <w:rsid w:val="00825E84"/>
    <w:rsid w:val="0083056C"/>
    <w:rsid w:val="00831D70"/>
    <w:rsid w:val="00832ADA"/>
    <w:rsid w:val="00834142"/>
    <w:rsid w:val="0083575F"/>
    <w:rsid w:val="00835D56"/>
    <w:rsid w:val="008368BB"/>
    <w:rsid w:val="0084118A"/>
    <w:rsid w:val="00841BA8"/>
    <w:rsid w:val="00843109"/>
    <w:rsid w:val="00844216"/>
    <w:rsid w:val="00844307"/>
    <w:rsid w:val="00844698"/>
    <w:rsid w:val="008448A6"/>
    <w:rsid w:val="00844E42"/>
    <w:rsid w:val="008468F2"/>
    <w:rsid w:val="0085045E"/>
    <w:rsid w:val="00850AEA"/>
    <w:rsid w:val="008515BB"/>
    <w:rsid w:val="00851F70"/>
    <w:rsid w:val="0085368C"/>
    <w:rsid w:val="00853BF4"/>
    <w:rsid w:val="00854664"/>
    <w:rsid w:val="00855ED4"/>
    <w:rsid w:val="008569DE"/>
    <w:rsid w:val="00856E3E"/>
    <w:rsid w:val="00857AF0"/>
    <w:rsid w:val="00861B56"/>
    <w:rsid w:val="00864D5E"/>
    <w:rsid w:val="00866793"/>
    <w:rsid w:val="00866817"/>
    <w:rsid w:val="00867785"/>
    <w:rsid w:val="00867FC2"/>
    <w:rsid w:val="008703D6"/>
    <w:rsid w:val="00871427"/>
    <w:rsid w:val="00871943"/>
    <w:rsid w:val="008721AE"/>
    <w:rsid w:val="0087288F"/>
    <w:rsid w:val="00873E37"/>
    <w:rsid w:val="0087453D"/>
    <w:rsid w:val="00877386"/>
    <w:rsid w:val="00882EB9"/>
    <w:rsid w:val="0088391A"/>
    <w:rsid w:val="00885460"/>
    <w:rsid w:val="00886594"/>
    <w:rsid w:val="00887740"/>
    <w:rsid w:val="00887BCF"/>
    <w:rsid w:val="00887CC1"/>
    <w:rsid w:val="0089017F"/>
    <w:rsid w:val="00890618"/>
    <w:rsid w:val="00890A5B"/>
    <w:rsid w:val="00891F93"/>
    <w:rsid w:val="00893CCB"/>
    <w:rsid w:val="00893D7B"/>
    <w:rsid w:val="00895B65"/>
    <w:rsid w:val="00896677"/>
    <w:rsid w:val="008A1AA2"/>
    <w:rsid w:val="008A32BB"/>
    <w:rsid w:val="008A428B"/>
    <w:rsid w:val="008A55FB"/>
    <w:rsid w:val="008A59C5"/>
    <w:rsid w:val="008A7182"/>
    <w:rsid w:val="008B03CC"/>
    <w:rsid w:val="008B1A6D"/>
    <w:rsid w:val="008B230D"/>
    <w:rsid w:val="008B35B8"/>
    <w:rsid w:val="008B42AB"/>
    <w:rsid w:val="008B42CF"/>
    <w:rsid w:val="008B5716"/>
    <w:rsid w:val="008B6008"/>
    <w:rsid w:val="008C028A"/>
    <w:rsid w:val="008C7DDF"/>
    <w:rsid w:val="008D04E4"/>
    <w:rsid w:val="008D15DC"/>
    <w:rsid w:val="008D2506"/>
    <w:rsid w:val="008D57E7"/>
    <w:rsid w:val="008D5F74"/>
    <w:rsid w:val="008D6342"/>
    <w:rsid w:val="008E04FF"/>
    <w:rsid w:val="008E0D3D"/>
    <w:rsid w:val="008E1C5D"/>
    <w:rsid w:val="008E1F7F"/>
    <w:rsid w:val="008E2D1C"/>
    <w:rsid w:val="008E62BC"/>
    <w:rsid w:val="008E6A57"/>
    <w:rsid w:val="008E74DF"/>
    <w:rsid w:val="008E798C"/>
    <w:rsid w:val="008E7D1B"/>
    <w:rsid w:val="008F121D"/>
    <w:rsid w:val="008F181C"/>
    <w:rsid w:val="008F2915"/>
    <w:rsid w:val="008F5013"/>
    <w:rsid w:val="009007A1"/>
    <w:rsid w:val="00902F03"/>
    <w:rsid w:val="009038D9"/>
    <w:rsid w:val="00904A21"/>
    <w:rsid w:val="0090691C"/>
    <w:rsid w:val="009074FA"/>
    <w:rsid w:val="009102A2"/>
    <w:rsid w:val="00910403"/>
    <w:rsid w:val="00911CDE"/>
    <w:rsid w:val="009130ED"/>
    <w:rsid w:val="009135B9"/>
    <w:rsid w:val="00913A9D"/>
    <w:rsid w:val="00914C82"/>
    <w:rsid w:val="00915AC1"/>
    <w:rsid w:val="00915BED"/>
    <w:rsid w:val="00915BF3"/>
    <w:rsid w:val="009165E3"/>
    <w:rsid w:val="00923B11"/>
    <w:rsid w:val="00924217"/>
    <w:rsid w:val="009259F4"/>
    <w:rsid w:val="009267F3"/>
    <w:rsid w:val="00927339"/>
    <w:rsid w:val="00930970"/>
    <w:rsid w:val="00932599"/>
    <w:rsid w:val="009326DA"/>
    <w:rsid w:val="009329FC"/>
    <w:rsid w:val="0093372B"/>
    <w:rsid w:val="00933F1B"/>
    <w:rsid w:val="00934745"/>
    <w:rsid w:val="009355BA"/>
    <w:rsid w:val="00940583"/>
    <w:rsid w:val="00944587"/>
    <w:rsid w:val="009459EF"/>
    <w:rsid w:val="00945C9B"/>
    <w:rsid w:val="00946549"/>
    <w:rsid w:val="00950147"/>
    <w:rsid w:val="00950DAC"/>
    <w:rsid w:val="0095213C"/>
    <w:rsid w:val="009525C8"/>
    <w:rsid w:val="0096108F"/>
    <w:rsid w:val="00961B96"/>
    <w:rsid w:val="00962211"/>
    <w:rsid w:val="009639BE"/>
    <w:rsid w:val="00965F96"/>
    <w:rsid w:val="00966191"/>
    <w:rsid w:val="00966F34"/>
    <w:rsid w:val="00967A99"/>
    <w:rsid w:val="0097075E"/>
    <w:rsid w:val="009711D8"/>
    <w:rsid w:val="009730E7"/>
    <w:rsid w:val="009757BD"/>
    <w:rsid w:val="00975987"/>
    <w:rsid w:val="009819D3"/>
    <w:rsid w:val="00982FCD"/>
    <w:rsid w:val="009832D0"/>
    <w:rsid w:val="00983BDD"/>
    <w:rsid w:val="00984D03"/>
    <w:rsid w:val="00986A1E"/>
    <w:rsid w:val="0098792C"/>
    <w:rsid w:val="00990543"/>
    <w:rsid w:val="00991548"/>
    <w:rsid w:val="009961E3"/>
    <w:rsid w:val="009A040A"/>
    <w:rsid w:val="009A1F77"/>
    <w:rsid w:val="009A24C3"/>
    <w:rsid w:val="009A3E7A"/>
    <w:rsid w:val="009A460C"/>
    <w:rsid w:val="009A564B"/>
    <w:rsid w:val="009A72BD"/>
    <w:rsid w:val="009B1969"/>
    <w:rsid w:val="009B1E50"/>
    <w:rsid w:val="009B367A"/>
    <w:rsid w:val="009C0BF2"/>
    <w:rsid w:val="009C3027"/>
    <w:rsid w:val="009C5F75"/>
    <w:rsid w:val="009C6BF9"/>
    <w:rsid w:val="009C7219"/>
    <w:rsid w:val="009D1D99"/>
    <w:rsid w:val="009D260F"/>
    <w:rsid w:val="009D416A"/>
    <w:rsid w:val="009D51EE"/>
    <w:rsid w:val="009E1A21"/>
    <w:rsid w:val="009E2526"/>
    <w:rsid w:val="009E4A83"/>
    <w:rsid w:val="009E4D52"/>
    <w:rsid w:val="009E53A2"/>
    <w:rsid w:val="009E6203"/>
    <w:rsid w:val="009F5B61"/>
    <w:rsid w:val="009F7690"/>
    <w:rsid w:val="00A04D42"/>
    <w:rsid w:val="00A05019"/>
    <w:rsid w:val="00A058EA"/>
    <w:rsid w:val="00A05986"/>
    <w:rsid w:val="00A06029"/>
    <w:rsid w:val="00A06FE3"/>
    <w:rsid w:val="00A07DF8"/>
    <w:rsid w:val="00A11CCC"/>
    <w:rsid w:val="00A124A8"/>
    <w:rsid w:val="00A14C12"/>
    <w:rsid w:val="00A156DB"/>
    <w:rsid w:val="00A16D2F"/>
    <w:rsid w:val="00A1751A"/>
    <w:rsid w:val="00A20FD9"/>
    <w:rsid w:val="00A255A9"/>
    <w:rsid w:val="00A26EF8"/>
    <w:rsid w:val="00A3033C"/>
    <w:rsid w:val="00A30379"/>
    <w:rsid w:val="00A30654"/>
    <w:rsid w:val="00A31895"/>
    <w:rsid w:val="00A33972"/>
    <w:rsid w:val="00A350A8"/>
    <w:rsid w:val="00A36BA7"/>
    <w:rsid w:val="00A37AA3"/>
    <w:rsid w:val="00A41DEC"/>
    <w:rsid w:val="00A42789"/>
    <w:rsid w:val="00A448F1"/>
    <w:rsid w:val="00A44E55"/>
    <w:rsid w:val="00A46551"/>
    <w:rsid w:val="00A478C2"/>
    <w:rsid w:val="00A50626"/>
    <w:rsid w:val="00A51CD8"/>
    <w:rsid w:val="00A52097"/>
    <w:rsid w:val="00A53C89"/>
    <w:rsid w:val="00A55251"/>
    <w:rsid w:val="00A559FE"/>
    <w:rsid w:val="00A56587"/>
    <w:rsid w:val="00A57385"/>
    <w:rsid w:val="00A57DCB"/>
    <w:rsid w:val="00A60C41"/>
    <w:rsid w:val="00A6210C"/>
    <w:rsid w:val="00A62BC9"/>
    <w:rsid w:val="00A6324D"/>
    <w:rsid w:val="00A6386E"/>
    <w:rsid w:val="00A647FE"/>
    <w:rsid w:val="00A65695"/>
    <w:rsid w:val="00A728B8"/>
    <w:rsid w:val="00A7532E"/>
    <w:rsid w:val="00A86A45"/>
    <w:rsid w:val="00A9127A"/>
    <w:rsid w:val="00A91890"/>
    <w:rsid w:val="00A91BD9"/>
    <w:rsid w:val="00A91EA0"/>
    <w:rsid w:val="00A9452B"/>
    <w:rsid w:val="00A96880"/>
    <w:rsid w:val="00A9762C"/>
    <w:rsid w:val="00A97674"/>
    <w:rsid w:val="00AA0130"/>
    <w:rsid w:val="00AA0EDC"/>
    <w:rsid w:val="00AA21DA"/>
    <w:rsid w:val="00AA26D0"/>
    <w:rsid w:val="00AA5309"/>
    <w:rsid w:val="00AB09BA"/>
    <w:rsid w:val="00AB2535"/>
    <w:rsid w:val="00AB3EFD"/>
    <w:rsid w:val="00AB6B82"/>
    <w:rsid w:val="00AB75DE"/>
    <w:rsid w:val="00AC1831"/>
    <w:rsid w:val="00AC1C22"/>
    <w:rsid w:val="00AC2053"/>
    <w:rsid w:val="00AC2C5B"/>
    <w:rsid w:val="00AC3F5A"/>
    <w:rsid w:val="00AC420A"/>
    <w:rsid w:val="00AC54B5"/>
    <w:rsid w:val="00AD0BC5"/>
    <w:rsid w:val="00AD2DB4"/>
    <w:rsid w:val="00AD545F"/>
    <w:rsid w:val="00AD69ED"/>
    <w:rsid w:val="00AE19BC"/>
    <w:rsid w:val="00AE1D5A"/>
    <w:rsid w:val="00AE2E9B"/>
    <w:rsid w:val="00AE3CBD"/>
    <w:rsid w:val="00AE5843"/>
    <w:rsid w:val="00AE61EC"/>
    <w:rsid w:val="00AF1A21"/>
    <w:rsid w:val="00AF317C"/>
    <w:rsid w:val="00AF51B9"/>
    <w:rsid w:val="00AF709B"/>
    <w:rsid w:val="00AF7795"/>
    <w:rsid w:val="00B01299"/>
    <w:rsid w:val="00B01300"/>
    <w:rsid w:val="00B024B2"/>
    <w:rsid w:val="00B027DD"/>
    <w:rsid w:val="00B04388"/>
    <w:rsid w:val="00B04E8E"/>
    <w:rsid w:val="00B078AB"/>
    <w:rsid w:val="00B07A53"/>
    <w:rsid w:val="00B1480C"/>
    <w:rsid w:val="00B14C0E"/>
    <w:rsid w:val="00B153E1"/>
    <w:rsid w:val="00B16834"/>
    <w:rsid w:val="00B20184"/>
    <w:rsid w:val="00B22591"/>
    <w:rsid w:val="00B22CEB"/>
    <w:rsid w:val="00B22D8B"/>
    <w:rsid w:val="00B24007"/>
    <w:rsid w:val="00B24BC2"/>
    <w:rsid w:val="00B26009"/>
    <w:rsid w:val="00B27F99"/>
    <w:rsid w:val="00B307E3"/>
    <w:rsid w:val="00B34C30"/>
    <w:rsid w:val="00B355C5"/>
    <w:rsid w:val="00B36453"/>
    <w:rsid w:val="00B36B10"/>
    <w:rsid w:val="00B40EE5"/>
    <w:rsid w:val="00B41697"/>
    <w:rsid w:val="00B438EF"/>
    <w:rsid w:val="00B43ED1"/>
    <w:rsid w:val="00B44191"/>
    <w:rsid w:val="00B44EBE"/>
    <w:rsid w:val="00B46879"/>
    <w:rsid w:val="00B474C4"/>
    <w:rsid w:val="00B50EA3"/>
    <w:rsid w:val="00B52552"/>
    <w:rsid w:val="00B54ABB"/>
    <w:rsid w:val="00B54C7E"/>
    <w:rsid w:val="00B578A9"/>
    <w:rsid w:val="00B600DB"/>
    <w:rsid w:val="00B61596"/>
    <w:rsid w:val="00B62732"/>
    <w:rsid w:val="00B63127"/>
    <w:rsid w:val="00B67899"/>
    <w:rsid w:val="00B67B2E"/>
    <w:rsid w:val="00B70510"/>
    <w:rsid w:val="00B706EA"/>
    <w:rsid w:val="00B7169F"/>
    <w:rsid w:val="00B71FB5"/>
    <w:rsid w:val="00B736A6"/>
    <w:rsid w:val="00B7459F"/>
    <w:rsid w:val="00B75E10"/>
    <w:rsid w:val="00B80EDD"/>
    <w:rsid w:val="00B82F0A"/>
    <w:rsid w:val="00B8376D"/>
    <w:rsid w:val="00B83C4F"/>
    <w:rsid w:val="00B84633"/>
    <w:rsid w:val="00B851DD"/>
    <w:rsid w:val="00B86604"/>
    <w:rsid w:val="00B90CA9"/>
    <w:rsid w:val="00B91209"/>
    <w:rsid w:val="00B91424"/>
    <w:rsid w:val="00B92822"/>
    <w:rsid w:val="00B93B7D"/>
    <w:rsid w:val="00B95755"/>
    <w:rsid w:val="00B960E7"/>
    <w:rsid w:val="00B9655D"/>
    <w:rsid w:val="00B96DE5"/>
    <w:rsid w:val="00BA578E"/>
    <w:rsid w:val="00BA6082"/>
    <w:rsid w:val="00BA6087"/>
    <w:rsid w:val="00BA62C6"/>
    <w:rsid w:val="00BA6450"/>
    <w:rsid w:val="00BA645B"/>
    <w:rsid w:val="00BA6901"/>
    <w:rsid w:val="00BB0689"/>
    <w:rsid w:val="00BB18C7"/>
    <w:rsid w:val="00BB2644"/>
    <w:rsid w:val="00BB2C14"/>
    <w:rsid w:val="00BB2DBB"/>
    <w:rsid w:val="00BB3B85"/>
    <w:rsid w:val="00BB53C5"/>
    <w:rsid w:val="00BB7858"/>
    <w:rsid w:val="00BC19C4"/>
    <w:rsid w:val="00BC5DBA"/>
    <w:rsid w:val="00BD04AA"/>
    <w:rsid w:val="00BD08E9"/>
    <w:rsid w:val="00BD0E29"/>
    <w:rsid w:val="00BD0EF8"/>
    <w:rsid w:val="00BD1D4D"/>
    <w:rsid w:val="00BD1DFD"/>
    <w:rsid w:val="00BD35FC"/>
    <w:rsid w:val="00BD3C15"/>
    <w:rsid w:val="00BD41A2"/>
    <w:rsid w:val="00BD6BC4"/>
    <w:rsid w:val="00BE078E"/>
    <w:rsid w:val="00BE23DB"/>
    <w:rsid w:val="00BE30BA"/>
    <w:rsid w:val="00BE3103"/>
    <w:rsid w:val="00BE4FF9"/>
    <w:rsid w:val="00BE51F6"/>
    <w:rsid w:val="00BE54ED"/>
    <w:rsid w:val="00BE5B24"/>
    <w:rsid w:val="00BE61CF"/>
    <w:rsid w:val="00BE65A7"/>
    <w:rsid w:val="00BF0313"/>
    <w:rsid w:val="00BF0CCD"/>
    <w:rsid w:val="00BF3022"/>
    <w:rsid w:val="00BF33F1"/>
    <w:rsid w:val="00BF3B27"/>
    <w:rsid w:val="00BF40D0"/>
    <w:rsid w:val="00BF479D"/>
    <w:rsid w:val="00BF67F6"/>
    <w:rsid w:val="00BF74B3"/>
    <w:rsid w:val="00C022EB"/>
    <w:rsid w:val="00C0318F"/>
    <w:rsid w:val="00C04B9D"/>
    <w:rsid w:val="00C04CB3"/>
    <w:rsid w:val="00C04EEB"/>
    <w:rsid w:val="00C052DC"/>
    <w:rsid w:val="00C0574A"/>
    <w:rsid w:val="00C05CE6"/>
    <w:rsid w:val="00C07758"/>
    <w:rsid w:val="00C0778A"/>
    <w:rsid w:val="00C07875"/>
    <w:rsid w:val="00C115CC"/>
    <w:rsid w:val="00C11625"/>
    <w:rsid w:val="00C143D4"/>
    <w:rsid w:val="00C1542B"/>
    <w:rsid w:val="00C20637"/>
    <w:rsid w:val="00C20CA1"/>
    <w:rsid w:val="00C2262B"/>
    <w:rsid w:val="00C22C39"/>
    <w:rsid w:val="00C24E2F"/>
    <w:rsid w:val="00C256C0"/>
    <w:rsid w:val="00C27923"/>
    <w:rsid w:val="00C27CFF"/>
    <w:rsid w:val="00C30889"/>
    <w:rsid w:val="00C30C87"/>
    <w:rsid w:val="00C30D04"/>
    <w:rsid w:val="00C30EA6"/>
    <w:rsid w:val="00C311FD"/>
    <w:rsid w:val="00C320AD"/>
    <w:rsid w:val="00C32B7F"/>
    <w:rsid w:val="00C35697"/>
    <w:rsid w:val="00C35A5C"/>
    <w:rsid w:val="00C3677A"/>
    <w:rsid w:val="00C36A6F"/>
    <w:rsid w:val="00C40032"/>
    <w:rsid w:val="00C400BF"/>
    <w:rsid w:val="00C41110"/>
    <w:rsid w:val="00C412F3"/>
    <w:rsid w:val="00C41317"/>
    <w:rsid w:val="00C4344F"/>
    <w:rsid w:val="00C46028"/>
    <w:rsid w:val="00C463B1"/>
    <w:rsid w:val="00C50F67"/>
    <w:rsid w:val="00C5199A"/>
    <w:rsid w:val="00C52DAD"/>
    <w:rsid w:val="00C53B7F"/>
    <w:rsid w:val="00C53DCC"/>
    <w:rsid w:val="00C56B1B"/>
    <w:rsid w:val="00C5722F"/>
    <w:rsid w:val="00C600AA"/>
    <w:rsid w:val="00C61CE2"/>
    <w:rsid w:val="00C62632"/>
    <w:rsid w:val="00C63270"/>
    <w:rsid w:val="00C63773"/>
    <w:rsid w:val="00C641F7"/>
    <w:rsid w:val="00C6453E"/>
    <w:rsid w:val="00C64D61"/>
    <w:rsid w:val="00C65E55"/>
    <w:rsid w:val="00C6693F"/>
    <w:rsid w:val="00C67405"/>
    <w:rsid w:val="00C676D7"/>
    <w:rsid w:val="00C71668"/>
    <w:rsid w:val="00C735F4"/>
    <w:rsid w:val="00C75A89"/>
    <w:rsid w:val="00C762B6"/>
    <w:rsid w:val="00C76938"/>
    <w:rsid w:val="00C8212C"/>
    <w:rsid w:val="00C8271B"/>
    <w:rsid w:val="00C82D75"/>
    <w:rsid w:val="00C8560C"/>
    <w:rsid w:val="00C8684B"/>
    <w:rsid w:val="00C86E64"/>
    <w:rsid w:val="00C902E6"/>
    <w:rsid w:val="00C90B10"/>
    <w:rsid w:val="00C93186"/>
    <w:rsid w:val="00C93F62"/>
    <w:rsid w:val="00C9401A"/>
    <w:rsid w:val="00C94562"/>
    <w:rsid w:val="00C95F20"/>
    <w:rsid w:val="00C96F67"/>
    <w:rsid w:val="00CA0049"/>
    <w:rsid w:val="00CA0485"/>
    <w:rsid w:val="00CA114C"/>
    <w:rsid w:val="00CA2F65"/>
    <w:rsid w:val="00CA418D"/>
    <w:rsid w:val="00CA4DBD"/>
    <w:rsid w:val="00CA68AF"/>
    <w:rsid w:val="00CA699D"/>
    <w:rsid w:val="00CA6F90"/>
    <w:rsid w:val="00CA7CFA"/>
    <w:rsid w:val="00CB1F6F"/>
    <w:rsid w:val="00CB53AA"/>
    <w:rsid w:val="00CB6778"/>
    <w:rsid w:val="00CB7CD5"/>
    <w:rsid w:val="00CC030A"/>
    <w:rsid w:val="00CC06E7"/>
    <w:rsid w:val="00CC0990"/>
    <w:rsid w:val="00CC140F"/>
    <w:rsid w:val="00CC215B"/>
    <w:rsid w:val="00CC2EB7"/>
    <w:rsid w:val="00CC3B27"/>
    <w:rsid w:val="00CC58EC"/>
    <w:rsid w:val="00CC7230"/>
    <w:rsid w:val="00CC779A"/>
    <w:rsid w:val="00CC7B3A"/>
    <w:rsid w:val="00CD10C2"/>
    <w:rsid w:val="00CD1581"/>
    <w:rsid w:val="00CD1769"/>
    <w:rsid w:val="00CD25F1"/>
    <w:rsid w:val="00CD5497"/>
    <w:rsid w:val="00CD60B9"/>
    <w:rsid w:val="00CD6406"/>
    <w:rsid w:val="00CE09FB"/>
    <w:rsid w:val="00CE23A2"/>
    <w:rsid w:val="00CE2664"/>
    <w:rsid w:val="00CE2C37"/>
    <w:rsid w:val="00CE33F6"/>
    <w:rsid w:val="00CE34C8"/>
    <w:rsid w:val="00CE5D05"/>
    <w:rsid w:val="00CF02C5"/>
    <w:rsid w:val="00CF0C83"/>
    <w:rsid w:val="00CF1660"/>
    <w:rsid w:val="00CF1FD6"/>
    <w:rsid w:val="00CF48A8"/>
    <w:rsid w:val="00D00DAC"/>
    <w:rsid w:val="00D01BFA"/>
    <w:rsid w:val="00D0387D"/>
    <w:rsid w:val="00D06975"/>
    <w:rsid w:val="00D10302"/>
    <w:rsid w:val="00D125BE"/>
    <w:rsid w:val="00D12D2C"/>
    <w:rsid w:val="00D13663"/>
    <w:rsid w:val="00D13B76"/>
    <w:rsid w:val="00D1459D"/>
    <w:rsid w:val="00D14948"/>
    <w:rsid w:val="00D14FA8"/>
    <w:rsid w:val="00D1593D"/>
    <w:rsid w:val="00D1738D"/>
    <w:rsid w:val="00D2071D"/>
    <w:rsid w:val="00D20D70"/>
    <w:rsid w:val="00D210B0"/>
    <w:rsid w:val="00D22EC7"/>
    <w:rsid w:val="00D2500D"/>
    <w:rsid w:val="00D256E3"/>
    <w:rsid w:val="00D263CC"/>
    <w:rsid w:val="00D26FC4"/>
    <w:rsid w:val="00D273D6"/>
    <w:rsid w:val="00D30149"/>
    <w:rsid w:val="00D30FE1"/>
    <w:rsid w:val="00D31355"/>
    <w:rsid w:val="00D3359E"/>
    <w:rsid w:val="00D3427E"/>
    <w:rsid w:val="00D3629C"/>
    <w:rsid w:val="00D3684B"/>
    <w:rsid w:val="00D3768F"/>
    <w:rsid w:val="00D41F00"/>
    <w:rsid w:val="00D43E1F"/>
    <w:rsid w:val="00D43E4D"/>
    <w:rsid w:val="00D4440A"/>
    <w:rsid w:val="00D448C6"/>
    <w:rsid w:val="00D46507"/>
    <w:rsid w:val="00D46623"/>
    <w:rsid w:val="00D46E24"/>
    <w:rsid w:val="00D50BCD"/>
    <w:rsid w:val="00D518CA"/>
    <w:rsid w:val="00D520C4"/>
    <w:rsid w:val="00D55CA1"/>
    <w:rsid w:val="00D5615B"/>
    <w:rsid w:val="00D5649B"/>
    <w:rsid w:val="00D60C74"/>
    <w:rsid w:val="00D63422"/>
    <w:rsid w:val="00D6344B"/>
    <w:rsid w:val="00D63FB6"/>
    <w:rsid w:val="00D654E3"/>
    <w:rsid w:val="00D658B2"/>
    <w:rsid w:val="00D66556"/>
    <w:rsid w:val="00D67997"/>
    <w:rsid w:val="00D70A7A"/>
    <w:rsid w:val="00D70E50"/>
    <w:rsid w:val="00D71397"/>
    <w:rsid w:val="00D734AF"/>
    <w:rsid w:val="00D7414F"/>
    <w:rsid w:val="00D74DA7"/>
    <w:rsid w:val="00D753C5"/>
    <w:rsid w:val="00D81683"/>
    <w:rsid w:val="00D81DF5"/>
    <w:rsid w:val="00D83559"/>
    <w:rsid w:val="00D862A0"/>
    <w:rsid w:val="00D8685E"/>
    <w:rsid w:val="00D90033"/>
    <w:rsid w:val="00D91B07"/>
    <w:rsid w:val="00D9374C"/>
    <w:rsid w:val="00D979F2"/>
    <w:rsid w:val="00D97A0F"/>
    <w:rsid w:val="00DA1191"/>
    <w:rsid w:val="00DA2EBD"/>
    <w:rsid w:val="00DA4BA3"/>
    <w:rsid w:val="00DA53DF"/>
    <w:rsid w:val="00DA5739"/>
    <w:rsid w:val="00DA5FB1"/>
    <w:rsid w:val="00DB13FF"/>
    <w:rsid w:val="00DB2615"/>
    <w:rsid w:val="00DB4FC8"/>
    <w:rsid w:val="00DB671C"/>
    <w:rsid w:val="00DB74BB"/>
    <w:rsid w:val="00DC06D1"/>
    <w:rsid w:val="00DC1569"/>
    <w:rsid w:val="00DC2A93"/>
    <w:rsid w:val="00DC43E7"/>
    <w:rsid w:val="00DD0704"/>
    <w:rsid w:val="00DD413A"/>
    <w:rsid w:val="00DD4432"/>
    <w:rsid w:val="00DD503E"/>
    <w:rsid w:val="00DD5E08"/>
    <w:rsid w:val="00DD7B6D"/>
    <w:rsid w:val="00DE0495"/>
    <w:rsid w:val="00DE1FA7"/>
    <w:rsid w:val="00DE2587"/>
    <w:rsid w:val="00DE6201"/>
    <w:rsid w:val="00DE626B"/>
    <w:rsid w:val="00DE66C2"/>
    <w:rsid w:val="00DE7CCA"/>
    <w:rsid w:val="00DF0C2C"/>
    <w:rsid w:val="00DF1603"/>
    <w:rsid w:val="00DF5539"/>
    <w:rsid w:val="00E007A1"/>
    <w:rsid w:val="00E00BEA"/>
    <w:rsid w:val="00E03D76"/>
    <w:rsid w:val="00E05854"/>
    <w:rsid w:val="00E069D9"/>
    <w:rsid w:val="00E102B8"/>
    <w:rsid w:val="00E10428"/>
    <w:rsid w:val="00E106F4"/>
    <w:rsid w:val="00E1114B"/>
    <w:rsid w:val="00E13B85"/>
    <w:rsid w:val="00E162F2"/>
    <w:rsid w:val="00E2032F"/>
    <w:rsid w:val="00E212CF"/>
    <w:rsid w:val="00E221DE"/>
    <w:rsid w:val="00E223FC"/>
    <w:rsid w:val="00E243BD"/>
    <w:rsid w:val="00E25777"/>
    <w:rsid w:val="00E262F0"/>
    <w:rsid w:val="00E32C38"/>
    <w:rsid w:val="00E354C1"/>
    <w:rsid w:val="00E36FBF"/>
    <w:rsid w:val="00E40146"/>
    <w:rsid w:val="00E42A7D"/>
    <w:rsid w:val="00E45567"/>
    <w:rsid w:val="00E479D5"/>
    <w:rsid w:val="00E502FA"/>
    <w:rsid w:val="00E50AEA"/>
    <w:rsid w:val="00E51FE5"/>
    <w:rsid w:val="00E5208B"/>
    <w:rsid w:val="00E53AE8"/>
    <w:rsid w:val="00E54F79"/>
    <w:rsid w:val="00E57638"/>
    <w:rsid w:val="00E62B76"/>
    <w:rsid w:val="00E633D7"/>
    <w:rsid w:val="00E63A7A"/>
    <w:rsid w:val="00E64D08"/>
    <w:rsid w:val="00E64DA3"/>
    <w:rsid w:val="00E651E7"/>
    <w:rsid w:val="00E67602"/>
    <w:rsid w:val="00E67D6C"/>
    <w:rsid w:val="00E72F70"/>
    <w:rsid w:val="00E73505"/>
    <w:rsid w:val="00E74136"/>
    <w:rsid w:val="00E745C9"/>
    <w:rsid w:val="00E747A8"/>
    <w:rsid w:val="00E7495B"/>
    <w:rsid w:val="00E76322"/>
    <w:rsid w:val="00E7776C"/>
    <w:rsid w:val="00E80728"/>
    <w:rsid w:val="00E8274D"/>
    <w:rsid w:val="00E83609"/>
    <w:rsid w:val="00E83E57"/>
    <w:rsid w:val="00E84183"/>
    <w:rsid w:val="00E84675"/>
    <w:rsid w:val="00E8518E"/>
    <w:rsid w:val="00E8593E"/>
    <w:rsid w:val="00E863AB"/>
    <w:rsid w:val="00E8643B"/>
    <w:rsid w:val="00E86A1E"/>
    <w:rsid w:val="00E86BE1"/>
    <w:rsid w:val="00E87DFB"/>
    <w:rsid w:val="00E903E7"/>
    <w:rsid w:val="00E914DE"/>
    <w:rsid w:val="00E91D4D"/>
    <w:rsid w:val="00E9560B"/>
    <w:rsid w:val="00E9630C"/>
    <w:rsid w:val="00E9686B"/>
    <w:rsid w:val="00E976D2"/>
    <w:rsid w:val="00E97BCE"/>
    <w:rsid w:val="00EA094D"/>
    <w:rsid w:val="00EA0A37"/>
    <w:rsid w:val="00EA1195"/>
    <w:rsid w:val="00EA2408"/>
    <w:rsid w:val="00EA2916"/>
    <w:rsid w:val="00EA3461"/>
    <w:rsid w:val="00EA40BA"/>
    <w:rsid w:val="00EA43BF"/>
    <w:rsid w:val="00EA7AD5"/>
    <w:rsid w:val="00EA7CA6"/>
    <w:rsid w:val="00EB00CC"/>
    <w:rsid w:val="00EB0496"/>
    <w:rsid w:val="00EB16E4"/>
    <w:rsid w:val="00EB1DAB"/>
    <w:rsid w:val="00EB2F11"/>
    <w:rsid w:val="00EB3B59"/>
    <w:rsid w:val="00EB3ED1"/>
    <w:rsid w:val="00EB650C"/>
    <w:rsid w:val="00EB7D15"/>
    <w:rsid w:val="00EC0AB6"/>
    <w:rsid w:val="00EC1145"/>
    <w:rsid w:val="00EC33C0"/>
    <w:rsid w:val="00EC5175"/>
    <w:rsid w:val="00EC75B4"/>
    <w:rsid w:val="00EC7769"/>
    <w:rsid w:val="00ED0E3B"/>
    <w:rsid w:val="00ED4D76"/>
    <w:rsid w:val="00ED564F"/>
    <w:rsid w:val="00ED7738"/>
    <w:rsid w:val="00ED7827"/>
    <w:rsid w:val="00EE0139"/>
    <w:rsid w:val="00EE1B10"/>
    <w:rsid w:val="00EE2FCD"/>
    <w:rsid w:val="00EE37BA"/>
    <w:rsid w:val="00EE3B2C"/>
    <w:rsid w:val="00EE3D61"/>
    <w:rsid w:val="00EE557E"/>
    <w:rsid w:val="00EE5DD1"/>
    <w:rsid w:val="00EE7077"/>
    <w:rsid w:val="00EE7E30"/>
    <w:rsid w:val="00EF11F7"/>
    <w:rsid w:val="00EF13B0"/>
    <w:rsid w:val="00EF1DAB"/>
    <w:rsid w:val="00EF26DD"/>
    <w:rsid w:val="00EF29F1"/>
    <w:rsid w:val="00EF2B15"/>
    <w:rsid w:val="00EF2D92"/>
    <w:rsid w:val="00EF3F4F"/>
    <w:rsid w:val="00EF6DB2"/>
    <w:rsid w:val="00EF6FF0"/>
    <w:rsid w:val="00EF7C3A"/>
    <w:rsid w:val="00F033A6"/>
    <w:rsid w:val="00F0438A"/>
    <w:rsid w:val="00F04C89"/>
    <w:rsid w:val="00F04E91"/>
    <w:rsid w:val="00F07F5E"/>
    <w:rsid w:val="00F10DF7"/>
    <w:rsid w:val="00F11578"/>
    <w:rsid w:val="00F11907"/>
    <w:rsid w:val="00F11E4B"/>
    <w:rsid w:val="00F1369B"/>
    <w:rsid w:val="00F1393C"/>
    <w:rsid w:val="00F13B93"/>
    <w:rsid w:val="00F20055"/>
    <w:rsid w:val="00F20526"/>
    <w:rsid w:val="00F20C6A"/>
    <w:rsid w:val="00F2128A"/>
    <w:rsid w:val="00F21462"/>
    <w:rsid w:val="00F21FBF"/>
    <w:rsid w:val="00F2271E"/>
    <w:rsid w:val="00F22F61"/>
    <w:rsid w:val="00F242D6"/>
    <w:rsid w:val="00F24B31"/>
    <w:rsid w:val="00F24D82"/>
    <w:rsid w:val="00F26DBD"/>
    <w:rsid w:val="00F2749F"/>
    <w:rsid w:val="00F30CBC"/>
    <w:rsid w:val="00F31757"/>
    <w:rsid w:val="00F31FC5"/>
    <w:rsid w:val="00F32D3B"/>
    <w:rsid w:val="00F33AB3"/>
    <w:rsid w:val="00F33F4D"/>
    <w:rsid w:val="00F347BE"/>
    <w:rsid w:val="00F35F34"/>
    <w:rsid w:val="00F36B09"/>
    <w:rsid w:val="00F37361"/>
    <w:rsid w:val="00F37BD7"/>
    <w:rsid w:val="00F37D9B"/>
    <w:rsid w:val="00F41044"/>
    <w:rsid w:val="00F4204E"/>
    <w:rsid w:val="00F4248F"/>
    <w:rsid w:val="00F424DE"/>
    <w:rsid w:val="00F428B4"/>
    <w:rsid w:val="00F45B9B"/>
    <w:rsid w:val="00F45FA1"/>
    <w:rsid w:val="00F45FD6"/>
    <w:rsid w:val="00F47FC2"/>
    <w:rsid w:val="00F5127D"/>
    <w:rsid w:val="00F5308A"/>
    <w:rsid w:val="00F54D63"/>
    <w:rsid w:val="00F604E8"/>
    <w:rsid w:val="00F61632"/>
    <w:rsid w:val="00F62370"/>
    <w:rsid w:val="00F62B8E"/>
    <w:rsid w:val="00F638C6"/>
    <w:rsid w:val="00F6520C"/>
    <w:rsid w:val="00F6764C"/>
    <w:rsid w:val="00F67994"/>
    <w:rsid w:val="00F67BF8"/>
    <w:rsid w:val="00F717EE"/>
    <w:rsid w:val="00F71DFA"/>
    <w:rsid w:val="00F7429B"/>
    <w:rsid w:val="00F74BFD"/>
    <w:rsid w:val="00F753E7"/>
    <w:rsid w:val="00F75715"/>
    <w:rsid w:val="00F77D7A"/>
    <w:rsid w:val="00F80F6E"/>
    <w:rsid w:val="00F83639"/>
    <w:rsid w:val="00F83C5A"/>
    <w:rsid w:val="00F845DA"/>
    <w:rsid w:val="00F84702"/>
    <w:rsid w:val="00F87D69"/>
    <w:rsid w:val="00F90D6A"/>
    <w:rsid w:val="00F91E4B"/>
    <w:rsid w:val="00F91E5D"/>
    <w:rsid w:val="00F91FBC"/>
    <w:rsid w:val="00F97150"/>
    <w:rsid w:val="00FA0DC4"/>
    <w:rsid w:val="00FA11F4"/>
    <w:rsid w:val="00FA19C1"/>
    <w:rsid w:val="00FA272D"/>
    <w:rsid w:val="00FA6C98"/>
    <w:rsid w:val="00FA789A"/>
    <w:rsid w:val="00FA7BD2"/>
    <w:rsid w:val="00FA7ED5"/>
    <w:rsid w:val="00FB0C59"/>
    <w:rsid w:val="00FB271E"/>
    <w:rsid w:val="00FB2F02"/>
    <w:rsid w:val="00FB3817"/>
    <w:rsid w:val="00FB6990"/>
    <w:rsid w:val="00FB7E2B"/>
    <w:rsid w:val="00FC0CF8"/>
    <w:rsid w:val="00FC1822"/>
    <w:rsid w:val="00FC6809"/>
    <w:rsid w:val="00FC77CA"/>
    <w:rsid w:val="00FD1CF3"/>
    <w:rsid w:val="00FD2125"/>
    <w:rsid w:val="00FD33F8"/>
    <w:rsid w:val="00FD3EA6"/>
    <w:rsid w:val="00FD3F85"/>
    <w:rsid w:val="00FD6228"/>
    <w:rsid w:val="00FD6439"/>
    <w:rsid w:val="00FE2474"/>
    <w:rsid w:val="00FE58E1"/>
    <w:rsid w:val="00FE5CF6"/>
    <w:rsid w:val="00FE5F30"/>
    <w:rsid w:val="00FE61FE"/>
    <w:rsid w:val="00FE70F9"/>
    <w:rsid w:val="00FF06F6"/>
    <w:rsid w:val="00FF135E"/>
    <w:rsid w:val="00FF1B83"/>
    <w:rsid w:val="00FF57C8"/>
    <w:rsid w:val="00FF5EE8"/>
    <w:rsid w:val="00FF683B"/>
    <w:rsid w:val="00FF7A35"/>
    <w:rsid w:val="00FF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F922F3"/>
  <w15:docId w15:val="{9CAE927F-E802-4FFF-8A42-0420110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C1"/>
    <w:rPr>
      <w:sz w:val="24"/>
      <w:lang w:eastAsia="en-US" w:bidi="ar-SA"/>
    </w:rPr>
  </w:style>
  <w:style w:type="paragraph" w:styleId="Heading2">
    <w:name w:val="heading 2"/>
    <w:next w:val="Body"/>
    <w:link w:val="Heading2Char"/>
    <w:qFormat/>
    <w:rsid w:val="00385F17"/>
    <w:pPr>
      <w:keepNext/>
      <w:outlineLvl w:val="1"/>
    </w:pPr>
    <w:rPr>
      <w:rFonts w:ascii="Helvetica" w:eastAsia="ヒラギノ角ゴ Pro W3" w:hAnsi="Helvetica"/>
      <w:b/>
      <w:color w:val="000000"/>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2914"/>
    <w:rPr>
      <w:rFonts w:ascii="Lucida Grande" w:hAnsi="Lucida Grande"/>
      <w:sz w:val="18"/>
      <w:szCs w:val="18"/>
    </w:rPr>
  </w:style>
  <w:style w:type="paragraph" w:styleId="Header">
    <w:name w:val="header"/>
    <w:basedOn w:val="Normal"/>
    <w:link w:val="HeaderChar"/>
    <w:uiPriority w:val="99"/>
    <w:unhideWhenUsed/>
    <w:rsid w:val="00F90D6A"/>
    <w:pPr>
      <w:tabs>
        <w:tab w:val="center" w:pos="4320"/>
        <w:tab w:val="right" w:pos="8640"/>
      </w:tabs>
    </w:pPr>
    <w:rPr>
      <w:rFonts w:cs="Arial Unicode MS"/>
      <w:lang w:bidi="km-KH"/>
    </w:rPr>
  </w:style>
  <w:style w:type="character" w:customStyle="1" w:styleId="HeaderChar">
    <w:name w:val="Header Char"/>
    <w:link w:val="Header"/>
    <w:uiPriority w:val="99"/>
    <w:rsid w:val="00F90D6A"/>
    <w:rPr>
      <w:sz w:val="24"/>
      <w:lang w:eastAsia="en-US"/>
    </w:rPr>
  </w:style>
  <w:style w:type="paragraph" w:styleId="Footer">
    <w:name w:val="footer"/>
    <w:basedOn w:val="Normal"/>
    <w:link w:val="FooterChar"/>
    <w:uiPriority w:val="99"/>
    <w:unhideWhenUsed/>
    <w:rsid w:val="00F90D6A"/>
    <w:pPr>
      <w:tabs>
        <w:tab w:val="center" w:pos="4320"/>
        <w:tab w:val="right" w:pos="8640"/>
      </w:tabs>
    </w:pPr>
    <w:rPr>
      <w:rFonts w:cs="Arial Unicode MS"/>
      <w:lang w:bidi="km-KH"/>
    </w:rPr>
  </w:style>
  <w:style w:type="character" w:customStyle="1" w:styleId="FooterChar">
    <w:name w:val="Footer Char"/>
    <w:link w:val="Footer"/>
    <w:uiPriority w:val="99"/>
    <w:rsid w:val="00F90D6A"/>
    <w:rPr>
      <w:sz w:val="24"/>
      <w:lang w:eastAsia="en-US"/>
    </w:rPr>
  </w:style>
  <w:style w:type="character" w:styleId="PageNumber">
    <w:name w:val="page number"/>
    <w:basedOn w:val="DefaultParagraphFont"/>
    <w:uiPriority w:val="99"/>
    <w:semiHidden/>
    <w:unhideWhenUsed/>
    <w:rsid w:val="00F90D6A"/>
  </w:style>
  <w:style w:type="table" w:styleId="TableGrid">
    <w:name w:val="Table Grid"/>
    <w:basedOn w:val="TableNormal"/>
    <w:uiPriority w:val="59"/>
    <w:rsid w:val="00F9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0"/>
    <w:rsid w:val="00F90D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List-Accent11">
    <w:name w:val="Colorful List - Accent 11"/>
    <w:basedOn w:val="Normal"/>
    <w:qFormat/>
    <w:rsid w:val="00731A8D"/>
    <w:pPr>
      <w:ind w:left="720"/>
      <w:contextualSpacing/>
    </w:pPr>
  </w:style>
  <w:style w:type="table" w:customStyle="1" w:styleId="IntenseQuote1">
    <w:name w:val="Intense Quote1"/>
    <w:basedOn w:val="TableNormal"/>
    <w:uiPriority w:val="60"/>
    <w:qFormat/>
    <w:rsid w:val="00731A8D"/>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7209D"/>
    <w:pPr>
      <w:spacing w:before="100" w:beforeAutospacing="1" w:after="100" w:afterAutospacing="1"/>
    </w:pPr>
    <w:rPr>
      <w:rFonts w:ascii="Times" w:hAnsi="Times"/>
      <w:sz w:val="20"/>
    </w:rPr>
  </w:style>
  <w:style w:type="character" w:styleId="CommentReference">
    <w:name w:val="annotation reference"/>
    <w:unhideWhenUsed/>
    <w:rsid w:val="00C8212C"/>
    <w:rPr>
      <w:sz w:val="18"/>
      <w:szCs w:val="18"/>
    </w:rPr>
  </w:style>
  <w:style w:type="paragraph" w:styleId="CommentText">
    <w:name w:val="annotation text"/>
    <w:basedOn w:val="Normal"/>
    <w:link w:val="CommentTextChar"/>
    <w:unhideWhenUsed/>
    <w:rsid w:val="00C8212C"/>
    <w:rPr>
      <w:rFonts w:cs="Arial Unicode MS"/>
      <w:szCs w:val="24"/>
      <w:lang w:bidi="km-KH"/>
    </w:rPr>
  </w:style>
  <w:style w:type="character" w:customStyle="1" w:styleId="CommentTextChar">
    <w:name w:val="Comment Text Char"/>
    <w:link w:val="CommentText"/>
    <w:rsid w:val="00C8212C"/>
    <w:rPr>
      <w:sz w:val="24"/>
      <w:szCs w:val="24"/>
      <w:lang w:eastAsia="en-US"/>
    </w:rPr>
  </w:style>
  <w:style w:type="paragraph" w:styleId="CommentSubject">
    <w:name w:val="annotation subject"/>
    <w:basedOn w:val="CommentText"/>
    <w:next w:val="CommentText"/>
    <w:link w:val="CommentSubjectChar"/>
    <w:uiPriority w:val="99"/>
    <w:semiHidden/>
    <w:unhideWhenUsed/>
    <w:rsid w:val="00C8212C"/>
    <w:rPr>
      <w:b/>
      <w:bCs/>
    </w:rPr>
  </w:style>
  <w:style w:type="character" w:customStyle="1" w:styleId="CommentSubjectChar">
    <w:name w:val="Comment Subject Char"/>
    <w:link w:val="CommentSubject"/>
    <w:uiPriority w:val="99"/>
    <w:semiHidden/>
    <w:rsid w:val="00C8212C"/>
    <w:rPr>
      <w:b/>
      <w:bCs/>
      <w:sz w:val="24"/>
      <w:szCs w:val="24"/>
      <w:lang w:eastAsia="en-US"/>
    </w:rPr>
  </w:style>
  <w:style w:type="paragraph" w:styleId="FootnoteText">
    <w:name w:val="footnote text"/>
    <w:basedOn w:val="Normal"/>
    <w:link w:val="FootnoteTextChar"/>
    <w:uiPriority w:val="99"/>
    <w:unhideWhenUsed/>
    <w:rsid w:val="002232A4"/>
    <w:rPr>
      <w:rFonts w:cs="Arial Unicode MS"/>
      <w:szCs w:val="24"/>
      <w:lang w:bidi="km-KH"/>
    </w:rPr>
  </w:style>
  <w:style w:type="character" w:customStyle="1" w:styleId="FootnoteTextChar">
    <w:name w:val="Footnote Text Char"/>
    <w:link w:val="FootnoteText"/>
    <w:uiPriority w:val="99"/>
    <w:rsid w:val="002232A4"/>
    <w:rPr>
      <w:sz w:val="24"/>
      <w:szCs w:val="24"/>
      <w:lang w:eastAsia="en-US"/>
    </w:rPr>
  </w:style>
  <w:style w:type="character" w:styleId="FootnoteReference">
    <w:name w:val="footnote reference"/>
    <w:uiPriority w:val="99"/>
    <w:unhideWhenUsed/>
    <w:rsid w:val="002232A4"/>
    <w:rPr>
      <w:vertAlign w:val="superscript"/>
    </w:rPr>
  </w:style>
  <w:style w:type="paragraph" w:styleId="DocumentMap">
    <w:name w:val="Document Map"/>
    <w:basedOn w:val="Normal"/>
    <w:link w:val="DocumentMapChar"/>
    <w:uiPriority w:val="99"/>
    <w:semiHidden/>
    <w:unhideWhenUsed/>
    <w:rsid w:val="00BF3B27"/>
    <w:rPr>
      <w:rFonts w:ascii="Lucida Grande" w:hAnsi="Lucida Grande" w:cs="Arial Unicode MS"/>
      <w:szCs w:val="24"/>
      <w:lang w:bidi="km-KH"/>
    </w:rPr>
  </w:style>
  <w:style w:type="character" w:customStyle="1" w:styleId="DocumentMapChar">
    <w:name w:val="Document Map Char"/>
    <w:link w:val="DocumentMap"/>
    <w:uiPriority w:val="99"/>
    <w:semiHidden/>
    <w:rsid w:val="00BF3B27"/>
    <w:rPr>
      <w:rFonts w:ascii="Lucida Grande" w:hAnsi="Lucida Grande" w:cs="Lucida Grande"/>
      <w:sz w:val="24"/>
      <w:szCs w:val="24"/>
      <w:lang w:eastAsia="en-US"/>
    </w:rPr>
  </w:style>
  <w:style w:type="paragraph" w:customStyle="1" w:styleId="ColorfulShading-Accent11">
    <w:name w:val="Colorful Shading - Accent 11"/>
    <w:hidden/>
    <w:uiPriority w:val="99"/>
    <w:semiHidden/>
    <w:rsid w:val="00C86E64"/>
    <w:rPr>
      <w:sz w:val="24"/>
      <w:lang w:eastAsia="en-US" w:bidi="ar-SA"/>
    </w:rPr>
  </w:style>
  <w:style w:type="character" w:styleId="HTMLCite">
    <w:name w:val="HTML Cite"/>
    <w:uiPriority w:val="99"/>
    <w:semiHidden/>
    <w:unhideWhenUsed/>
    <w:rsid w:val="00835D56"/>
    <w:rPr>
      <w:i/>
      <w:iCs/>
    </w:rPr>
  </w:style>
  <w:style w:type="character" w:styleId="Hyperlink">
    <w:name w:val="Hyperlink"/>
    <w:uiPriority w:val="99"/>
    <w:rsid w:val="00950147"/>
    <w:rPr>
      <w:color w:val="0000FF"/>
      <w:u w:val="single"/>
    </w:rPr>
  </w:style>
  <w:style w:type="paragraph" w:customStyle="1" w:styleId="ColorfulList-Accent12">
    <w:name w:val="Colorful List - Accent 12"/>
    <w:basedOn w:val="Normal"/>
    <w:qFormat/>
    <w:rsid w:val="00377EDB"/>
    <w:pPr>
      <w:ind w:left="720"/>
      <w:contextualSpacing/>
    </w:pPr>
  </w:style>
  <w:style w:type="character" w:customStyle="1" w:styleId="epc">
    <w:name w:val="epc"/>
    <w:semiHidden/>
    <w:rsid w:val="00195E3F"/>
    <w:rPr>
      <w:rFonts w:ascii="Garamond" w:hAnsi="Garamond"/>
      <w:b w:val="0"/>
      <w:bCs w:val="0"/>
      <w:i w:val="0"/>
      <w:iCs w:val="0"/>
      <w:strike w:val="0"/>
      <w:color w:val="auto"/>
      <w:sz w:val="24"/>
      <w:szCs w:val="24"/>
      <w:u w:val="none"/>
    </w:rPr>
  </w:style>
  <w:style w:type="character" w:customStyle="1" w:styleId="Heading2Char">
    <w:name w:val="Heading 2 Char"/>
    <w:basedOn w:val="DefaultParagraphFont"/>
    <w:link w:val="Heading2"/>
    <w:rsid w:val="00385F17"/>
    <w:rPr>
      <w:rFonts w:ascii="Helvetica" w:eastAsia="ヒラギノ角ゴ Pro W3" w:hAnsi="Helvetica"/>
      <w:b/>
      <w:color w:val="000000"/>
      <w:sz w:val="24"/>
      <w:lang w:val="en-US" w:eastAsia="en-US" w:bidi="ar-SA"/>
    </w:rPr>
  </w:style>
  <w:style w:type="paragraph" w:customStyle="1" w:styleId="Body">
    <w:name w:val="Body"/>
    <w:rsid w:val="00385F17"/>
    <w:rPr>
      <w:rFonts w:ascii="Helvetica" w:eastAsia="ヒラギノ角ゴ Pro W3" w:hAnsi="Helvetica"/>
      <w:color w:val="000000"/>
      <w:sz w:val="24"/>
      <w:lang w:eastAsia="en-US" w:bidi="ar-SA"/>
    </w:rPr>
  </w:style>
  <w:style w:type="paragraph" w:customStyle="1" w:styleId="FreeForm">
    <w:name w:val="Free Form"/>
    <w:rsid w:val="00385F17"/>
    <w:rPr>
      <w:rFonts w:ascii="Helvetica" w:eastAsia="ヒラギノ角ゴ Pro W3" w:hAnsi="Helvetica"/>
      <w:color w:val="000000"/>
      <w:sz w:val="24"/>
      <w:lang w:eastAsia="en-US" w:bidi="ar-SA"/>
    </w:rPr>
  </w:style>
  <w:style w:type="paragraph" w:styleId="Title">
    <w:name w:val="Title"/>
    <w:basedOn w:val="Normal"/>
    <w:link w:val="TitleChar"/>
    <w:qFormat/>
    <w:rsid w:val="00F45FA1"/>
    <w:pPr>
      <w:jc w:val="center"/>
    </w:pPr>
    <w:rPr>
      <w:rFonts w:eastAsia="Times New Roman"/>
      <w:b/>
      <w:bCs/>
      <w:sz w:val="28"/>
      <w:szCs w:val="24"/>
    </w:rPr>
  </w:style>
  <w:style w:type="character" w:customStyle="1" w:styleId="TitleChar">
    <w:name w:val="Title Char"/>
    <w:basedOn w:val="DefaultParagraphFont"/>
    <w:link w:val="Title"/>
    <w:rsid w:val="00F45FA1"/>
    <w:rPr>
      <w:rFonts w:eastAsia="Times New Roman"/>
      <w:b/>
      <w:bCs/>
      <w:sz w:val="28"/>
      <w:szCs w:val="24"/>
    </w:rPr>
  </w:style>
  <w:style w:type="paragraph" w:styleId="ListParagraph">
    <w:name w:val="List Paragraph"/>
    <w:basedOn w:val="Normal"/>
    <w:link w:val="ListParagraphChar"/>
    <w:uiPriority w:val="72"/>
    <w:qFormat/>
    <w:rsid w:val="00F45FA1"/>
    <w:pPr>
      <w:ind w:left="720"/>
    </w:pPr>
    <w:rPr>
      <w:rFonts w:eastAsia="Times New Roman" w:cs="Arial Unicode MS"/>
      <w:sz w:val="20"/>
      <w:lang w:bidi="km-KH"/>
    </w:rPr>
  </w:style>
  <w:style w:type="character" w:customStyle="1" w:styleId="ListParagraphChar">
    <w:name w:val="List Paragraph Char"/>
    <w:link w:val="ListParagraph"/>
    <w:uiPriority w:val="72"/>
    <w:locked/>
    <w:rsid w:val="005D5219"/>
    <w:rPr>
      <w:rFonts w:eastAsia="Times New Roman"/>
    </w:rPr>
  </w:style>
  <w:style w:type="character" w:styleId="FollowedHyperlink">
    <w:name w:val="FollowedHyperlink"/>
    <w:basedOn w:val="DefaultParagraphFont"/>
    <w:uiPriority w:val="99"/>
    <w:semiHidden/>
    <w:unhideWhenUsed/>
    <w:rsid w:val="00EB2F11"/>
    <w:rPr>
      <w:color w:val="800080"/>
      <w:u w:val="single"/>
    </w:rPr>
  </w:style>
  <w:style w:type="paragraph" w:styleId="Revision">
    <w:name w:val="Revision"/>
    <w:hidden/>
    <w:uiPriority w:val="99"/>
    <w:semiHidden/>
    <w:rsid w:val="008B6008"/>
    <w:rPr>
      <w:sz w:val="24"/>
      <w:lang w:eastAsia="en-US" w:bidi="ar-SA"/>
    </w:rPr>
  </w:style>
  <w:style w:type="paragraph" w:customStyle="1" w:styleId="Normal1">
    <w:name w:val="Normal1"/>
    <w:rsid w:val="0067726C"/>
    <w:pPr>
      <w:pBdr>
        <w:top w:val="nil"/>
        <w:left w:val="nil"/>
        <w:bottom w:val="nil"/>
        <w:right w:val="nil"/>
        <w:between w:val="nil"/>
      </w:pBdr>
    </w:pPr>
    <w:rPr>
      <w:rFonts w:eastAsia="Times New Roman"/>
      <w:color w:val="000000"/>
      <w:sz w:val="24"/>
      <w:szCs w:val="24"/>
      <w:lang w:eastAsia="en-US" w:bidi="ar-SA"/>
    </w:rPr>
  </w:style>
  <w:style w:type="paragraph" w:customStyle="1" w:styleId="Default">
    <w:name w:val="Default"/>
    <w:rsid w:val="00864D5E"/>
    <w:pPr>
      <w:autoSpaceDE w:val="0"/>
      <w:autoSpaceDN w:val="0"/>
      <w:adjustRightInd w:val="0"/>
    </w:pPr>
    <w:rPr>
      <w:rFonts w:eastAsia="Times New Roman"/>
      <w:color w:val="000000"/>
      <w:sz w:val="24"/>
      <w:szCs w:val="24"/>
      <w:lang w:eastAsia="en-US" w:bidi="ar-SA"/>
    </w:rPr>
  </w:style>
  <w:style w:type="paragraph" w:styleId="TOC1">
    <w:name w:val="toc 1"/>
    <w:basedOn w:val="Normal"/>
    <w:next w:val="Normal"/>
    <w:autoRedefine/>
    <w:uiPriority w:val="39"/>
    <w:rsid w:val="0036088C"/>
    <w:pPr>
      <w:spacing w:after="100"/>
    </w:pPr>
    <w:rPr>
      <w:rFonts w:eastAsia="Times New Roman"/>
      <w:szCs w:val="24"/>
    </w:rPr>
  </w:style>
  <w:style w:type="paragraph" w:styleId="TOC2">
    <w:name w:val="toc 2"/>
    <w:basedOn w:val="Normal"/>
    <w:next w:val="Normal"/>
    <w:autoRedefine/>
    <w:uiPriority w:val="39"/>
    <w:rsid w:val="0036088C"/>
    <w:pPr>
      <w:spacing w:after="100"/>
      <w:ind w:left="240"/>
    </w:pPr>
    <w:rPr>
      <w:rFonts w:eastAsia="Times New Roman"/>
      <w:szCs w:val="24"/>
    </w:rPr>
  </w:style>
  <w:style w:type="table" w:customStyle="1" w:styleId="TableGrid1">
    <w:name w:val="Table Grid1"/>
    <w:basedOn w:val="TableNormal"/>
    <w:next w:val="TableGrid"/>
    <w:rsid w:val="00AC1831"/>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A3A9D"/>
    <w:rPr>
      <w:rFonts w:eastAsia="Times New Roman"/>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9532">
      <w:bodyDiv w:val="1"/>
      <w:marLeft w:val="0"/>
      <w:marRight w:val="0"/>
      <w:marTop w:val="0"/>
      <w:marBottom w:val="0"/>
      <w:divBdr>
        <w:top w:val="none" w:sz="0" w:space="0" w:color="auto"/>
        <w:left w:val="none" w:sz="0" w:space="0" w:color="auto"/>
        <w:bottom w:val="none" w:sz="0" w:space="0" w:color="auto"/>
        <w:right w:val="none" w:sz="0" w:space="0" w:color="auto"/>
      </w:divBdr>
    </w:div>
    <w:div w:id="584151496">
      <w:bodyDiv w:val="1"/>
      <w:marLeft w:val="0"/>
      <w:marRight w:val="0"/>
      <w:marTop w:val="0"/>
      <w:marBottom w:val="0"/>
      <w:divBdr>
        <w:top w:val="none" w:sz="0" w:space="0" w:color="auto"/>
        <w:left w:val="none" w:sz="0" w:space="0" w:color="auto"/>
        <w:bottom w:val="none" w:sz="0" w:space="0" w:color="auto"/>
        <w:right w:val="none" w:sz="0" w:space="0" w:color="auto"/>
      </w:divBdr>
      <w:divsChild>
        <w:div w:id="164445922">
          <w:marLeft w:val="0"/>
          <w:marRight w:val="0"/>
          <w:marTop w:val="0"/>
          <w:marBottom w:val="0"/>
          <w:divBdr>
            <w:top w:val="none" w:sz="0" w:space="0" w:color="auto"/>
            <w:left w:val="none" w:sz="0" w:space="0" w:color="auto"/>
            <w:bottom w:val="none" w:sz="0" w:space="0" w:color="auto"/>
            <w:right w:val="none" w:sz="0" w:space="0" w:color="auto"/>
          </w:divBdr>
          <w:divsChild>
            <w:div w:id="45969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729">
                  <w:marLeft w:val="0"/>
                  <w:marRight w:val="0"/>
                  <w:marTop w:val="0"/>
                  <w:marBottom w:val="0"/>
                  <w:divBdr>
                    <w:top w:val="none" w:sz="0" w:space="0" w:color="auto"/>
                    <w:left w:val="none" w:sz="0" w:space="0" w:color="auto"/>
                    <w:bottom w:val="none" w:sz="0" w:space="0" w:color="auto"/>
                    <w:right w:val="none" w:sz="0" w:space="0" w:color="auto"/>
                  </w:divBdr>
                </w:div>
              </w:divsChild>
            </w:div>
            <w:div w:id="1193032588">
              <w:marLeft w:val="0"/>
              <w:marRight w:val="0"/>
              <w:marTop w:val="0"/>
              <w:marBottom w:val="0"/>
              <w:divBdr>
                <w:top w:val="none" w:sz="0" w:space="0" w:color="auto"/>
                <w:left w:val="none" w:sz="0" w:space="0" w:color="auto"/>
                <w:bottom w:val="none" w:sz="0" w:space="0" w:color="auto"/>
                <w:right w:val="none" w:sz="0" w:space="0" w:color="auto"/>
              </w:divBdr>
            </w:div>
          </w:divsChild>
        </w:div>
        <w:div w:id="214393245">
          <w:marLeft w:val="0"/>
          <w:marRight w:val="0"/>
          <w:marTop w:val="0"/>
          <w:marBottom w:val="0"/>
          <w:divBdr>
            <w:top w:val="none" w:sz="0" w:space="0" w:color="auto"/>
            <w:left w:val="none" w:sz="0" w:space="0" w:color="auto"/>
            <w:bottom w:val="none" w:sz="0" w:space="0" w:color="auto"/>
            <w:right w:val="none" w:sz="0" w:space="0" w:color="auto"/>
          </w:divBdr>
        </w:div>
        <w:div w:id="23740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5839">
              <w:marLeft w:val="0"/>
              <w:marRight w:val="0"/>
              <w:marTop w:val="0"/>
              <w:marBottom w:val="0"/>
              <w:divBdr>
                <w:top w:val="none" w:sz="0" w:space="0" w:color="auto"/>
                <w:left w:val="none" w:sz="0" w:space="0" w:color="auto"/>
                <w:bottom w:val="none" w:sz="0" w:space="0" w:color="auto"/>
                <w:right w:val="none" w:sz="0" w:space="0" w:color="auto"/>
              </w:divBdr>
            </w:div>
          </w:divsChild>
        </w:div>
        <w:div w:id="681274759">
          <w:marLeft w:val="0"/>
          <w:marRight w:val="0"/>
          <w:marTop w:val="0"/>
          <w:marBottom w:val="0"/>
          <w:divBdr>
            <w:top w:val="none" w:sz="0" w:space="0" w:color="auto"/>
            <w:left w:val="none" w:sz="0" w:space="0" w:color="auto"/>
            <w:bottom w:val="none" w:sz="0" w:space="0" w:color="auto"/>
            <w:right w:val="none" w:sz="0" w:space="0" w:color="auto"/>
          </w:divBdr>
        </w:div>
        <w:div w:id="72957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393936">
              <w:marLeft w:val="0"/>
              <w:marRight w:val="0"/>
              <w:marTop w:val="0"/>
              <w:marBottom w:val="0"/>
              <w:divBdr>
                <w:top w:val="none" w:sz="0" w:space="0" w:color="auto"/>
                <w:left w:val="none" w:sz="0" w:space="0" w:color="auto"/>
                <w:bottom w:val="none" w:sz="0" w:space="0" w:color="auto"/>
                <w:right w:val="none" w:sz="0" w:space="0" w:color="auto"/>
              </w:divBdr>
            </w:div>
            <w:div w:id="1699114810">
              <w:marLeft w:val="0"/>
              <w:marRight w:val="0"/>
              <w:marTop w:val="0"/>
              <w:marBottom w:val="0"/>
              <w:divBdr>
                <w:top w:val="none" w:sz="0" w:space="0" w:color="auto"/>
                <w:left w:val="none" w:sz="0" w:space="0" w:color="auto"/>
                <w:bottom w:val="none" w:sz="0" w:space="0" w:color="auto"/>
                <w:right w:val="none" w:sz="0" w:space="0" w:color="auto"/>
              </w:divBdr>
            </w:div>
          </w:divsChild>
        </w:div>
        <w:div w:id="998268862">
          <w:marLeft w:val="0"/>
          <w:marRight w:val="0"/>
          <w:marTop w:val="0"/>
          <w:marBottom w:val="0"/>
          <w:divBdr>
            <w:top w:val="none" w:sz="0" w:space="0" w:color="auto"/>
            <w:left w:val="none" w:sz="0" w:space="0" w:color="auto"/>
            <w:bottom w:val="none" w:sz="0" w:space="0" w:color="auto"/>
            <w:right w:val="none" w:sz="0" w:space="0" w:color="auto"/>
          </w:divBdr>
        </w:div>
        <w:div w:id="16639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30">
              <w:marLeft w:val="0"/>
              <w:marRight w:val="0"/>
              <w:marTop w:val="0"/>
              <w:marBottom w:val="0"/>
              <w:divBdr>
                <w:top w:val="none" w:sz="0" w:space="0" w:color="auto"/>
                <w:left w:val="none" w:sz="0" w:space="0" w:color="auto"/>
                <w:bottom w:val="none" w:sz="0" w:space="0" w:color="auto"/>
                <w:right w:val="none" w:sz="0" w:space="0" w:color="auto"/>
              </w:divBdr>
            </w:div>
            <w:div w:id="44838487">
              <w:marLeft w:val="0"/>
              <w:marRight w:val="0"/>
              <w:marTop w:val="0"/>
              <w:marBottom w:val="0"/>
              <w:divBdr>
                <w:top w:val="none" w:sz="0" w:space="0" w:color="auto"/>
                <w:left w:val="none" w:sz="0" w:space="0" w:color="auto"/>
                <w:bottom w:val="none" w:sz="0" w:space="0" w:color="auto"/>
                <w:right w:val="none" w:sz="0" w:space="0" w:color="auto"/>
              </w:divBdr>
            </w:div>
            <w:div w:id="1175069291">
              <w:marLeft w:val="0"/>
              <w:marRight w:val="0"/>
              <w:marTop w:val="0"/>
              <w:marBottom w:val="0"/>
              <w:divBdr>
                <w:top w:val="none" w:sz="0" w:space="0" w:color="auto"/>
                <w:left w:val="none" w:sz="0" w:space="0" w:color="auto"/>
                <w:bottom w:val="none" w:sz="0" w:space="0" w:color="auto"/>
                <w:right w:val="none" w:sz="0" w:space="0" w:color="auto"/>
              </w:divBdr>
            </w:div>
            <w:div w:id="1181969615">
              <w:marLeft w:val="0"/>
              <w:marRight w:val="0"/>
              <w:marTop w:val="0"/>
              <w:marBottom w:val="0"/>
              <w:divBdr>
                <w:top w:val="none" w:sz="0" w:space="0" w:color="auto"/>
                <w:left w:val="none" w:sz="0" w:space="0" w:color="auto"/>
                <w:bottom w:val="none" w:sz="0" w:space="0" w:color="auto"/>
                <w:right w:val="none" w:sz="0" w:space="0" w:color="auto"/>
              </w:divBdr>
            </w:div>
            <w:div w:id="2020354328">
              <w:marLeft w:val="0"/>
              <w:marRight w:val="0"/>
              <w:marTop w:val="0"/>
              <w:marBottom w:val="0"/>
              <w:divBdr>
                <w:top w:val="none" w:sz="0" w:space="0" w:color="auto"/>
                <w:left w:val="none" w:sz="0" w:space="0" w:color="auto"/>
                <w:bottom w:val="none" w:sz="0" w:space="0" w:color="auto"/>
                <w:right w:val="none" w:sz="0" w:space="0" w:color="auto"/>
              </w:divBdr>
            </w:div>
          </w:divsChild>
        </w:div>
        <w:div w:id="1668559850">
          <w:marLeft w:val="0"/>
          <w:marRight w:val="0"/>
          <w:marTop w:val="0"/>
          <w:marBottom w:val="0"/>
          <w:divBdr>
            <w:top w:val="none" w:sz="0" w:space="0" w:color="auto"/>
            <w:left w:val="none" w:sz="0" w:space="0" w:color="auto"/>
            <w:bottom w:val="none" w:sz="0" w:space="0" w:color="auto"/>
            <w:right w:val="none" w:sz="0" w:space="0" w:color="auto"/>
          </w:divBdr>
        </w:div>
        <w:div w:id="1675761215">
          <w:marLeft w:val="0"/>
          <w:marRight w:val="0"/>
          <w:marTop w:val="0"/>
          <w:marBottom w:val="0"/>
          <w:divBdr>
            <w:top w:val="none" w:sz="0" w:space="0" w:color="auto"/>
            <w:left w:val="none" w:sz="0" w:space="0" w:color="auto"/>
            <w:bottom w:val="none" w:sz="0" w:space="0" w:color="auto"/>
            <w:right w:val="none" w:sz="0" w:space="0" w:color="auto"/>
          </w:divBdr>
          <w:divsChild>
            <w:div w:id="2009795441">
              <w:marLeft w:val="0"/>
              <w:marRight w:val="0"/>
              <w:marTop w:val="0"/>
              <w:marBottom w:val="0"/>
              <w:divBdr>
                <w:top w:val="none" w:sz="0" w:space="0" w:color="auto"/>
                <w:left w:val="none" w:sz="0" w:space="0" w:color="auto"/>
                <w:bottom w:val="none" w:sz="0" w:space="0" w:color="auto"/>
                <w:right w:val="none" w:sz="0" w:space="0" w:color="auto"/>
              </w:divBdr>
            </w:div>
          </w:divsChild>
        </w:div>
        <w:div w:id="2093576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turnaround/level4/guidanc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mseymour@doe.mass.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turnaround/level4/guidance.html?section=stakehol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turnaround/redesign/"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doe.mass.edu/turnaround/howitworks/report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turnaround/redesig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DESE-231-49694</_dlc_DocId>
    <_dlc_DocIdUrl xmlns="733efe1c-5bbe-4968-87dc-d400e65c879f">
      <Url>https://sharepoint.doemass.org/ese/webteam/cps/_layouts/DocIdRedir.aspx?ID=DESE-231-49694</Url>
      <Description>DESE-231-49694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3BBD9-5E03-42D1-B073-AD0C4157B3F7}">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262CC9B-08FA-4B50-84B3-E690174BB8A1}">
  <ds:schemaRefs>
    <ds:schemaRef ds:uri="http://schemas.microsoft.com/sharepoint/events"/>
  </ds:schemaRefs>
</ds:datastoreItem>
</file>

<file path=customXml/itemProps3.xml><?xml version="1.0" encoding="utf-8"?>
<ds:datastoreItem xmlns:ds="http://schemas.openxmlformats.org/officeDocument/2006/customXml" ds:itemID="{DECECA44-C8C8-4804-9394-FD5A7FAEED09}">
  <ds:schemaRefs>
    <ds:schemaRef ds:uri="http://schemas.microsoft.com/sharepoint/v3/contenttype/forms"/>
  </ds:schemaRefs>
</ds:datastoreItem>
</file>

<file path=customXml/itemProps4.xml><?xml version="1.0" encoding="utf-8"?>
<ds:datastoreItem xmlns:ds="http://schemas.openxmlformats.org/officeDocument/2006/customXml" ds:itemID="{D089295E-A26C-4439-9CCA-D53681D0A4E6}">
  <ds:schemaRefs>
    <ds:schemaRef ds:uri="http://schemas.microsoft.com/office/2006/metadata/longProperties"/>
  </ds:schemaRefs>
</ds:datastoreItem>
</file>

<file path=customXml/itemProps5.xml><?xml version="1.0" encoding="utf-8"?>
<ds:datastoreItem xmlns:ds="http://schemas.openxmlformats.org/officeDocument/2006/customXml" ds:itemID="{80A58997-495D-47D5-A958-F104C6F36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D8470B-6B21-4670-825A-CA2BDE30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5975</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FY20 FC511 School Redesign Grant Add Info Directions</vt:lpstr>
    </vt:vector>
  </TitlesOfParts>
  <Company/>
  <LinksUpToDate>false</LinksUpToDate>
  <CharactersWithSpaces>39960</CharactersWithSpaces>
  <SharedDoc>false</SharedDoc>
  <HLinks>
    <vt:vector size="60" baseType="variant">
      <vt:variant>
        <vt:i4>8323112</vt:i4>
      </vt:variant>
      <vt:variant>
        <vt:i4>24</vt:i4>
      </vt:variant>
      <vt:variant>
        <vt:i4>0</vt:i4>
      </vt:variant>
      <vt:variant>
        <vt:i4>5</vt:i4>
      </vt:variant>
      <vt:variant>
        <vt:lpwstr>http://www.doe.mass.edu/apa/sss/turnaround/level4/Guidance.pdf</vt:lpwstr>
      </vt:variant>
      <vt:variant>
        <vt:lpwstr/>
      </vt:variant>
      <vt:variant>
        <vt:i4>3407993</vt:i4>
      </vt:variant>
      <vt:variant>
        <vt:i4>21</vt:i4>
      </vt:variant>
      <vt:variant>
        <vt:i4>0</vt:i4>
      </vt:variant>
      <vt:variant>
        <vt:i4>5</vt:i4>
      </vt:variant>
      <vt:variant>
        <vt:lpwstr>http://www.doe.mass.edu/apa/sss/turnaround/2014PracticesReport.pdf</vt:lpwstr>
      </vt:variant>
      <vt:variant>
        <vt:lpwstr/>
      </vt:variant>
      <vt:variant>
        <vt:i4>2752574</vt:i4>
      </vt:variant>
      <vt:variant>
        <vt:i4>18</vt:i4>
      </vt:variant>
      <vt:variant>
        <vt:i4>0</vt:i4>
      </vt:variant>
      <vt:variant>
        <vt:i4>5</vt:i4>
      </vt:variant>
      <vt:variant>
        <vt:lpwstr>http://www.doe.mass.edu/apa/sss/turnaround/grants/SustainabilityToolkit.zip</vt:lpwstr>
      </vt:variant>
      <vt:variant>
        <vt:lpwstr/>
      </vt:variant>
      <vt:variant>
        <vt:i4>7667762</vt:i4>
      </vt:variant>
      <vt:variant>
        <vt:i4>15</vt:i4>
      </vt:variant>
      <vt:variant>
        <vt:i4>0</vt:i4>
      </vt:variant>
      <vt:variant>
        <vt:i4>5</vt:i4>
      </vt:variant>
      <vt:variant>
        <vt:lpwstr>http://www.doe.mass.edu/sda/review/district/StandardsIndicators.pdf</vt:lpwstr>
      </vt:variant>
      <vt:variant>
        <vt:lpwstr/>
      </vt:variant>
      <vt:variant>
        <vt:i4>8061044</vt:i4>
      </vt:variant>
      <vt:variant>
        <vt:i4>12</vt:i4>
      </vt:variant>
      <vt:variant>
        <vt:i4>0</vt:i4>
      </vt:variant>
      <vt:variant>
        <vt:i4>5</vt:i4>
      </vt:variant>
      <vt:variant>
        <vt:lpwstr>http://www.doe.mass.edu/apa/ucd/CSE.pdf</vt:lpwstr>
      </vt:variant>
      <vt:variant>
        <vt:lpwstr/>
      </vt:variant>
      <vt:variant>
        <vt:i4>8323112</vt:i4>
      </vt:variant>
      <vt:variant>
        <vt:i4>9</vt:i4>
      </vt:variant>
      <vt:variant>
        <vt:i4>0</vt:i4>
      </vt:variant>
      <vt:variant>
        <vt:i4>5</vt:i4>
      </vt:variant>
      <vt:variant>
        <vt:lpwstr>http://www.doe.mass.edu/apa/sss/turnaround/level4/Guidance.pdf</vt:lpwstr>
      </vt:variant>
      <vt:variant>
        <vt:lpwstr/>
      </vt:variant>
      <vt:variant>
        <vt:i4>3407993</vt:i4>
      </vt:variant>
      <vt:variant>
        <vt:i4>6</vt:i4>
      </vt:variant>
      <vt:variant>
        <vt:i4>0</vt:i4>
      </vt:variant>
      <vt:variant>
        <vt:i4>5</vt:i4>
      </vt:variant>
      <vt:variant>
        <vt:lpwstr>http://www.doe.mass.edu/apa/sss/turnaround/2014PracticesReport.pdf</vt:lpwstr>
      </vt:variant>
      <vt:variant>
        <vt:lpwstr/>
      </vt:variant>
      <vt:variant>
        <vt:i4>2293838</vt:i4>
      </vt:variant>
      <vt:variant>
        <vt:i4>3</vt:i4>
      </vt:variant>
      <vt:variant>
        <vt:i4>0</vt:i4>
      </vt:variant>
      <vt:variant>
        <vt:i4>5</vt:i4>
      </vt:variant>
      <vt:variant>
        <vt:lpwstr>mailto:srg@doe.mass.edu</vt:lpwstr>
      </vt:variant>
      <vt:variant>
        <vt:lpwstr/>
      </vt:variant>
      <vt:variant>
        <vt:i4>2293838</vt:i4>
      </vt:variant>
      <vt:variant>
        <vt:i4>0</vt:i4>
      </vt:variant>
      <vt:variant>
        <vt:i4>0</vt:i4>
      </vt:variant>
      <vt:variant>
        <vt:i4>5</vt:i4>
      </vt:variant>
      <vt:variant>
        <vt:lpwstr>mailto:SRG@doe.mass.edu</vt:lpwstr>
      </vt:variant>
      <vt:variant>
        <vt:lpwstr/>
      </vt:variant>
      <vt:variant>
        <vt:i4>4325469</vt:i4>
      </vt:variant>
      <vt:variant>
        <vt:i4>0</vt:i4>
      </vt:variant>
      <vt:variant>
        <vt:i4>0</vt:i4>
      </vt:variant>
      <vt:variant>
        <vt:i4>5</vt:i4>
      </vt:variant>
      <vt:variant>
        <vt:lpwstr>http://www.mass.gov/edu/government/departments-and-boards/ese/programs/accountability/support-for-level-3-4-and-5-districts-and-schools/school-and-district-turnaround/school-redesign-grants/school-redesign-grants-information.html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FC511 School Redesign Grant Add Info Directions</dc:title>
  <dc:creator>DESE</dc:creator>
  <cp:lastModifiedBy>Zou, Dong (EOE)</cp:lastModifiedBy>
  <cp:revision>15</cp:revision>
  <cp:lastPrinted>2018-02-27T16:51:00Z</cp:lastPrinted>
  <dcterms:created xsi:type="dcterms:W3CDTF">2019-03-05T14:28:00Z</dcterms:created>
  <dcterms:modified xsi:type="dcterms:W3CDTF">2019-03-26T15:05:00Z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2019</vt:lpwstr>
  </property>
</Properties>
</file>