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1F25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528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SCHOOL YEAR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B61AD8" w:rsidP="001F25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Increased Access to Quality </w:t>
            </w:r>
            <w:r w:rsidR="0087672A">
              <w:rPr>
                <w:rFonts w:ascii="Arial" w:hAnsi="Arial" w:cs="Arial"/>
                <w:b/>
                <w:sz w:val="20"/>
              </w:rPr>
              <w:t>Afterschool</w:t>
            </w:r>
            <w:r w:rsidR="001F25B5">
              <w:rPr>
                <w:rFonts w:ascii="Arial" w:hAnsi="Arial" w:cs="Arial"/>
                <w:b/>
                <w:sz w:val="20"/>
              </w:rPr>
              <w:t xml:space="preserve"> and Out-of-School Time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591F38" w:rsidP="001F25B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1F25B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081D76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081D7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81D7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081D76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EB3017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6421EF">
              <w:rPr>
                <w:rFonts w:ascii="Arial" w:hAnsi="Arial" w:cs="Arial"/>
                <w:b/>
                <w:i/>
              </w:rPr>
              <w:t xml:space="preserve">THURSDAY, NOVEMBER </w:t>
            </w:r>
            <w:r w:rsidR="00EB3017">
              <w:rPr>
                <w:rFonts w:ascii="Arial" w:hAnsi="Arial" w:cs="Arial"/>
                <w:b/>
                <w:i/>
              </w:rPr>
              <w:t>7</w:t>
            </w:r>
            <w:r w:rsidR="006421EF">
              <w:rPr>
                <w:rFonts w:ascii="Arial" w:hAnsi="Arial" w:cs="Arial"/>
                <w:b/>
                <w:i/>
              </w:rPr>
              <w:t>, 2019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</w:t>
            </w:r>
            <w:r w:rsidR="0085582C">
              <w:rPr>
                <w:rFonts w:ascii="Arial" w:hAnsi="Arial" w:cs="Arial"/>
              </w:rPr>
              <w:t>for Submission Instructions</w:t>
            </w:r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081D76">
      <w:pPr>
        <w:jc w:val="center"/>
      </w:pPr>
      <w:bookmarkStart w:id="0" w:name="_GoBack"/>
      <w:bookmarkEnd w:id="0"/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81D76"/>
    <w:rsid w:val="000E2903"/>
    <w:rsid w:val="000F2262"/>
    <w:rsid w:val="00184554"/>
    <w:rsid w:val="001C4B99"/>
    <w:rsid w:val="001C615C"/>
    <w:rsid w:val="001F25B5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500B2"/>
    <w:rsid w:val="00580144"/>
    <w:rsid w:val="00591F38"/>
    <w:rsid w:val="005E4BFB"/>
    <w:rsid w:val="005F2E08"/>
    <w:rsid w:val="00610FF4"/>
    <w:rsid w:val="006421EF"/>
    <w:rsid w:val="006D1C4B"/>
    <w:rsid w:val="00710837"/>
    <w:rsid w:val="00766CF4"/>
    <w:rsid w:val="00770EF0"/>
    <w:rsid w:val="007A630B"/>
    <w:rsid w:val="008014B7"/>
    <w:rsid w:val="0085582C"/>
    <w:rsid w:val="0087672A"/>
    <w:rsid w:val="008E7237"/>
    <w:rsid w:val="0090262C"/>
    <w:rsid w:val="00935DBB"/>
    <w:rsid w:val="00A13C6A"/>
    <w:rsid w:val="00A50861"/>
    <w:rsid w:val="00A55F20"/>
    <w:rsid w:val="00B474DF"/>
    <w:rsid w:val="00B61AD8"/>
    <w:rsid w:val="00B61BC3"/>
    <w:rsid w:val="00C36FAE"/>
    <w:rsid w:val="00C52E0F"/>
    <w:rsid w:val="00CA1842"/>
    <w:rsid w:val="00CE6E07"/>
    <w:rsid w:val="00D009CD"/>
    <w:rsid w:val="00D63537"/>
    <w:rsid w:val="00E122B0"/>
    <w:rsid w:val="00E5121B"/>
    <w:rsid w:val="00E74980"/>
    <w:rsid w:val="00E76604"/>
    <w:rsid w:val="00E960BB"/>
    <w:rsid w:val="00EB301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4D9AE"/>
  <w15:chartTrackingRefBased/>
  <w15:docId w15:val="{7A734181-8224-49DB-8696-73DB85D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15C3B27-A924-4B5F-97EB-1DA33B61F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D7D34-D9D7-4138-9DA7-876AE4C17C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EBCFAB-B575-4EC5-8BCF-F5323EB23A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5AE9ED-4CC6-49F2-BD33-0423DFC89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B84E68-74D6-4C8A-997E-4856C8FEB30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FC528 Increased ASOST Access Part I SY</vt:lpstr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FC528 Increased ASOST Access Part I SY</dc:title>
  <dc:subject/>
  <dc:creator>DESE</dc:creator>
  <cp:keywords/>
  <cp:lastModifiedBy>Zou, Dong (EOE)</cp:lastModifiedBy>
  <cp:revision>3</cp:revision>
  <cp:lastPrinted>2008-06-25T13:01:00Z</cp:lastPrinted>
  <dcterms:created xsi:type="dcterms:W3CDTF">2019-10-02T20:44:00Z</dcterms:created>
  <dcterms:modified xsi:type="dcterms:W3CDTF">2019-10-02T20:45:00Z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 2019</vt:lpwstr>
  </property>
</Properties>
</file>