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F7C28" w14:textId="2BF95828" w:rsidR="00C4344F" w:rsidRPr="008C028A" w:rsidRDefault="009A62B7" w:rsidP="004B4C34">
      <w:pPr>
        <w:pStyle w:val="ListParagraph"/>
        <w:numPr>
          <w:ilvl w:val="0"/>
          <w:numId w:val="25"/>
        </w:numPr>
        <w:spacing w:before="80" w:after="120"/>
        <w:outlineLvl w:val="0"/>
        <w:rPr>
          <w:rFonts w:asciiTheme="minorHAnsi" w:hAnsiTheme="minorHAnsi" w:cstheme="minorHAnsi"/>
          <w:b/>
          <w:sz w:val="28"/>
          <w:szCs w:val="28"/>
        </w:rPr>
      </w:pPr>
      <w:r>
        <w:rPr>
          <w:rFonts w:asciiTheme="minorHAnsi" w:hAnsiTheme="minorHAnsi" w:cstheme="minorHAnsi"/>
          <w:b/>
          <w:sz w:val="28"/>
          <w:szCs w:val="28"/>
        </w:rPr>
        <w:t>S</w:t>
      </w:r>
      <w:r w:rsidR="00C4344F" w:rsidRPr="008C028A">
        <w:rPr>
          <w:rFonts w:asciiTheme="minorHAnsi" w:hAnsiTheme="minorHAnsi" w:cstheme="minorHAnsi"/>
          <w:b/>
          <w:sz w:val="28"/>
          <w:szCs w:val="28"/>
        </w:rPr>
        <w:t>ubmission Requirements and Important Dates</w:t>
      </w:r>
      <w:r w:rsidR="005E7A5C">
        <w:rPr>
          <w:rFonts w:asciiTheme="minorHAnsi" w:hAnsiTheme="minorHAnsi" w:cstheme="minorHAnsi"/>
          <w:b/>
          <w:sz w:val="28"/>
          <w:szCs w:val="28"/>
        </w:rPr>
        <w:t xml:space="preserve"> and Notes</w:t>
      </w:r>
    </w:p>
    <w:p w14:paraId="551F63AE" w14:textId="0DE857AD" w:rsidR="00C4344F" w:rsidRPr="00D979F2" w:rsidRDefault="002F72EB">
      <w:pPr>
        <w:spacing w:before="40" w:after="40"/>
        <w:rPr>
          <w:rFonts w:asciiTheme="minorHAnsi" w:hAnsiTheme="minorHAnsi" w:cstheme="minorHAnsi"/>
          <w:bCs/>
          <w:szCs w:val="24"/>
        </w:rPr>
      </w:pPr>
      <w:r w:rsidRPr="00D979F2">
        <w:rPr>
          <w:rFonts w:asciiTheme="minorHAnsi" w:hAnsiTheme="minorHAnsi" w:cstheme="minorHAnsi"/>
          <w:bCs/>
          <w:szCs w:val="24"/>
        </w:rPr>
        <w:t>FY20</w:t>
      </w:r>
      <w:r w:rsidR="00777063" w:rsidRPr="00D979F2">
        <w:rPr>
          <w:rFonts w:asciiTheme="minorHAnsi" w:hAnsiTheme="minorHAnsi" w:cstheme="minorHAnsi"/>
          <w:bCs/>
          <w:szCs w:val="24"/>
        </w:rPr>
        <w:t xml:space="preserve"> SRG Application </w:t>
      </w:r>
      <w:r w:rsidR="00C045FF">
        <w:rPr>
          <w:rFonts w:asciiTheme="minorHAnsi" w:hAnsiTheme="minorHAnsi" w:cstheme="minorHAnsi"/>
          <w:bCs/>
          <w:szCs w:val="24"/>
        </w:rPr>
        <w:t>p</w:t>
      </w:r>
      <w:r w:rsidR="00777063" w:rsidRPr="00D979F2">
        <w:rPr>
          <w:rFonts w:asciiTheme="minorHAnsi" w:hAnsiTheme="minorHAnsi" w:cstheme="minorHAnsi"/>
          <w:bCs/>
          <w:szCs w:val="24"/>
        </w:rPr>
        <w:t>acket includes</w:t>
      </w:r>
      <w:r w:rsidR="002D71A0">
        <w:rPr>
          <w:rFonts w:asciiTheme="minorHAnsi" w:hAnsiTheme="minorHAnsi" w:cstheme="minorHAnsi"/>
          <w:bCs/>
          <w:szCs w:val="24"/>
        </w:rPr>
        <w:t xml:space="preserve"> the following</w:t>
      </w:r>
      <w:r w:rsidR="00FF5EE8" w:rsidRPr="00D979F2">
        <w:rPr>
          <w:rFonts w:asciiTheme="minorHAnsi" w:hAnsiTheme="minorHAnsi" w:cstheme="minorHAnsi"/>
          <w:bCs/>
          <w:szCs w:val="24"/>
        </w:rPr>
        <w:t xml:space="preserve"> parts</w:t>
      </w:r>
      <w:r w:rsidR="00777063" w:rsidRPr="00D979F2">
        <w:rPr>
          <w:rFonts w:asciiTheme="minorHAnsi" w:hAnsiTheme="minorHAnsi" w:cstheme="minorHAnsi"/>
          <w:bCs/>
          <w:szCs w:val="24"/>
        </w:rPr>
        <w:t>:</w:t>
      </w:r>
    </w:p>
    <w:p w14:paraId="303FDCC9" w14:textId="7AEDD0F1" w:rsidR="00C4344F" w:rsidRPr="0087288F" w:rsidRDefault="00EB2F11" w:rsidP="004B4C34">
      <w:pPr>
        <w:numPr>
          <w:ilvl w:val="0"/>
          <w:numId w:val="8"/>
        </w:numPr>
        <w:spacing w:before="40" w:after="40"/>
        <w:rPr>
          <w:rFonts w:asciiTheme="minorHAnsi" w:hAnsiTheme="minorHAnsi" w:cstheme="minorHAnsi"/>
          <w:bCs/>
          <w:szCs w:val="24"/>
        </w:rPr>
      </w:pPr>
      <w:r w:rsidRPr="0087288F">
        <w:rPr>
          <w:rFonts w:asciiTheme="minorHAnsi" w:hAnsiTheme="minorHAnsi" w:cstheme="minorHAnsi"/>
          <w:bCs/>
          <w:szCs w:val="24"/>
        </w:rPr>
        <w:t>FY</w:t>
      </w:r>
      <w:r w:rsidR="002F72EB" w:rsidRPr="0087288F">
        <w:rPr>
          <w:rFonts w:asciiTheme="minorHAnsi" w:hAnsiTheme="minorHAnsi" w:cstheme="minorHAnsi"/>
          <w:bCs/>
          <w:szCs w:val="24"/>
        </w:rPr>
        <w:t>20</w:t>
      </w:r>
      <w:r w:rsidRPr="0087288F">
        <w:rPr>
          <w:rFonts w:asciiTheme="minorHAnsi" w:hAnsiTheme="minorHAnsi" w:cstheme="minorHAnsi"/>
          <w:bCs/>
          <w:szCs w:val="24"/>
        </w:rPr>
        <w:t xml:space="preserve"> </w:t>
      </w:r>
      <w:r w:rsidR="005E7A5C">
        <w:rPr>
          <w:rFonts w:asciiTheme="minorHAnsi" w:hAnsiTheme="minorHAnsi" w:cstheme="minorHAnsi"/>
          <w:bCs/>
          <w:szCs w:val="24"/>
        </w:rPr>
        <w:t xml:space="preserve">School </w:t>
      </w:r>
      <w:r w:rsidR="002D71A0">
        <w:rPr>
          <w:rFonts w:asciiTheme="minorHAnsi" w:hAnsiTheme="minorHAnsi" w:cstheme="minorHAnsi"/>
          <w:bCs/>
          <w:szCs w:val="24"/>
        </w:rPr>
        <w:t>Turnaround Plan</w:t>
      </w:r>
    </w:p>
    <w:p w14:paraId="1D05C4F1" w14:textId="0CE738CC" w:rsidR="00C4344F" w:rsidRDefault="002F72EB" w:rsidP="004B4C34">
      <w:pPr>
        <w:numPr>
          <w:ilvl w:val="0"/>
          <w:numId w:val="8"/>
        </w:numPr>
        <w:spacing w:before="40" w:after="40"/>
        <w:rPr>
          <w:rFonts w:asciiTheme="minorHAnsi" w:hAnsiTheme="minorHAnsi" w:cstheme="minorHAnsi"/>
          <w:bCs/>
          <w:szCs w:val="24"/>
        </w:rPr>
      </w:pPr>
      <w:r w:rsidRPr="0087288F">
        <w:rPr>
          <w:rFonts w:asciiTheme="minorHAnsi" w:hAnsiTheme="minorHAnsi" w:cstheme="minorHAnsi"/>
          <w:bCs/>
          <w:szCs w:val="24"/>
        </w:rPr>
        <w:t>FY20</w:t>
      </w:r>
      <w:r w:rsidR="00C4344F" w:rsidRPr="0087288F">
        <w:rPr>
          <w:rFonts w:asciiTheme="minorHAnsi" w:hAnsiTheme="minorHAnsi" w:cstheme="minorHAnsi"/>
          <w:bCs/>
          <w:szCs w:val="24"/>
        </w:rPr>
        <w:t xml:space="preserve"> Budget Workbook</w:t>
      </w:r>
      <w:r w:rsidR="00A46551" w:rsidRPr="0087288F">
        <w:rPr>
          <w:rFonts w:asciiTheme="minorHAnsi" w:hAnsiTheme="minorHAnsi" w:cstheme="minorHAnsi"/>
          <w:bCs/>
          <w:szCs w:val="24"/>
        </w:rPr>
        <w:t xml:space="preserve"> </w:t>
      </w:r>
      <w:r w:rsidR="002D71A0">
        <w:rPr>
          <w:rFonts w:asciiTheme="minorHAnsi" w:hAnsiTheme="minorHAnsi" w:cstheme="minorHAnsi"/>
          <w:bCs/>
          <w:szCs w:val="24"/>
        </w:rPr>
        <w:t>(</w:t>
      </w:r>
      <w:r w:rsidR="00E45DD9">
        <w:rPr>
          <w:rFonts w:asciiTheme="minorHAnsi" w:hAnsiTheme="minorHAnsi" w:cstheme="minorHAnsi"/>
          <w:bCs/>
          <w:szCs w:val="24"/>
        </w:rPr>
        <w:t>Note: Budget Workbook directions are in the Budget Workbook Excel spreadsheet.</w:t>
      </w:r>
      <w:r w:rsidR="002D71A0">
        <w:rPr>
          <w:rFonts w:asciiTheme="minorHAnsi" w:hAnsiTheme="minorHAnsi" w:cstheme="minorHAnsi"/>
          <w:bCs/>
          <w:szCs w:val="24"/>
        </w:rPr>
        <w:t>)</w:t>
      </w:r>
    </w:p>
    <w:p w14:paraId="0EE4CF8B" w14:textId="6A7D909F" w:rsidR="00F342AA" w:rsidRDefault="00F342AA" w:rsidP="004B4C34">
      <w:pPr>
        <w:numPr>
          <w:ilvl w:val="0"/>
          <w:numId w:val="8"/>
        </w:numPr>
        <w:spacing w:before="40" w:after="40"/>
        <w:rPr>
          <w:rFonts w:asciiTheme="minorHAnsi" w:hAnsiTheme="minorHAnsi" w:cstheme="minorHAnsi"/>
          <w:bCs/>
          <w:szCs w:val="24"/>
        </w:rPr>
      </w:pPr>
      <w:r>
        <w:rPr>
          <w:rFonts w:asciiTheme="minorHAnsi" w:hAnsiTheme="minorHAnsi" w:cstheme="minorHAnsi"/>
          <w:bCs/>
          <w:szCs w:val="24"/>
        </w:rPr>
        <w:t>Eligibility Checklist</w:t>
      </w:r>
    </w:p>
    <w:p w14:paraId="6E221773" w14:textId="087CCBF7" w:rsidR="002D71A0" w:rsidRPr="0087288F" w:rsidRDefault="002D71A0" w:rsidP="004B4C34">
      <w:pPr>
        <w:numPr>
          <w:ilvl w:val="0"/>
          <w:numId w:val="8"/>
        </w:numPr>
        <w:spacing w:before="40" w:after="40"/>
        <w:rPr>
          <w:rFonts w:asciiTheme="minorHAnsi" w:hAnsiTheme="minorHAnsi" w:cstheme="minorHAnsi"/>
          <w:bCs/>
          <w:szCs w:val="24"/>
        </w:rPr>
      </w:pPr>
      <w:r>
        <w:rPr>
          <w:rFonts w:asciiTheme="minorHAnsi" w:hAnsiTheme="minorHAnsi" w:cstheme="minorHAnsi"/>
          <w:bCs/>
          <w:szCs w:val="24"/>
        </w:rPr>
        <w:t>Signed Cover Sheet from the budget workbook</w:t>
      </w:r>
    </w:p>
    <w:p w14:paraId="016114B1" w14:textId="77777777" w:rsidR="00C4344F" w:rsidRPr="00D979F2" w:rsidRDefault="00C4344F" w:rsidP="00FE5F30">
      <w:pPr>
        <w:spacing w:before="40" w:after="40"/>
        <w:rPr>
          <w:rFonts w:asciiTheme="minorHAnsi" w:hAnsiTheme="minorHAnsi" w:cstheme="minorHAnsi"/>
          <w:bCs/>
          <w:szCs w:val="24"/>
        </w:rPr>
      </w:pPr>
    </w:p>
    <w:p w14:paraId="04637431" w14:textId="6DDBFA2A" w:rsidR="00D658B2" w:rsidRPr="00D979F2" w:rsidRDefault="002F72EB">
      <w:pPr>
        <w:spacing w:before="40" w:after="40"/>
        <w:rPr>
          <w:rFonts w:asciiTheme="minorHAnsi" w:hAnsiTheme="minorHAnsi" w:cstheme="minorHAnsi"/>
          <w:b/>
          <w:bCs/>
          <w:szCs w:val="24"/>
        </w:rPr>
      </w:pPr>
      <w:r w:rsidRPr="00D979F2">
        <w:rPr>
          <w:rFonts w:asciiTheme="minorHAnsi" w:hAnsiTheme="minorHAnsi" w:cstheme="minorHAnsi"/>
          <w:b/>
          <w:bCs/>
          <w:szCs w:val="24"/>
        </w:rPr>
        <w:t xml:space="preserve">By </w:t>
      </w:r>
      <w:r w:rsidRPr="00D979F2">
        <w:rPr>
          <w:rFonts w:asciiTheme="minorHAnsi" w:hAnsiTheme="minorHAnsi" w:cstheme="minorHAnsi"/>
          <w:b/>
          <w:bCs/>
          <w:szCs w:val="24"/>
          <w:u w:val="single"/>
        </w:rPr>
        <w:t>noon on April 30, 2019</w:t>
      </w:r>
      <w:r w:rsidR="0024265E" w:rsidRPr="00D979F2">
        <w:rPr>
          <w:rFonts w:asciiTheme="minorHAnsi" w:hAnsiTheme="minorHAnsi" w:cstheme="minorHAnsi"/>
          <w:b/>
          <w:bCs/>
          <w:szCs w:val="24"/>
        </w:rPr>
        <w:t xml:space="preserve"> </w:t>
      </w:r>
      <w:r w:rsidR="0036088C" w:rsidRPr="00D979F2">
        <w:rPr>
          <w:rFonts w:asciiTheme="minorHAnsi" w:hAnsiTheme="minorHAnsi" w:cstheme="minorHAnsi"/>
          <w:b/>
          <w:bCs/>
          <w:szCs w:val="24"/>
        </w:rPr>
        <w:t>email</w:t>
      </w:r>
      <w:r w:rsidR="00777063" w:rsidRPr="00D979F2">
        <w:rPr>
          <w:rFonts w:asciiTheme="minorHAnsi" w:hAnsiTheme="minorHAnsi" w:cstheme="minorHAnsi"/>
          <w:b/>
          <w:bCs/>
          <w:szCs w:val="24"/>
        </w:rPr>
        <w:t xml:space="preserve"> </w:t>
      </w:r>
      <w:r w:rsidR="00FF5EE8" w:rsidRPr="00D979F2">
        <w:rPr>
          <w:rFonts w:asciiTheme="minorHAnsi" w:hAnsiTheme="minorHAnsi" w:cstheme="minorHAnsi"/>
          <w:b/>
          <w:bCs/>
          <w:szCs w:val="24"/>
        </w:rPr>
        <w:t xml:space="preserve">the application </w:t>
      </w:r>
      <w:r w:rsidR="0087288F">
        <w:rPr>
          <w:rFonts w:asciiTheme="minorHAnsi" w:hAnsiTheme="minorHAnsi" w:cstheme="minorHAnsi"/>
          <w:b/>
          <w:bCs/>
          <w:szCs w:val="24"/>
        </w:rPr>
        <w:t xml:space="preserve">packet </w:t>
      </w:r>
      <w:r w:rsidR="00FF5EE8" w:rsidRPr="00D979F2">
        <w:rPr>
          <w:rFonts w:asciiTheme="minorHAnsi" w:hAnsiTheme="minorHAnsi" w:cstheme="minorHAnsi"/>
          <w:b/>
          <w:bCs/>
          <w:szCs w:val="24"/>
        </w:rPr>
        <w:t xml:space="preserve">to </w:t>
      </w:r>
      <w:r w:rsidR="00777063" w:rsidRPr="00D979F2">
        <w:rPr>
          <w:rFonts w:asciiTheme="minorHAnsi" w:hAnsiTheme="minorHAnsi" w:cstheme="minorHAnsi"/>
          <w:b/>
          <w:bCs/>
          <w:szCs w:val="24"/>
        </w:rPr>
        <w:t>SRG@doe.mass.edu</w:t>
      </w:r>
      <w:r w:rsidR="0024265E" w:rsidRPr="00D979F2">
        <w:rPr>
          <w:rFonts w:asciiTheme="minorHAnsi" w:hAnsiTheme="minorHAnsi" w:cstheme="minorHAnsi"/>
          <w:b/>
          <w:bCs/>
          <w:szCs w:val="24"/>
        </w:rPr>
        <w:t>:</w:t>
      </w:r>
    </w:p>
    <w:p w14:paraId="31BFD34E" w14:textId="2CE12FA5" w:rsidR="00D658B2" w:rsidRPr="00D979F2" w:rsidRDefault="00D658B2" w:rsidP="00F84702">
      <w:pPr>
        <w:spacing w:before="40" w:after="40"/>
        <w:rPr>
          <w:rFonts w:asciiTheme="minorHAnsi" w:hAnsiTheme="minorHAnsi" w:cstheme="minorHAnsi"/>
          <w:szCs w:val="24"/>
        </w:rPr>
      </w:pPr>
    </w:p>
    <w:p w14:paraId="4AFD98AE" w14:textId="77777777" w:rsidR="000E7C88" w:rsidRPr="00D979F2" w:rsidRDefault="000E7C88" w:rsidP="000E7C88">
      <w:pPr>
        <w:spacing w:before="40" w:after="40"/>
        <w:outlineLvl w:val="0"/>
        <w:rPr>
          <w:rFonts w:asciiTheme="minorHAnsi" w:hAnsiTheme="minorHAnsi" w:cstheme="minorHAnsi"/>
          <w:b/>
          <w:szCs w:val="24"/>
        </w:rPr>
      </w:pPr>
      <w:r w:rsidRPr="00D979F2">
        <w:rPr>
          <w:rFonts w:asciiTheme="minorHAnsi" w:hAnsiTheme="minorHAnsi" w:cstheme="minorHAnsi"/>
          <w:b/>
          <w:szCs w:val="24"/>
        </w:rPr>
        <w:t>The SRG application process includes the following components</w:t>
      </w:r>
    </w:p>
    <w:p w14:paraId="7DD72CC4" w14:textId="77777777" w:rsidR="000E7C88" w:rsidRPr="00D979F2" w:rsidRDefault="000E7C88" w:rsidP="000E7C88">
      <w:pPr>
        <w:pStyle w:val="ColorfulList-Accent11"/>
        <w:numPr>
          <w:ilvl w:val="0"/>
          <w:numId w:val="2"/>
        </w:numPr>
        <w:spacing w:before="120" w:after="120"/>
        <w:rPr>
          <w:rFonts w:asciiTheme="minorHAnsi" w:hAnsiTheme="minorHAnsi" w:cstheme="minorHAnsi"/>
          <w:szCs w:val="24"/>
        </w:rPr>
      </w:pPr>
      <w:r w:rsidRPr="00D979F2">
        <w:rPr>
          <w:rFonts w:asciiTheme="minorHAnsi" w:hAnsiTheme="minorHAnsi" w:cstheme="minorHAnsi"/>
          <w:szCs w:val="24"/>
        </w:rPr>
        <w:t xml:space="preserve">District and school completion and submission of </w:t>
      </w:r>
      <w:r>
        <w:rPr>
          <w:rFonts w:asciiTheme="minorHAnsi" w:hAnsiTheme="minorHAnsi" w:cstheme="minorHAnsi"/>
          <w:szCs w:val="24"/>
        </w:rPr>
        <w:t>the</w:t>
      </w:r>
      <w:r w:rsidRPr="00D979F2">
        <w:rPr>
          <w:rFonts w:asciiTheme="minorHAnsi" w:hAnsiTheme="minorHAnsi" w:cstheme="minorHAnsi"/>
          <w:szCs w:val="24"/>
        </w:rPr>
        <w:t xml:space="preserve"> application for each SRG school by </w:t>
      </w:r>
      <w:r w:rsidRPr="00D979F2">
        <w:rPr>
          <w:rFonts w:asciiTheme="minorHAnsi" w:hAnsiTheme="minorHAnsi" w:cstheme="minorHAnsi"/>
          <w:b/>
          <w:szCs w:val="24"/>
        </w:rPr>
        <w:t>April 30, 2019</w:t>
      </w:r>
    </w:p>
    <w:p w14:paraId="42DD4813" w14:textId="7EBAC467" w:rsidR="000E7C88" w:rsidRDefault="000E7C88" w:rsidP="000E7C88">
      <w:pPr>
        <w:pStyle w:val="ColorfulList-Accent11"/>
        <w:numPr>
          <w:ilvl w:val="0"/>
          <w:numId w:val="2"/>
        </w:numPr>
        <w:spacing w:before="120" w:after="120"/>
        <w:rPr>
          <w:rFonts w:asciiTheme="minorHAnsi" w:hAnsiTheme="minorHAnsi" w:cstheme="minorHAnsi"/>
          <w:szCs w:val="24"/>
        </w:rPr>
      </w:pPr>
      <w:r w:rsidRPr="00D979F2">
        <w:rPr>
          <w:rFonts w:asciiTheme="minorHAnsi" w:hAnsiTheme="minorHAnsi" w:cstheme="minorHAnsi"/>
          <w:szCs w:val="24"/>
        </w:rPr>
        <w:t>Formal review of each SRG application by DESE based on the scoring rubric (the rubric is Appendix A, provided below)</w:t>
      </w:r>
      <w:r w:rsidR="007829AC">
        <w:rPr>
          <w:rFonts w:asciiTheme="minorHAnsi" w:hAnsiTheme="minorHAnsi" w:cstheme="minorHAnsi"/>
          <w:szCs w:val="24"/>
        </w:rPr>
        <w:t xml:space="preserve"> in early to mid-</w:t>
      </w:r>
      <w:r>
        <w:rPr>
          <w:rFonts w:asciiTheme="minorHAnsi" w:hAnsiTheme="minorHAnsi" w:cstheme="minorHAnsi"/>
          <w:szCs w:val="24"/>
        </w:rPr>
        <w:t>May</w:t>
      </w:r>
      <w:r w:rsidR="007829AC">
        <w:rPr>
          <w:rFonts w:asciiTheme="minorHAnsi" w:hAnsiTheme="minorHAnsi" w:cstheme="minorHAnsi"/>
          <w:szCs w:val="24"/>
        </w:rPr>
        <w:t xml:space="preserve"> </w:t>
      </w:r>
    </w:p>
    <w:p w14:paraId="3E22D7E5" w14:textId="77777777" w:rsidR="000E7C88" w:rsidRPr="00D979F2" w:rsidRDefault="000E7C88" w:rsidP="000E7C88">
      <w:pPr>
        <w:pStyle w:val="ColorfulList-Accent11"/>
        <w:numPr>
          <w:ilvl w:val="0"/>
          <w:numId w:val="2"/>
        </w:numPr>
        <w:spacing w:before="120" w:after="120"/>
        <w:rPr>
          <w:rFonts w:asciiTheme="minorHAnsi" w:hAnsiTheme="minorHAnsi" w:cstheme="minorHAnsi"/>
          <w:szCs w:val="24"/>
        </w:rPr>
      </w:pPr>
      <w:r>
        <w:rPr>
          <w:rFonts w:asciiTheme="minorHAnsi" w:hAnsiTheme="minorHAnsi" w:cstheme="minorHAnsi"/>
          <w:szCs w:val="24"/>
        </w:rPr>
        <w:t>District and school leaders will be interviewed by DESE staff in mid to late May</w:t>
      </w:r>
    </w:p>
    <w:p w14:paraId="59C1419C" w14:textId="77777777" w:rsidR="000E7C88" w:rsidRPr="00D8509E" w:rsidRDefault="000E7C88" w:rsidP="000E7C88">
      <w:pPr>
        <w:pStyle w:val="ColorfulList-Accent11"/>
        <w:numPr>
          <w:ilvl w:val="0"/>
          <w:numId w:val="2"/>
        </w:numPr>
        <w:spacing w:before="120" w:after="120"/>
        <w:rPr>
          <w:rFonts w:asciiTheme="minorHAnsi" w:hAnsiTheme="minorHAnsi" w:cstheme="minorHAnsi"/>
          <w:szCs w:val="24"/>
        </w:rPr>
      </w:pPr>
      <w:r w:rsidRPr="00D979F2">
        <w:rPr>
          <w:rFonts w:asciiTheme="minorHAnsi" w:hAnsiTheme="minorHAnsi" w:cstheme="minorHAnsi"/>
          <w:szCs w:val="24"/>
        </w:rPr>
        <w:t>Announcement of award of FY20 funding by June, 2019</w:t>
      </w:r>
    </w:p>
    <w:p w14:paraId="0A4CFEF2" w14:textId="77777777" w:rsidR="000E7C88" w:rsidRDefault="000E7C88" w:rsidP="00771E45">
      <w:pPr>
        <w:rPr>
          <w:rFonts w:asciiTheme="minorHAnsi" w:hAnsiTheme="minorHAnsi" w:cstheme="minorHAnsi"/>
          <w:b/>
          <w:szCs w:val="24"/>
        </w:rPr>
      </w:pPr>
    </w:p>
    <w:p w14:paraId="271A3752" w14:textId="479A6CCE" w:rsidR="00771E45" w:rsidRPr="00D979F2" w:rsidRDefault="00BA645B" w:rsidP="00771E45">
      <w:pPr>
        <w:rPr>
          <w:rFonts w:asciiTheme="minorHAnsi" w:hAnsiTheme="minorHAnsi" w:cstheme="minorHAnsi"/>
          <w:b/>
          <w:szCs w:val="24"/>
        </w:rPr>
      </w:pPr>
      <w:r w:rsidRPr="00D979F2">
        <w:rPr>
          <w:rFonts w:asciiTheme="minorHAnsi" w:hAnsiTheme="minorHAnsi" w:cstheme="minorHAnsi"/>
          <w:b/>
          <w:szCs w:val="24"/>
        </w:rPr>
        <w:t>Other I</w:t>
      </w:r>
      <w:r w:rsidR="00D90033" w:rsidRPr="00D979F2">
        <w:rPr>
          <w:rFonts w:asciiTheme="minorHAnsi" w:hAnsiTheme="minorHAnsi" w:cstheme="minorHAnsi"/>
          <w:b/>
          <w:szCs w:val="24"/>
        </w:rPr>
        <w:t>mportant No</w:t>
      </w:r>
      <w:r w:rsidR="00771E45" w:rsidRPr="00D979F2">
        <w:rPr>
          <w:rFonts w:asciiTheme="minorHAnsi" w:hAnsiTheme="minorHAnsi" w:cstheme="minorHAnsi"/>
          <w:b/>
          <w:szCs w:val="24"/>
        </w:rPr>
        <w:t>tes:</w:t>
      </w:r>
    </w:p>
    <w:p w14:paraId="51EA7EAF" w14:textId="634512CA" w:rsidR="00D90033" w:rsidRDefault="001B5A43" w:rsidP="004B4C34">
      <w:pPr>
        <w:pStyle w:val="ListParagraph"/>
        <w:numPr>
          <w:ilvl w:val="0"/>
          <w:numId w:val="24"/>
        </w:numPr>
        <w:rPr>
          <w:rFonts w:asciiTheme="minorHAnsi" w:hAnsiTheme="minorHAnsi" w:cstheme="minorHAnsi"/>
          <w:bCs/>
          <w:sz w:val="24"/>
          <w:szCs w:val="24"/>
        </w:rPr>
      </w:pPr>
      <w:r>
        <w:rPr>
          <w:rFonts w:asciiTheme="minorHAnsi" w:hAnsiTheme="minorHAnsi" w:cstheme="minorHAnsi"/>
          <w:bCs/>
          <w:sz w:val="24"/>
          <w:szCs w:val="24"/>
        </w:rPr>
        <w:t>Applications will be scored using</w:t>
      </w:r>
      <w:r w:rsidR="00624D8C" w:rsidRPr="00D979F2">
        <w:rPr>
          <w:rFonts w:asciiTheme="minorHAnsi" w:hAnsiTheme="minorHAnsi" w:cstheme="minorHAnsi"/>
          <w:bCs/>
          <w:sz w:val="24"/>
          <w:szCs w:val="24"/>
        </w:rPr>
        <w:t xml:space="preserve"> a review process by</w:t>
      </w:r>
      <w:r w:rsidR="00771E45" w:rsidRPr="00D979F2">
        <w:rPr>
          <w:rFonts w:asciiTheme="minorHAnsi" w:hAnsiTheme="minorHAnsi" w:cstheme="minorHAnsi"/>
          <w:bCs/>
          <w:sz w:val="24"/>
          <w:szCs w:val="24"/>
        </w:rPr>
        <w:t xml:space="preserve"> </w:t>
      </w:r>
      <w:r w:rsidR="002F72EB" w:rsidRPr="00D979F2">
        <w:rPr>
          <w:rFonts w:asciiTheme="minorHAnsi" w:hAnsiTheme="minorHAnsi" w:cstheme="minorHAnsi"/>
          <w:bCs/>
          <w:sz w:val="24"/>
          <w:szCs w:val="24"/>
        </w:rPr>
        <w:t>D</w:t>
      </w:r>
      <w:r w:rsidR="00771E45" w:rsidRPr="00D979F2">
        <w:rPr>
          <w:rFonts w:asciiTheme="minorHAnsi" w:hAnsiTheme="minorHAnsi" w:cstheme="minorHAnsi"/>
          <w:bCs/>
          <w:sz w:val="24"/>
          <w:szCs w:val="24"/>
        </w:rPr>
        <w:t xml:space="preserve">ESE </w:t>
      </w:r>
      <w:r w:rsidR="00C3677A" w:rsidRPr="00D979F2">
        <w:rPr>
          <w:rFonts w:asciiTheme="minorHAnsi" w:hAnsiTheme="minorHAnsi" w:cstheme="minorHAnsi"/>
          <w:bCs/>
          <w:sz w:val="24"/>
          <w:szCs w:val="24"/>
        </w:rPr>
        <w:t>according to the Scoring Rubric</w:t>
      </w:r>
      <w:r w:rsidR="00771E45" w:rsidRPr="00D979F2">
        <w:rPr>
          <w:rFonts w:asciiTheme="minorHAnsi" w:hAnsiTheme="minorHAnsi" w:cstheme="minorHAnsi"/>
          <w:bCs/>
          <w:sz w:val="24"/>
          <w:szCs w:val="24"/>
        </w:rPr>
        <w:t xml:space="preserve"> (Appendix A</w:t>
      </w:r>
      <w:r w:rsidR="00D90033" w:rsidRPr="00D979F2">
        <w:rPr>
          <w:rFonts w:asciiTheme="minorHAnsi" w:hAnsiTheme="minorHAnsi" w:cstheme="minorHAnsi"/>
          <w:bCs/>
          <w:sz w:val="24"/>
          <w:szCs w:val="24"/>
        </w:rPr>
        <w:t>)</w:t>
      </w:r>
    </w:p>
    <w:p w14:paraId="6BEEB19D" w14:textId="4A1C95A5" w:rsidR="000E7C88" w:rsidRPr="008006E2" w:rsidRDefault="000E7C88" w:rsidP="008006E2">
      <w:pPr>
        <w:pStyle w:val="Default"/>
        <w:numPr>
          <w:ilvl w:val="0"/>
          <w:numId w:val="24"/>
        </w:numPr>
        <w:spacing w:after="112"/>
        <w:rPr>
          <w:rFonts w:asciiTheme="minorHAnsi" w:hAnsiTheme="minorHAnsi" w:cstheme="minorHAnsi"/>
          <w:bCs/>
        </w:rPr>
      </w:pPr>
      <w:r w:rsidRPr="00F84702">
        <w:rPr>
          <w:rFonts w:asciiTheme="minorHAnsi" w:hAnsiTheme="minorHAnsi" w:cstheme="minorHAnsi"/>
        </w:rPr>
        <w:t xml:space="preserve">We </w:t>
      </w:r>
      <w:r w:rsidRPr="00F84702">
        <w:rPr>
          <w:rFonts w:asciiTheme="minorHAnsi" w:hAnsiTheme="minorHAnsi" w:cstheme="minorHAnsi"/>
          <w:i/>
          <w:u w:val="single"/>
        </w:rPr>
        <w:t>strongly recommend</w:t>
      </w:r>
      <w:r w:rsidRPr="00F84702">
        <w:rPr>
          <w:rFonts w:asciiTheme="minorHAnsi" w:hAnsiTheme="minorHAnsi" w:cstheme="minorHAnsi"/>
        </w:rPr>
        <w:t xml:space="preserve"> reviewing the scoring rub</w:t>
      </w:r>
      <w:r>
        <w:rPr>
          <w:rFonts w:asciiTheme="minorHAnsi" w:hAnsiTheme="minorHAnsi" w:cstheme="minorHAnsi"/>
        </w:rPr>
        <w:t>ric</w:t>
      </w:r>
      <w:r w:rsidRPr="00F84702">
        <w:rPr>
          <w:rFonts w:asciiTheme="minorHAnsi" w:hAnsiTheme="minorHAnsi" w:cstheme="minorHAnsi"/>
        </w:rPr>
        <w:t>. This will</w:t>
      </w:r>
      <w:r>
        <w:rPr>
          <w:rFonts w:asciiTheme="minorHAnsi" w:hAnsiTheme="minorHAnsi" w:cstheme="minorHAnsi"/>
        </w:rPr>
        <w:t xml:space="preserve"> help schools ensure the</w:t>
      </w:r>
      <w:r w:rsidRPr="00F84702">
        <w:rPr>
          <w:rFonts w:asciiTheme="minorHAnsi" w:hAnsiTheme="minorHAnsi" w:cstheme="minorHAnsi"/>
        </w:rPr>
        <w:t xml:space="preserve"> application aligns with grant expectations.</w:t>
      </w:r>
      <w:r w:rsidRPr="00F84702">
        <w:rPr>
          <w:rFonts w:asciiTheme="minorHAnsi" w:hAnsiTheme="minorHAnsi" w:cstheme="minorHAnsi"/>
          <w:b/>
        </w:rPr>
        <w:t xml:space="preserve"> </w:t>
      </w:r>
      <w:r w:rsidRPr="00F84702">
        <w:rPr>
          <w:rFonts w:asciiTheme="minorHAnsi" w:hAnsiTheme="minorHAnsi" w:cstheme="minorHAnsi"/>
        </w:rPr>
        <w:t xml:space="preserve">Schools applying for funding should carefully review ALL rubric items and grant requirements to ensure they are addressed in the turnaround plan narrative </w:t>
      </w:r>
      <w:r w:rsidRPr="00FB6267">
        <w:rPr>
          <w:rFonts w:asciiTheme="minorHAnsi" w:hAnsiTheme="minorHAnsi" w:cstheme="minorHAnsi"/>
          <w:i/>
        </w:rPr>
        <w:t>prior</w:t>
      </w:r>
      <w:r w:rsidRPr="00F84702">
        <w:rPr>
          <w:rFonts w:asciiTheme="minorHAnsi" w:hAnsiTheme="minorHAnsi" w:cstheme="minorHAnsi"/>
        </w:rPr>
        <w:t xml:space="preserve"> to submitting the grant application.</w:t>
      </w:r>
    </w:p>
    <w:p w14:paraId="1235AD6C" w14:textId="460A3D47" w:rsidR="005E7A5C" w:rsidRPr="00441842" w:rsidRDefault="00771E45" w:rsidP="00441842">
      <w:pPr>
        <w:pStyle w:val="ListParagraph"/>
        <w:numPr>
          <w:ilvl w:val="0"/>
          <w:numId w:val="24"/>
        </w:numPr>
        <w:rPr>
          <w:rFonts w:asciiTheme="minorHAnsi" w:hAnsiTheme="minorHAnsi" w:cstheme="minorHAnsi"/>
          <w:bCs/>
          <w:sz w:val="24"/>
          <w:szCs w:val="24"/>
        </w:rPr>
        <w:sectPr w:rsidR="005E7A5C" w:rsidRPr="00441842" w:rsidSect="004836F1">
          <w:headerReference w:type="default" r:id="rId13"/>
          <w:footerReference w:type="default" r:id="rId14"/>
          <w:pgSz w:w="12240" w:h="15840"/>
          <w:pgMar w:top="1152" w:right="1440" w:bottom="1152" w:left="1440" w:header="720" w:footer="720" w:gutter="0"/>
          <w:cols w:space="720"/>
        </w:sectPr>
      </w:pPr>
      <w:r w:rsidRPr="00D979F2">
        <w:rPr>
          <w:rFonts w:asciiTheme="minorHAnsi" w:hAnsiTheme="minorHAnsi" w:cstheme="minorHAnsi"/>
          <w:bCs/>
          <w:sz w:val="24"/>
          <w:szCs w:val="24"/>
        </w:rPr>
        <w:t>A</w:t>
      </w:r>
      <w:r w:rsidR="001B5A43">
        <w:rPr>
          <w:rFonts w:asciiTheme="minorHAnsi" w:hAnsiTheme="minorHAnsi" w:cstheme="minorHAnsi"/>
          <w:bCs/>
          <w:sz w:val="24"/>
          <w:szCs w:val="24"/>
        </w:rPr>
        <w:t>ny questions regarding the SRG a</w:t>
      </w:r>
      <w:r w:rsidRPr="00D979F2">
        <w:rPr>
          <w:rFonts w:asciiTheme="minorHAnsi" w:hAnsiTheme="minorHAnsi" w:cstheme="minorHAnsi"/>
          <w:bCs/>
          <w:sz w:val="24"/>
          <w:szCs w:val="24"/>
        </w:rPr>
        <w:t xml:space="preserve">pplication should be directed to </w:t>
      </w:r>
      <w:r w:rsidR="00B14C0E" w:rsidRPr="00D979F2">
        <w:rPr>
          <w:rFonts w:asciiTheme="minorHAnsi" w:hAnsiTheme="minorHAnsi" w:cstheme="minorHAnsi"/>
          <w:bCs/>
          <w:sz w:val="24"/>
          <w:szCs w:val="24"/>
        </w:rPr>
        <w:t>Michael Seymour</w:t>
      </w:r>
      <w:r w:rsidRPr="00D979F2">
        <w:rPr>
          <w:rFonts w:asciiTheme="minorHAnsi" w:hAnsiTheme="minorHAnsi" w:cstheme="minorHAnsi"/>
          <w:bCs/>
          <w:sz w:val="24"/>
          <w:szCs w:val="24"/>
        </w:rPr>
        <w:t xml:space="preserve"> at </w:t>
      </w:r>
      <w:hyperlink r:id="rId15" w:history="1">
        <w:r w:rsidR="0072079D" w:rsidRPr="00D979F2">
          <w:rPr>
            <w:rStyle w:val="Hyperlink"/>
            <w:rFonts w:asciiTheme="minorHAnsi" w:hAnsiTheme="minorHAnsi" w:cstheme="minorHAnsi"/>
            <w:bCs/>
            <w:sz w:val="24"/>
            <w:szCs w:val="24"/>
          </w:rPr>
          <w:t>mseymour@doe.mass.edu</w:t>
        </w:r>
      </w:hyperlink>
      <w:r w:rsidRPr="00D979F2">
        <w:rPr>
          <w:rFonts w:asciiTheme="minorHAnsi" w:hAnsiTheme="minorHAnsi" w:cstheme="minorHAnsi"/>
          <w:bCs/>
          <w:sz w:val="24"/>
          <w:szCs w:val="24"/>
        </w:rPr>
        <w:t xml:space="preserve"> or 781-338-35</w:t>
      </w:r>
      <w:r w:rsidR="00B14C0E" w:rsidRPr="00D979F2">
        <w:rPr>
          <w:rFonts w:asciiTheme="minorHAnsi" w:hAnsiTheme="minorHAnsi" w:cstheme="minorHAnsi"/>
          <w:bCs/>
          <w:sz w:val="24"/>
          <w:szCs w:val="24"/>
        </w:rPr>
        <w:t>14</w:t>
      </w:r>
      <w:r w:rsidRPr="00D979F2">
        <w:rPr>
          <w:rFonts w:asciiTheme="minorHAnsi" w:hAnsiTheme="minorHAnsi" w:cstheme="minorHAnsi"/>
          <w:bCs/>
          <w:sz w:val="24"/>
          <w:szCs w:val="24"/>
        </w:rPr>
        <w:t>.</w:t>
      </w:r>
    </w:p>
    <w:p w14:paraId="3021D2B8" w14:textId="7C0B6A55" w:rsidR="00441842" w:rsidRPr="00441842" w:rsidRDefault="00441842" w:rsidP="00441842">
      <w:pPr>
        <w:tabs>
          <w:tab w:val="left" w:pos="5021"/>
        </w:tabs>
        <w:rPr>
          <w:rFonts w:asciiTheme="minorHAnsi" w:hAnsiTheme="minorHAnsi" w:cstheme="minorHAnsi"/>
          <w:sz w:val="28"/>
          <w:szCs w:val="28"/>
        </w:rPr>
      </w:pPr>
    </w:p>
    <w:p w14:paraId="64C1BF6F" w14:textId="77777777" w:rsidR="00441842" w:rsidRPr="00441842" w:rsidRDefault="00441842" w:rsidP="00441842">
      <w:pPr>
        <w:rPr>
          <w:rFonts w:asciiTheme="minorHAnsi" w:hAnsiTheme="minorHAnsi" w:cstheme="minorHAnsi"/>
          <w:sz w:val="28"/>
          <w:szCs w:val="28"/>
        </w:rPr>
      </w:pPr>
    </w:p>
    <w:p w14:paraId="7C50400E" w14:textId="77777777" w:rsidR="00441842" w:rsidRPr="00441842" w:rsidRDefault="00441842" w:rsidP="00441842">
      <w:pPr>
        <w:rPr>
          <w:rFonts w:asciiTheme="minorHAnsi" w:hAnsiTheme="minorHAnsi" w:cstheme="minorHAnsi"/>
          <w:sz w:val="28"/>
          <w:szCs w:val="28"/>
        </w:rPr>
      </w:pPr>
    </w:p>
    <w:p w14:paraId="570FF5FE" w14:textId="4E74C222" w:rsidR="004D4641" w:rsidRPr="00441842" w:rsidRDefault="00441842" w:rsidP="00441842">
      <w:pPr>
        <w:pStyle w:val="ListParagraph"/>
        <w:numPr>
          <w:ilvl w:val="0"/>
          <w:numId w:val="25"/>
        </w:numPr>
        <w:tabs>
          <w:tab w:val="left" w:pos="2317"/>
        </w:tabs>
        <w:rPr>
          <w:rFonts w:asciiTheme="minorHAnsi" w:hAnsiTheme="minorHAnsi" w:cstheme="minorHAnsi"/>
          <w:b/>
          <w:sz w:val="28"/>
          <w:szCs w:val="28"/>
        </w:rPr>
      </w:pPr>
      <w:r>
        <w:rPr>
          <w:rFonts w:asciiTheme="minorHAnsi" w:hAnsiTheme="minorHAnsi" w:cstheme="minorHAnsi"/>
          <w:b/>
          <w:sz w:val="28"/>
          <w:szCs w:val="28"/>
        </w:rPr>
        <w:t>Ove</w:t>
      </w:r>
      <w:r w:rsidR="00CE23A2" w:rsidRPr="00441842">
        <w:rPr>
          <w:rFonts w:asciiTheme="minorHAnsi" w:hAnsiTheme="minorHAnsi" w:cstheme="minorHAnsi"/>
          <w:b/>
          <w:sz w:val="28"/>
          <w:szCs w:val="28"/>
        </w:rPr>
        <w:t xml:space="preserve">rview </w:t>
      </w:r>
    </w:p>
    <w:p w14:paraId="0FC747B4" w14:textId="77777777" w:rsidR="008C028A" w:rsidRPr="008C028A" w:rsidRDefault="008C028A" w:rsidP="008C028A">
      <w:pPr>
        <w:pStyle w:val="ListParagraph"/>
        <w:spacing w:before="40" w:after="40"/>
        <w:outlineLvl w:val="0"/>
        <w:rPr>
          <w:rFonts w:asciiTheme="minorHAnsi" w:hAnsiTheme="minorHAnsi" w:cstheme="minorHAnsi"/>
          <w:b/>
          <w:sz w:val="28"/>
          <w:szCs w:val="28"/>
          <w:u w:val="single"/>
        </w:rPr>
      </w:pPr>
    </w:p>
    <w:p w14:paraId="5229AD96" w14:textId="11D387BC" w:rsidR="000468A5" w:rsidRPr="008006E2" w:rsidRDefault="000468A5" w:rsidP="000468A5">
      <w:pPr>
        <w:rPr>
          <w:rFonts w:asciiTheme="minorHAnsi" w:hAnsiTheme="minorHAnsi" w:cstheme="minorHAnsi"/>
          <w:color w:val="333333"/>
          <w:szCs w:val="24"/>
          <w:shd w:val="clear" w:color="auto" w:fill="FFFFFF"/>
        </w:rPr>
      </w:pPr>
      <w:r w:rsidRPr="008006E2">
        <w:rPr>
          <w:rFonts w:asciiTheme="minorHAnsi" w:hAnsiTheme="minorHAnsi" w:cstheme="minorHAnsi"/>
          <w:color w:val="333333"/>
          <w:szCs w:val="24"/>
          <w:shd w:val="clear" w:color="auto" w:fill="FFFFFF"/>
        </w:rPr>
        <w:t xml:space="preserve">School Redesign Grants (SRG) are federally-funded, competitive grants that help districts improve their lowest performing schools. </w:t>
      </w:r>
      <w:r w:rsidR="002230B9">
        <w:rPr>
          <w:rFonts w:asciiTheme="minorHAnsi" w:hAnsiTheme="minorHAnsi" w:cstheme="minorHAnsi"/>
          <w:color w:val="333333"/>
          <w:szCs w:val="24"/>
          <w:shd w:val="clear" w:color="auto" w:fill="FFFFFF"/>
        </w:rPr>
        <w:t>SRG</w:t>
      </w:r>
      <w:r w:rsidRPr="008006E2">
        <w:rPr>
          <w:rFonts w:asciiTheme="minorHAnsi" w:hAnsiTheme="minorHAnsi" w:cstheme="minorHAnsi"/>
          <w:color w:val="333333"/>
          <w:szCs w:val="24"/>
          <w:shd w:val="clear" w:color="auto" w:fill="FFFFFF"/>
        </w:rPr>
        <w:t xml:space="preserve"> help</w:t>
      </w:r>
      <w:r w:rsidR="00282194">
        <w:rPr>
          <w:rFonts w:asciiTheme="minorHAnsi" w:hAnsiTheme="minorHAnsi" w:cstheme="minorHAnsi"/>
          <w:color w:val="333333"/>
          <w:szCs w:val="24"/>
          <w:shd w:val="clear" w:color="auto" w:fill="FFFFFF"/>
        </w:rPr>
        <w:t>s</w:t>
      </w:r>
      <w:r w:rsidRPr="008006E2">
        <w:rPr>
          <w:rFonts w:asciiTheme="minorHAnsi" w:hAnsiTheme="minorHAnsi" w:cstheme="minorHAnsi"/>
          <w:color w:val="333333"/>
          <w:szCs w:val="24"/>
          <w:shd w:val="clear" w:color="auto" w:fill="FFFFFF"/>
        </w:rPr>
        <w:t xml:space="preserve"> districts and schools meet students' needs through funding improvement strategies such as increased time for student learning, professional development for educators, and academic enrichment programs for students. Each year eligibility is determined by the lowest performing schools in the Commonwealth based on our state's accountability system.</w:t>
      </w:r>
    </w:p>
    <w:p w14:paraId="0B68108D" w14:textId="77777777" w:rsidR="000468A5" w:rsidRPr="00DA0729" w:rsidRDefault="000468A5" w:rsidP="000468A5">
      <w:pPr>
        <w:rPr>
          <w:rFonts w:asciiTheme="minorHAnsi" w:eastAsia="Calibri" w:hAnsiTheme="minorHAnsi"/>
          <w:sz w:val="22"/>
          <w:szCs w:val="22"/>
        </w:rPr>
      </w:pPr>
    </w:p>
    <w:p w14:paraId="324FB9D4" w14:textId="266A637F" w:rsidR="000468A5" w:rsidRDefault="000468A5" w:rsidP="000468A5">
      <w:pPr>
        <w:rPr>
          <w:rFonts w:asciiTheme="minorHAnsi" w:eastAsia="Calibri" w:hAnsiTheme="minorHAnsi"/>
          <w:szCs w:val="24"/>
        </w:rPr>
      </w:pPr>
      <w:r w:rsidRPr="008006E2">
        <w:rPr>
          <w:rFonts w:asciiTheme="minorHAnsi" w:eastAsia="Calibri" w:hAnsiTheme="minorHAnsi"/>
          <w:szCs w:val="24"/>
        </w:rPr>
        <w:t>Research shows that Massachusetts turnaround schools that achieved dramatic academic and non-academic improvements have actively utilized the authorities</w:t>
      </w:r>
      <w:r w:rsidRPr="008006E2">
        <w:rPr>
          <w:rFonts w:asciiTheme="minorHAnsi" w:eastAsia="Calibri" w:hAnsiTheme="minorHAnsi"/>
          <w:i/>
          <w:szCs w:val="24"/>
        </w:rPr>
        <w:t xml:space="preserve"> </w:t>
      </w:r>
      <w:r w:rsidRPr="008006E2">
        <w:rPr>
          <w:rFonts w:asciiTheme="minorHAnsi" w:eastAsia="Calibri" w:hAnsiTheme="minorHAnsi"/>
          <w:szCs w:val="24"/>
        </w:rPr>
        <w:t>afforded to them throug</w:t>
      </w:r>
      <w:r>
        <w:rPr>
          <w:rFonts w:asciiTheme="minorHAnsi" w:eastAsia="Calibri" w:hAnsiTheme="minorHAnsi"/>
          <w:szCs w:val="24"/>
        </w:rPr>
        <w:t>h Underperforming</w:t>
      </w:r>
      <w:r w:rsidRPr="008006E2">
        <w:rPr>
          <w:rFonts w:asciiTheme="minorHAnsi" w:eastAsia="Calibri" w:hAnsiTheme="minorHAnsi"/>
          <w:szCs w:val="24"/>
        </w:rPr>
        <w:t xml:space="preserve"> accountability status, utilized funding that was directly aligned to their needs, provided targeted instruction to students, and embedded district systems of support and monitoring to maximize the impacts of these fundamental conditions.  With those conditions in place, the schools focused their work in the following areas, which in turn has shaped the framework of the new turnaround template:</w:t>
      </w:r>
    </w:p>
    <w:p w14:paraId="5A77BA07" w14:textId="77777777" w:rsidR="00F02372" w:rsidRPr="008006E2" w:rsidRDefault="00F02372" w:rsidP="000468A5">
      <w:pPr>
        <w:rPr>
          <w:rFonts w:asciiTheme="minorHAnsi" w:eastAsia="Calibri" w:hAnsiTheme="minorHAnsi"/>
          <w:szCs w:val="24"/>
        </w:rPr>
      </w:pPr>
    </w:p>
    <w:p w14:paraId="3798D43B" w14:textId="547F4F14" w:rsidR="000468A5" w:rsidRPr="008006E2" w:rsidRDefault="000468A5" w:rsidP="000468A5">
      <w:pPr>
        <w:pStyle w:val="ListParagraph"/>
        <w:numPr>
          <w:ilvl w:val="0"/>
          <w:numId w:val="32"/>
        </w:numPr>
        <w:contextualSpacing/>
        <w:rPr>
          <w:rFonts w:asciiTheme="minorHAnsi" w:hAnsiTheme="minorHAnsi"/>
          <w:b/>
          <w:bCs/>
          <w:sz w:val="24"/>
          <w:szCs w:val="24"/>
          <w:lang w:eastAsia="ja-JP"/>
        </w:rPr>
      </w:pPr>
      <w:r w:rsidRPr="008006E2">
        <w:rPr>
          <w:rFonts w:asciiTheme="minorHAnsi" w:hAnsiTheme="minorHAnsi"/>
          <w:b/>
          <w:bCs/>
          <w:sz w:val="24"/>
          <w:szCs w:val="24"/>
          <w:lang w:eastAsia="ja-JP"/>
        </w:rPr>
        <w:t>Leadership, shared responsibility and professional collaboration (Turnaround Practice 1)</w:t>
      </w:r>
    </w:p>
    <w:p w14:paraId="7D12A995" w14:textId="15BA9048" w:rsidR="000468A5" w:rsidRPr="008006E2" w:rsidRDefault="000468A5" w:rsidP="000468A5">
      <w:pPr>
        <w:pStyle w:val="ListParagraph"/>
        <w:numPr>
          <w:ilvl w:val="0"/>
          <w:numId w:val="32"/>
        </w:numPr>
        <w:contextualSpacing/>
        <w:rPr>
          <w:rFonts w:asciiTheme="minorHAnsi" w:hAnsiTheme="minorHAnsi"/>
          <w:b/>
          <w:bCs/>
          <w:sz w:val="24"/>
          <w:szCs w:val="24"/>
          <w:lang w:eastAsia="ja-JP"/>
        </w:rPr>
      </w:pPr>
      <w:r w:rsidRPr="008006E2">
        <w:rPr>
          <w:rFonts w:asciiTheme="minorHAnsi" w:hAnsiTheme="minorHAnsi"/>
          <w:b/>
          <w:bCs/>
          <w:sz w:val="24"/>
          <w:szCs w:val="24"/>
          <w:lang w:eastAsia="ja-JP"/>
        </w:rPr>
        <w:t>Intentional practices for improving instruction (Turnaround Practice 2)</w:t>
      </w:r>
    </w:p>
    <w:p w14:paraId="5000A447" w14:textId="2B8005E7" w:rsidR="000468A5" w:rsidRPr="008006E2" w:rsidRDefault="000468A5" w:rsidP="000468A5">
      <w:pPr>
        <w:pStyle w:val="ListParagraph"/>
        <w:numPr>
          <w:ilvl w:val="0"/>
          <w:numId w:val="32"/>
        </w:numPr>
        <w:contextualSpacing/>
        <w:rPr>
          <w:rFonts w:asciiTheme="minorHAnsi" w:hAnsiTheme="minorHAnsi"/>
          <w:b/>
          <w:bCs/>
          <w:sz w:val="24"/>
          <w:szCs w:val="24"/>
          <w:lang w:eastAsia="ja-JP"/>
        </w:rPr>
      </w:pPr>
      <w:r w:rsidRPr="008006E2">
        <w:rPr>
          <w:rFonts w:asciiTheme="minorHAnsi" w:hAnsiTheme="minorHAnsi"/>
          <w:b/>
          <w:bCs/>
          <w:sz w:val="24"/>
          <w:szCs w:val="24"/>
          <w:lang w:eastAsia="ja-JP"/>
        </w:rPr>
        <w:t>Student-specific supports and instruction to all students (Turnaround Practice 3)</w:t>
      </w:r>
    </w:p>
    <w:p w14:paraId="43AB080B" w14:textId="2F4702E1" w:rsidR="000468A5" w:rsidRPr="008006E2" w:rsidRDefault="000468A5" w:rsidP="000468A5">
      <w:pPr>
        <w:pStyle w:val="ListParagraph"/>
        <w:numPr>
          <w:ilvl w:val="0"/>
          <w:numId w:val="32"/>
        </w:numPr>
        <w:contextualSpacing/>
        <w:rPr>
          <w:rFonts w:asciiTheme="minorHAnsi" w:hAnsiTheme="minorHAnsi"/>
          <w:b/>
          <w:bCs/>
          <w:sz w:val="24"/>
          <w:szCs w:val="24"/>
          <w:lang w:eastAsia="ja-JP"/>
        </w:rPr>
      </w:pPr>
      <w:r w:rsidRPr="008006E2">
        <w:rPr>
          <w:rFonts w:asciiTheme="minorHAnsi" w:hAnsiTheme="minorHAnsi"/>
          <w:b/>
          <w:bCs/>
          <w:sz w:val="24"/>
          <w:szCs w:val="24"/>
          <w:lang w:eastAsia="ja-JP"/>
        </w:rPr>
        <w:t>School culture and climate (Turnaround Practice 4)</w:t>
      </w:r>
    </w:p>
    <w:p w14:paraId="524633C0" w14:textId="77777777" w:rsidR="000468A5" w:rsidRPr="00DA0729" w:rsidRDefault="000468A5" w:rsidP="008006E2">
      <w:pPr>
        <w:pStyle w:val="ListParagraph"/>
        <w:ind w:left="1080"/>
        <w:contextualSpacing/>
        <w:rPr>
          <w:rFonts w:asciiTheme="minorHAnsi" w:hAnsiTheme="minorHAnsi"/>
          <w:b/>
          <w:bCs/>
          <w:sz w:val="22"/>
          <w:szCs w:val="22"/>
          <w:lang w:eastAsia="ja-JP"/>
        </w:rPr>
      </w:pPr>
    </w:p>
    <w:p w14:paraId="13605615" w14:textId="7B0AEE37" w:rsidR="000468A5" w:rsidRPr="008006E2" w:rsidRDefault="000468A5" w:rsidP="000468A5">
      <w:pPr>
        <w:rPr>
          <w:rFonts w:asciiTheme="minorHAnsi" w:hAnsiTheme="minorHAnsi" w:cstheme="minorHAnsi"/>
          <w:bCs/>
          <w:szCs w:val="24"/>
          <w:lang w:eastAsia="ja-JP"/>
        </w:rPr>
      </w:pPr>
      <w:r w:rsidRPr="008006E2">
        <w:rPr>
          <w:rFonts w:asciiTheme="minorHAnsi" w:hAnsiTheme="minorHAnsi" w:cstheme="minorHAnsi"/>
          <w:bCs/>
          <w:szCs w:val="24"/>
          <w:lang w:eastAsia="ja-JP"/>
        </w:rPr>
        <w:t xml:space="preserve">Educators can access and learn from the effective turnaround practices engaged in by schools in Massachusetts which will inform their thinking and planning.  </w:t>
      </w:r>
      <w:r w:rsidR="00A70405">
        <w:rPr>
          <w:rFonts w:asciiTheme="minorHAnsi" w:hAnsiTheme="minorHAnsi" w:cstheme="minorHAnsi"/>
          <w:bCs/>
          <w:szCs w:val="24"/>
          <w:lang w:eastAsia="ja-JP"/>
        </w:rPr>
        <w:t>R</w:t>
      </w:r>
      <w:r w:rsidRPr="008006E2">
        <w:rPr>
          <w:rFonts w:asciiTheme="minorHAnsi" w:hAnsiTheme="minorHAnsi" w:cstheme="minorHAnsi"/>
          <w:bCs/>
          <w:szCs w:val="24"/>
          <w:lang w:eastAsia="ja-JP"/>
        </w:rPr>
        <w:t xml:space="preserve">esources </w:t>
      </w:r>
      <w:r w:rsidR="00A70405">
        <w:rPr>
          <w:rFonts w:asciiTheme="minorHAnsi" w:hAnsiTheme="minorHAnsi" w:cstheme="minorHAnsi"/>
          <w:bCs/>
          <w:szCs w:val="24"/>
          <w:lang w:eastAsia="ja-JP"/>
        </w:rPr>
        <w:t xml:space="preserve">on turnaround efforts in Massachusetts </w:t>
      </w:r>
      <w:r w:rsidRPr="008006E2">
        <w:rPr>
          <w:rFonts w:asciiTheme="minorHAnsi" w:hAnsiTheme="minorHAnsi" w:cstheme="minorHAnsi"/>
          <w:bCs/>
          <w:szCs w:val="24"/>
          <w:lang w:eastAsia="ja-JP"/>
        </w:rPr>
        <w:t xml:space="preserve">can be found on the DESE’s </w:t>
      </w:r>
      <w:hyperlink r:id="rId16" w:history="1">
        <w:r w:rsidRPr="008006E2">
          <w:rPr>
            <w:rStyle w:val="Hyperlink"/>
            <w:rFonts w:asciiTheme="minorHAnsi" w:hAnsiTheme="minorHAnsi" w:cstheme="minorHAnsi"/>
            <w:bCs/>
            <w:szCs w:val="24"/>
            <w:lang w:eastAsia="ja-JP"/>
          </w:rPr>
          <w:t>website</w:t>
        </w:r>
      </w:hyperlink>
      <w:r w:rsidRPr="008006E2">
        <w:rPr>
          <w:rFonts w:asciiTheme="minorHAnsi" w:hAnsiTheme="minorHAnsi" w:cstheme="minorHAnsi"/>
          <w:bCs/>
          <w:szCs w:val="24"/>
          <w:lang w:eastAsia="ja-JP"/>
        </w:rPr>
        <w:t xml:space="preserve">. </w:t>
      </w:r>
      <w:r w:rsidRPr="008006E2">
        <w:rPr>
          <w:rFonts w:asciiTheme="minorHAnsi" w:hAnsiTheme="minorHAnsi" w:cstheme="minorHAnsi"/>
          <w:szCs w:val="24"/>
        </w:rPr>
        <w:t xml:space="preserve"> </w:t>
      </w:r>
    </w:p>
    <w:p w14:paraId="71D30D10" w14:textId="77777777" w:rsidR="000468A5" w:rsidRPr="00DA0729" w:rsidRDefault="000468A5" w:rsidP="000468A5">
      <w:pPr>
        <w:rPr>
          <w:rFonts w:asciiTheme="minorHAnsi" w:hAnsiTheme="minorHAnsi"/>
          <w:bCs/>
          <w:sz w:val="22"/>
          <w:szCs w:val="22"/>
          <w:lang w:eastAsia="ja-JP"/>
        </w:rPr>
      </w:pPr>
    </w:p>
    <w:p w14:paraId="48A909CF" w14:textId="769CD938" w:rsidR="000468A5" w:rsidRPr="008006E2" w:rsidRDefault="000468A5" w:rsidP="000468A5">
      <w:pPr>
        <w:rPr>
          <w:rFonts w:asciiTheme="minorHAnsi" w:hAnsiTheme="minorHAnsi"/>
          <w:bCs/>
          <w:szCs w:val="24"/>
          <w:lang w:eastAsia="ja-JP"/>
        </w:rPr>
      </w:pPr>
      <w:r w:rsidRPr="008006E2">
        <w:rPr>
          <w:rFonts w:asciiTheme="minorHAnsi" w:hAnsiTheme="minorHAnsi"/>
          <w:bCs/>
          <w:szCs w:val="24"/>
          <w:lang w:eastAsia="ja-JP"/>
        </w:rPr>
        <w:t>The turnaround plan template was developed from the lessons learned ac</w:t>
      </w:r>
      <w:r w:rsidR="00F02372">
        <w:rPr>
          <w:rFonts w:asciiTheme="minorHAnsi" w:hAnsiTheme="minorHAnsi"/>
          <w:bCs/>
          <w:szCs w:val="24"/>
          <w:lang w:eastAsia="ja-JP"/>
        </w:rPr>
        <w:t>ross the state and based on these</w:t>
      </w:r>
      <w:r w:rsidRPr="008006E2">
        <w:rPr>
          <w:rFonts w:asciiTheme="minorHAnsi" w:hAnsiTheme="minorHAnsi"/>
          <w:bCs/>
          <w:szCs w:val="24"/>
          <w:lang w:eastAsia="ja-JP"/>
        </w:rPr>
        <w:t xml:space="preserve"> guiding principles: </w:t>
      </w:r>
    </w:p>
    <w:p w14:paraId="17EA32BA" w14:textId="77777777" w:rsidR="000468A5" w:rsidRPr="008006E2" w:rsidRDefault="000468A5" w:rsidP="000468A5">
      <w:pPr>
        <w:pStyle w:val="NormalWeb"/>
        <w:numPr>
          <w:ilvl w:val="3"/>
          <w:numId w:val="31"/>
        </w:numPr>
        <w:spacing w:before="0" w:beforeAutospacing="0" w:after="0" w:afterAutospacing="0"/>
        <w:ind w:left="1080"/>
        <w:rPr>
          <w:rFonts w:asciiTheme="minorHAnsi" w:hAnsiTheme="minorHAnsi"/>
          <w:sz w:val="24"/>
          <w:szCs w:val="24"/>
        </w:rPr>
      </w:pPr>
      <w:r w:rsidRPr="008006E2">
        <w:rPr>
          <w:rFonts w:asciiTheme="minorHAnsi" w:hAnsiTheme="minorHAnsi"/>
          <w:sz w:val="24"/>
          <w:szCs w:val="24"/>
        </w:rPr>
        <w:t>A streamlined plan with succinct narrative that is user-friendly and an authentic guide for all practitioners</w:t>
      </w:r>
    </w:p>
    <w:p w14:paraId="0EA8CBF6" w14:textId="77777777" w:rsidR="000468A5" w:rsidRPr="008006E2" w:rsidRDefault="000468A5" w:rsidP="000468A5">
      <w:pPr>
        <w:pStyle w:val="NormalWeb"/>
        <w:numPr>
          <w:ilvl w:val="3"/>
          <w:numId w:val="31"/>
        </w:numPr>
        <w:spacing w:before="0" w:beforeAutospacing="0" w:after="0" w:afterAutospacing="0"/>
        <w:ind w:left="1080"/>
        <w:rPr>
          <w:rFonts w:asciiTheme="minorHAnsi" w:hAnsiTheme="minorHAnsi"/>
          <w:sz w:val="24"/>
          <w:szCs w:val="24"/>
        </w:rPr>
      </w:pPr>
      <w:r w:rsidRPr="008006E2">
        <w:rPr>
          <w:rFonts w:asciiTheme="minorHAnsi" w:hAnsiTheme="minorHAnsi"/>
          <w:sz w:val="24"/>
          <w:szCs w:val="24"/>
        </w:rPr>
        <w:t>A plan that is built on benchmarks that effectively measure growth towards throughout the school year to determine if the school is making progress towards meeting their annual goals</w:t>
      </w:r>
    </w:p>
    <w:p w14:paraId="7CA54D4B" w14:textId="3AD89858" w:rsidR="000468A5" w:rsidRDefault="000468A5" w:rsidP="000468A5">
      <w:pPr>
        <w:pStyle w:val="NormalWeb"/>
        <w:numPr>
          <w:ilvl w:val="3"/>
          <w:numId w:val="31"/>
        </w:numPr>
        <w:spacing w:before="0" w:beforeAutospacing="0" w:after="0" w:afterAutospacing="0"/>
        <w:ind w:left="1080"/>
        <w:rPr>
          <w:rFonts w:asciiTheme="minorHAnsi" w:hAnsiTheme="minorHAnsi"/>
          <w:sz w:val="24"/>
          <w:szCs w:val="24"/>
        </w:rPr>
      </w:pPr>
      <w:r w:rsidRPr="008006E2">
        <w:rPr>
          <w:rFonts w:asciiTheme="minorHAnsi" w:hAnsiTheme="minorHAnsi"/>
          <w:sz w:val="24"/>
          <w:szCs w:val="24"/>
        </w:rPr>
        <w:t>A plan that can be used as a communication and reflection tool</w:t>
      </w:r>
    </w:p>
    <w:p w14:paraId="22594867" w14:textId="77777777" w:rsidR="00441842" w:rsidRDefault="00441842" w:rsidP="00441842">
      <w:pPr>
        <w:pStyle w:val="NormalWeb"/>
        <w:spacing w:before="0" w:beforeAutospacing="0" w:after="0" w:afterAutospacing="0"/>
        <w:ind w:left="1080"/>
        <w:rPr>
          <w:rFonts w:asciiTheme="minorHAnsi" w:hAnsiTheme="minorHAnsi"/>
          <w:sz w:val="24"/>
          <w:szCs w:val="24"/>
        </w:rPr>
      </w:pPr>
    </w:p>
    <w:p w14:paraId="28C799AF" w14:textId="77777777" w:rsidR="00A80CA0" w:rsidRDefault="00A80CA0" w:rsidP="00A80CA0">
      <w:pPr>
        <w:pStyle w:val="NormalWeb"/>
        <w:spacing w:before="0" w:beforeAutospacing="0" w:after="0" w:afterAutospacing="0"/>
        <w:ind w:left="1080"/>
        <w:rPr>
          <w:rFonts w:asciiTheme="minorHAnsi" w:hAnsiTheme="minorHAnsi"/>
          <w:sz w:val="24"/>
          <w:szCs w:val="24"/>
        </w:rPr>
      </w:pPr>
    </w:p>
    <w:p w14:paraId="6AC2061F" w14:textId="3071B8A4" w:rsidR="00853716" w:rsidRDefault="00853716" w:rsidP="008006E2">
      <w:pPr>
        <w:pStyle w:val="NormalWeb"/>
        <w:spacing w:before="0" w:beforeAutospacing="0" w:after="0" w:afterAutospacing="0"/>
        <w:rPr>
          <w:rFonts w:asciiTheme="minorHAnsi" w:hAnsiTheme="minorHAnsi"/>
          <w:sz w:val="24"/>
          <w:szCs w:val="24"/>
        </w:rPr>
      </w:pPr>
    </w:p>
    <w:p w14:paraId="4AA35B73" w14:textId="77777777" w:rsidR="00853716" w:rsidRPr="008C028A" w:rsidRDefault="00853716" w:rsidP="00853716">
      <w:pPr>
        <w:pStyle w:val="ListParagraph"/>
        <w:numPr>
          <w:ilvl w:val="0"/>
          <w:numId w:val="25"/>
        </w:numPr>
        <w:spacing w:before="40" w:after="40"/>
        <w:outlineLvl w:val="0"/>
        <w:rPr>
          <w:rFonts w:asciiTheme="minorHAnsi" w:hAnsiTheme="minorHAnsi" w:cstheme="minorHAnsi"/>
          <w:b/>
          <w:sz w:val="28"/>
          <w:szCs w:val="28"/>
        </w:rPr>
      </w:pPr>
      <w:r>
        <w:rPr>
          <w:rFonts w:asciiTheme="minorHAnsi" w:hAnsiTheme="minorHAnsi" w:cstheme="minorHAnsi"/>
          <w:b/>
          <w:sz w:val="28"/>
          <w:szCs w:val="28"/>
        </w:rPr>
        <w:lastRenderedPageBreak/>
        <w:t xml:space="preserve">Guidance </w:t>
      </w:r>
    </w:p>
    <w:p w14:paraId="77F82C55" w14:textId="77777777" w:rsidR="00853716" w:rsidRPr="00D979F2" w:rsidRDefault="00853716" w:rsidP="00853716">
      <w:pPr>
        <w:spacing w:before="40" w:after="40"/>
        <w:rPr>
          <w:rFonts w:asciiTheme="minorHAnsi" w:hAnsiTheme="minorHAnsi" w:cstheme="minorHAnsi"/>
          <w:szCs w:val="24"/>
        </w:rPr>
      </w:pPr>
    </w:p>
    <w:p w14:paraId="06C9A5C1" w14:textId="77777777" w:rsidR="00853716" w:rsidRPr="00D979F2" w:rsidRDefault="00853716" w:rsidP="00853716">
      <w:pPr>
        <w:spacing w:before="120" w:after="120"/>
        <w:rPr>
          <w:rFonts w:asciiTheme="minorHAnsi" w:hAnsiTheme="minorHAnsi" w:cstheme="minorHAnsi"/>
          <w:b/>
          <w:szCs w:val="24"/>
        </w:rPr>
      </w:pPr>
      <w:r w:rsidRPr="00D979F2">
        <w:rPr>
          <w:rFonts w:asciiTheme="minorHAnsi" w:hAnsiTheme="minorHAnsi" w:cstheme="minorHAnsi"/>
          <w:b/>
          <w:szCs w:val="24"/>
        </w:rPr>
        <w:t xml:space="preserve">SRG application process: </w:t>
      </w:r>
    </w:p>
    <w:p w14:paraId="2F3C8FBE" w14:textId="7A9F21FF" w:rsidR="003439FF" w:rsidRPr="00D979F2" w:rsidRDefault="00853716" w:rsidP="008006E2">
      <w:r>
        <w:rPr>
          <w:rFonts w:asciiTheme="minorHAnsi" w:hAnsiTheme="minorHAnsi" w:cstheme="minorHAnsi"/>
          <w:szCs w:val="24"/>
        </w:rPr>
        <w:t>The SRG application</w:t>
      </w:r>
      <w:r w:rsidRPr="00D979F2">
        <w:rPr>
          <w:rFonts w:asciiTheme="minorHAnsi" w:hAnsiTheme="minorHAnsi" w:cstheme="minorHAnsi"/>
          <w:szCs w:val="24"/>
        </w:rPr>
        <w:t xml:space="preserve"> process has been streamlined for the 2019-2020 school year. </w:t>
      </w:r>
      <w:r w:rsidRPr="00320D11">
        <w:rPr>
          <w:rFonts w:asciiTheme="minorHAnsi" w:hAnsiTheme="minorHAnsi" w:cstheme="minorHAnsi"/>
          <w:u w:val="single"/>
        </w:rPr>
        <w:t>The main component of the SRG application is completing a schoo</w:t>
      </w:r>
      <w:r>
        <w:rPr>
          <w:rFonts w:asciiTheme="minorHAnsi" w:hAnsiTheme="minorHAnsi" w:cstheme="minorHAnsi"/>
          <w:u w:val="single"/>
        </w:rPr>
        <w:t>l turnaround plan</w:t>
      </w:r>
      <w:r w:rsidRPr="001445C7">
        <w:rPr>
          <w:rFonts w:asciiTheme="minorHAnsi" w:hAnsiTheme="minorHAnsi" w:cstheme="minorHAnsi"/>
        </w:rPr>
        <w:t xml:space="preserve"> </w:t>
      </w:r>
      <w:r>
        <w:rPr>
          <w:rFonts w:asciiTheme="minorHAnsi" w:hAnsiTheme="minorHAnsi" w:cstheme="minorHAnsi"/>
          <w:szCs w:val="24"/>
        </w:rPr>
        <w:t xml:space="preserve">(the budget workbook </w:t>
      </w:r>
      <w:r w:rsidR="00B01A4B">
        <w:rPr>
          <w:rFonts w:asciiTheme="minorHAnsi" w:hAnsiTheme="minorHAnsi" w:cstheme="minorHAnsi"/>
          <w:szCs w:val="24"/>
        </w:rPr>
        <w:t xml:space="preserve">and eligibility checklist </w:t>
      </w:r>
      <w:r>
        <w:rPr>
          <w:rFonts w:asciiTheme="minorHAnsi" w:hAnsiTheme="minorHAnsi" w:cstheme="minorHAnsi"/>
          <w:szCs w:val="24"/>
        </w:rPr>
        <w:t>will comprise the rest of the application)</w:t>
      </w:r>
      <w:r w:rsidRPr="00D979F2">
        <w:rPr>
          <w:rFonts w:asciiTheme="minorHAnsi" w:hAnsiTheme="minorHAnsi" w:cstheme="minorHAnsi"/>
          <w:szCs w:val="24"/>
        </w:rPr>
        <w:t xml:space="preserve">. </w:t>
      </w:r>
      <w:r>
        <w:rPr>
          <w:rFonts w:asciiTheme="minorHAnsi" w:hAnsiTheme="minorHAnsi" w:cstheme="minorHAnsi"/>
          <w:szCs w:val="24"/>
        </w:rPr>
        <w:t xml:space="preserve">The DESE has created myriad resources around turnaround plan guidance. These resources capture the format the turnaround plan needs to take, along with guidance on the content that will be written. Also included is more in-depth guidance for each section of the turnaround plan. The DESE </w:t>
      </w:r>
      <w:r w:rsidRPr="001445C7">
        <w:rPr>
          <w:rFonts w:asciiTheme="minorHAnsi" w:hAnsiTheme="minorHAnsi" w:cstheme="minorHAnsi"/>
          <w:i/>
          <w:szCs w:val="24"/>
        </w:rPr>
        <w:t>strongly encourages</w:t>
      </w:r>
      <w:r>
        <w:rPr>
          <w:rFonts w:asciiTheme="minorHAnsi" w:hAnsiTheme="minorHAnsi" w:cstheme="minorHAnsi"/>
          <w:szCs w:val="24"/>
        </w:rPr>
        <w:t xml:space="preserve"> schools and districts to access these resources when writing a turnaround plan. Turnaround Plan resources can be found </w:t>
      </w:r>
      <w:hyperlink r:id="rId17" w:history="1">
        <w:r w:rsidRPr="00B34337">
          <w:rPr>
            <w:rStyle w:val="Hyperlink"/>
            <w:rFonts w:asciiTheme="minorHAnsi" w:hAnsiTheme="minorHAnsi" w:cstheme="minorHAnsi"/>
            <w:szCs w:val="24"/>
          </w:rPr>
          <w:t>here</w:t>
        </w:r>
      </w:hyperlink>
      <w:r>
        <w:rPr>
          <w:rFonts w:asciiTheme="minorHAnsi" w:hAnsiTheme="minorHAnsi" w:cstheme="minorHAnsi"/>
          <w:szCs w:val="24"/>
        </w:rPr>
        <w:t>.</w:t>
      </w:r>
    </w:p>
    <w:p w14:paraId="41634BA2" w14:textId="77777777" w:rsidR="004D4641" w:rsidRPr="00D979F2" w:rsidRDefault="004D4641" w:rsidP="003341BD">
      <w:pPr>
        <w:spacing w:before="40" w:after="40"/>
        <w:rPr>
          <w:rFonts w:asciiTheme="minorHAnsi" w:hAnsiTheme="minorHAnsi" w:cstheme="minorHAnsi"/>
          <w:szCs w:val="24"/>
        </w:rPr>
      </w:pPr>
    </w:p>
    <w:p w14:paraId="107F640A" w14:textId="5E1D657F" w:rsidR="00B34337" w:rsidRPr="00D979F2" w:rsidRDefault="00893D7B" w:rsidP="00A80CA0">
      <w:pPr>
        <w:spacing w:before="40" w:after="40"/>
        <w:outlineLvl w:val="0"/>
        <w:rPr>
          <w:rFonts w:asciiTheme="minorHAnsi" w:hAnsiTheme="minorHAnsi" w:cstheme="minorHAnsi"/>
          <w:szCs w:val="24"/>
        </w:rPr>
      </w:pPr>
      <w:r w:rsidRPr="00D979F2">
        <w:rPr>
          <w:rFonts w:asciiTheme="minorHAnsi" w:hAnsiTheme="minorHAnsi" w:cstheme="minorHAnsi"/>
          <w:szCs w:val="24"/>
        </w:rPr>
        <w:t xml:space="preserve">    </w:t>
      </w:r>
    </w:p>
    <w:p w14:paraId="69664810" w14:textId="107CD418" w:rsidR="00CD74AC" w:rsidRPr="008C028A" w:rsidRDefault="00CD74AC" w:rsidP="00CD74AC">
      <w:pPr>
        <w:pStyle w:val="ListParagraph"/>
        <w:numPr>
          <w:ilvl w:val="0"/>
          <w:numId w:val="25"/>
        </w:numPr>
        <w:spacing w:before="80" w:after="120"/>
        <w:outlineLvl w:val="0"/>
        <w:rPr>
          <w:rFonts w:asciiTheme="minorHAnsi" w:hAnsiTheme="minorHAnsi" w:cstheme="minorHAnsi"/>
          <w:b/>
          <w:sz w:val="28"/>
          <w:szCs w:val="28"/>
        </w:rPr>
      </w:pPr>
      <w:bookmarkStart w:id="0" w:name="_r1515h8xh82w" w:colFirst="0" w:colLast="0"/>
      <w:bookmarkStart w:id="1" w:name="_4gk96qx9jimx" w:colFirst="0" w:colLast="0"/>
      <w:bookmarkStart w:id="2" w:name="_34387gbojnvc" w:colFirst="0" w:colLast="0"/>
      <w:bookmarkStart w:id="3" w:name="_ux3pbkwsd301" w:colFirst="0" w:colLast="0"/>
      <w:bookmarkStart w:id="4" w:name="_cu2xzwg64mfd" w:colFirst="0" w:colLast="0"/>
      <w:bookmarkStart w:id="5" w:name="_vlll1ltxupl" w:colFirst="0" w:colLast="0"/>
      <w:bookmarkEnd w:id="0"/>
      <w:bookmarkEnd w:id="1"/>
      <w:bookmarkEnd w:id="2"/>
      <w:bookmarkEnd w:id="3"/>
      <w:bookmarkEnd w:id="4"/>
      <w:bookmarkEnd w:id="5"/>
      <w:r>
        <w:rPr>
          <w:rFonts w:asciiTheme="minorHAnsi" w:hAnsiTheme="minorHAnsi" w:cstheme="minorHAnsi"/>
          <w:b/>
          <w:sz w:val="28"/>
          <w:szCs w:val="28"/>
        </w:rPr>
        <w:t xml:space="preserve">Resources </w:t>
      </w:r>
    </w:p>
    <w:p w14:paraId="588E18B4" w14:textId="3B7B783A" w:rsidR="00F424DE" w:rsidRPr="0063654A" w:rsidRDefault="00F424DE" w:rsidP="002B4A54">
      <w:pPr>
        <w:rPr>
          <w:rFonts w:asciiTheme="minorHAnsi" w:hAnsiTheme="minorHAnsi" w:cstheme="minorHAnsi"/>
          <w:szCs w:val="24"/>
        </w:rPr>
      </w:pPr>
    </w:p>
    <w:p w14:paraId="2D01FA08" w14:textId="77777777" w:rsidR="002B4A54" w:rsidRPr="0051300A" w:rsidRDefault="0065686B" w:rsidP="002B4A54">
      <w:pPr>
        <w:numPr>
          <w:ilvl w:val="0"/>
          <w:numId w:val="7"/>
        </w:numPr>
        <w:rPr>
          <w:rStyle w:val="Hyperlink"/>
          <w:rFonts w:asciiTheme="minorHAnsi" w:hAnsiTheme="minorHAnsi" w:cstheme="minorHAnsi"/>
          <w:color w:val="auto"/>
          <w:szCs w:val="24"/>
          <w:u w:val="none"/>
        </w:rPr>
      </w:pPr>
      <w:hyperlink r:id="rId18" w:history="1">
        <w:r w:rsidR="002B4A54" w:rsidRPr="001860C3">
          <w:rPr>
            <w:rStyle w:val="Hyperlink"/>
            <w:rFonts w:asciiTheme="minorHAnsi" w:hAnsiTheme="minorHAnsi" w:cstheme="minorHAnsi"/>
            <w:szCs w:val="24"/>
          </w:rPr>
          <w:t>Turnaround Plan Guidance</w:t>
        </w:r>
      </w:hyperlink>
    </w:p>
    <w:p w14:paraId="3FE1D109" w14:textId="77777777" w:rsidR="002B4A54" w:rsidRPr="0063654A" w:rsidRDefault="0065686B" w:rsidP="002B4A54">
      <w:pPr>
        <w:numPr>
          <w:ilvl w:val="0"/>
          <w:numId w:val="7"/>
        </w:numPr>
        <w:rPr>
          <w:rFonts w:asciiTheme="minorHAnsi" w:hAnsiTheme="minorHAnsi" w:cstheme="minorHAnsi"/>
          <w:szCs w:val="24"/>
        </w:rPr>
      </w:pPr>
      <w:hyperlink r:id="rId19" w:history="1">
        <w:r w:rsidR="002B4A54" w:rsidRPr="0063654A">
          <w:rPr>
            <w:rStyle w:val="Hyperlink"/>
            <w:rFonts w:asciiTheme="minorHAnsi" w:hAnsiTheme="minorHAnsi" w:cstheme="minorHAnsi"/>
          </w:rPr>
          <w:t>Turnaround Practices Research</w:t>
        </w:r>
        <w:r w:rsidR="002B4A54">
          <w:rPr>
            <w:rStyle w:val="Hyperlink"/>
            <w:rFonts w:asciiTheme="minorHAnsi" w:hAnsiTheme="minorHAnsi" w:cstheme="minorHAnsi"/>
          </w:rPr>
          <w:t xml:space="preserve"> and</w:t>
        </w:r>
        <w:r w:rsidR="002B4A54" w:rsidRPr="0063654A">
          <w:rPr>
            <w:rStyle w:val="Hyperlink"/>
            <w:rFonts w:asciiTheme="minorHAnsi" w:hAnsiTheme="minorHAnsi" w:cstheme="minorHAnsi"/>
          </w:rPr>
          <w:t xml:space="preserve"> Evaluation Reports  </w:t>
        </w:r>
      </w:hyperlink>
      <w:r w:rsidR="002B4A54" w:rsidRPr="0063654A">
        <w:rPr>
          <w:rFonts w:asciiTheme="minorHAnsi" w:hAnsiTheme="minorHAnsi" w:cstheme="minorHAnsi"/>
        </w:rPr>
        <w:t xml:space="preserve"> </w:t>
      </w:r>
    </w:p>
    <w:p w14:paraId="551D0EB9" w14:textId="77777777" w:rsidR="002B4A54" w:rsidRPr="0063654A" w:rsidRDefault="0065686B" w:rsidP="002B4A54">
      <w:pPr>
        <w:numPr>
          <w:ilvl w:val="0"/>
          <w:numId w:val="7"/>
        </w:numPr>
        <w:rPr>
          <w:rFonts w:asciiTheme="minorHAnsi" w:hAnsiTheme="minorHAnsi" w:cstheme="minorHAnsi"/>
          <w:color w:val="0000FF"/>
          <w:szCs w:val="24"/>
        </w:rPr>
      </w:pPr>
      <w:hyperlink r:id="rId20" w:history="1">
        <w:r w:rsidR="002B4A54" w:rsidRPr="0063654A">
          <w:rPr>
            <w:rStyle w:val="Hyperlink"/>
            <w:rFonts w:asciiTheme="minorHAnsi" w:hAnsiTheme="minorHAnsi" w:cstheme="minorHAnsi"/>
            <w:szCs w:val="24"/>
          </w:rPr>
          <w:t>Turnaround Sustainability Toolkit</w:t>
        </w:r>
      </w:hyperlink>
    </w:p>
    <w:p w14:paraId="54D08CED" w14:textId="3BCBD846" w:rsidR="00441842" w:rsidRDefault="00441842" w:rsidP="00362086">
      <w:pPr>
        <w:rPr>
          <w:rFonts w:asciiTheme="minorHAnsi" w:hAnsiTheme="minorHAnsi" w:cstheme="minorHAnsi"/>
          <w:szCs w:val="24"/>
        </w:rPr>
        <w:sectPr w:rsidR="00441842" w:rsidSect="00441842">
          <w:headerReference w:type="default" r:id="rId21"/>
          <w:pgSz w:w="12240" w:h="15840"/>
          <w:pgMar w:top="1584" w:right="1440" w:bottom="1296" w:left="1440" w:header="720" w:footer="720" w:gutter="0"/>
          <w:cols w:space="720"/>
          <w:docGrid w:linePitch="326"/>
        </w:sectPr>
      </w:pPr>
    </w:p>
    <w:p w14:paraId="3AA2BEEB" w14:textId="49E20756" w:rsidR="00A80CA0" w:rsidRDefault="00A80CA0" w:rsidP="00362086">
      <w:pPr>
        <w:rPr>
          <w:rFonts w:asciiTheme="minorHAnsi" w:hAnsiTheme="minorHAnsi" w:cstheme="minorHAnsi"/>
          <w:szCs w:val="24"/>
        </w:rPr>
      </w:pPr>
    </w:p>
    <w:p w14:paraId="08E0DA4F" w14:textId="77777777" w:rsidR="00A80CA0" w:rsidRPr="0063654A" w:rsidRDefault="00A80CA0" w:rsidP="00362086">
      <w:pPr>
        <w:rPr>
          <w:rFonts w:asciiTheme="minorHAnsi" w:hAnsiTheme="minorHAnsi" w:cstheme="minorHAnsi"/>
          <w:szCs w:val="24"/>
        </w:rPr>
      </w:pPr>
    </w:p>
    <w:p w14:paraId="66685FFA" w14:textId="77777777" w:rsidR="002C0D15" w:rsidRPr="008006E2" w:rsidRDefault="002C0D15" w:rsidP="008006E2">
      <w:pPr>
        <w:pStyle w:val="ListParagraph"/>
        <w:numPr>
          <w:ilvl w:val="0"/>
          <w:numId w:val="25"/>
        </w:numPr>
        <w:rPr>
          <w:rFonts w:asciiTheme="minorHAnsi" w:hAnsiTheme="minorHAnsi" w:cstheme="minorHAnsi"/>
          <w:b/>
          <w:sz w:val="28"/>
          <w:szCs w:val="28"/>
        </w:rPr>
      </w:pPr>
      <w:r w:rsidRPr="008006E2">
        <w:rPr>
          <w:rFonts w:asciiTheme="minorHAnsi" w:hAnsiTheme="minorHAnsi" w:cstheme="minorHAnsi"/>
          <w:b/>
          <w:bCs/>
          <w:sz w:val="28"/>
          <w:szCs w:val="28"/>
        </w:rPr>
        <w:t>Appendix A: Scoring Rubric</w:t>
      </w:r>
    </w:p>
    <w:p w14:paraId="4D36D708" w14:textId="77777777" w:rsidR="002C0D15" w:rsidRDefault="002C0D15" w:rsidP="002C0D15">
      <w:pPr>
        <w:spacing w:after="40"/>
        <w:jc w:val="center"/>
        <w:outlineLvl w:val="0"/>
        <w:rPr>
          <w:b/>
          <w:sz w:val="22"/>
        </w:rPr>
      </w:pPr>
    </w:p>
    <w:p w14:paraId="4BE4263F" w14:textId="116CD681" w:rsidR="002C0D15" w:rsidRDefault="006A0C55" w:rsidP="002C0D15">
      <w:pPr>
        <w:spacing w:after="40"/>
        <w:outlineLvl w:val="0"/>
        <w:rPr>
          <w:rFonts w:cs="Palatino-Roman"/>
          <w:sz w:val="22"/>
          <w:szCs w:val="22"/>
          <w:lang w:bidi="en-US"/>
        </w:rPr>
      </w:pPr>
      <w:r>
        <w:rPr>
          <w:b/>
          <w:sz w:val="22"/>
        </w:rPr>
        <w:t xml:space="preserve">SRG Application </w:t>
      </w:r>
      <w:r w:rsidR="002C0D15" w:rsidRPr="00032F17">
        <w:rPr>
          <w:b/>
          <w:sz w:val="22"/>
        </w:rPr>
        <w:t>Review Dimensions</w:t>
      </w:r>
      <w:r w:rsidR="002C0D15">
        <w:rPr>
          <w:b/>
          <w:sz w:val="22"/>
        </w:rPr>
        <w:t xml:space="preserve">: </w:t>
      </w:r>
      <w:r w:rsidR="002C0D15">
        <w:rPr>
          <w:rFonts w:cs="Palatino-Roman"/>
          <w:sz w:val="22"/>
          <w:szCs w:val="22"/>
          <w:lang w:bidi="en-US"/>
        </w:rPr>
        <w:t>Each component of an</w:t>
      </w:r>
      <w:r w:rsidR="002C0D15" w:rsidRPr="00032F17">
        <w:rPr>
          <w:rFonts w:cs="Palatino-Roman"/>
          <w:sz w:val="22"/>
          <w:szCs w:val="22"/>
          <w:lang w:bidi="en-US"/>
        </w:rPr>
        <w:t xml:space="preserve"> </w:t>
      </w:r>
      <w:r w:rsidR="002C0D15">
        <w:rPr>
          <w:rFonts w:cs="Palatino-Roman"/>
          <w:sz w:val="22"/>
          <w:szCs w:val="22"/>
          <w:lang w:bidi="en-US"/>
        </w:rPr>
        <w:t>SRG application</w:t>
      </w:r>
      <w:r w:rsidR="002C0D15" w:rsidRPr="00032F17">
        <w:rPr>
          <w:rFonts w:cs="Palatino-Roman"/>
          <w:sz w:val="22"/>
          <w:szCs w:val="22"/>
          <w:lang w:bidi="en-US"/>
        </w:rPr>
        <w:t xml:space="preserve"> will be reviewed along three rubric dimensions.</w:t>
      </w:r>
    </w:p>
    <w:p w14:paraId="176DCB70" w14:textId="074F9B48" w:rsidR="004B4C34" w:rsidRDefault="004B4C34" w:rsidP="002C0D15">
      <w:pPr>
        <w:spacing w:after="40"/>
        <w:outlineLvl w:val="0"/>
        <w:rPr>
          <w:rFonts w:cs="Palatino-Roman"/>
          <w:sz w:val="22"/>
          <w:szCs w:val="22"/>
          <w:lang w:bidi="en-US"/>
        </w:rPr>
      </w:pPr>
    </w:p>
    <w:p w14:paraId="7A54EF3B" w14:textId="77777777" w:rsidR="004B4C34" w:rsidRDefault="004B4C34" w:rsidP="004B4C34">
      <w:pPr>
        <w:spacing w:after="40"/>
        <w:outlineLvl w:val="0"/>
        <w:rPr>
          <w:b/>
          <w:sz w:val="22"/>
        </w:rPr>
      </w:pPr>
      <w:r>
        <w:rPr>
          <w:b/>
          <w:sz w:val="22"/>
        </w:rPr>
        <w:t>Application Review Components</w:t>
      </w:r>
    </w:p>
    <w:tbl>
      <w:tblPr>
        <w:tblW w:w="13968" w:type="dxa"/>
        <w:tblBorders>
          <w:top w:val="nil"/>
          <w:left w:val="nil"/>
          <w:right w:val="nil"/>
        </w:tblBorders>
        <w:tblLayout w:type="fixed"/>
        <w:tblLook w:val="0000" w:firstRow="0" w:lastRow="0" w:firstColumn="0" w:lastColumn="0" w:noHBand="0" w:noVBand="0"/>
        <w:tblCaption w:val="Application Review Components"/>
        <w:tblDescription w:val="This is a table of application review components and proccess."/>
      </w:tblPr>
      <w:tblGrid>
        <w:gridCol w:w="3798"/>
        <w:gridCol w:w="10170"/>
      </w:tblGrid>
      <w:tr w:rsidR="004B4C34" w:rsidRPr="00032F17" w14:paraId="51C0E150" w14:textId="77777777" w:rsidTr="005408B9">
        <w:tc>
          <w:tcPr>
            <w:tcW w:w="3798"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14:paraId="276AB49A"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Pr>
                <w:rFonts w:cs="Palatino-Roman"/>
                <w:b/>
                <w:bCs/>
                <w:sz w:val="20"/>
                <w:szCs w:val="22"/>
                <w:lang w:bidi="en-US"/>
              </w:rPr>
              <w:t>Component</w:t>
            </w:r>
          </w:p>
        </w:tc>
        <w:tc>
          <w:tcPr>
            <w:tcW w:w="1017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14:paraId="439F4FB0"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Pr>
                <w:rFonts w:cs="Palatino-Roman"/>
                <w:b/>
                <w:bCs/>
                <w:sz w:val="20"/>
                <w:szCs w:val="22"/>
                <w:lang w:bidi="en-US"/>
              </w:rPr>
              <w:t>Process</w:t>
            </w:r>
          </w:p>
        </w:tc>
      </w:tr>
      <w:tr w:rsidR="004B4C34" w:rsidRPr="00032F17" w14:paraId="2B566477" w14:textId="77777777" w:rsidTr="005408B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6F9093C0"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sidRPr="00317B53">
              <w:rPr>
                <w:rFonts w:cs="Palatino-Roman"/>
                <w:sz w:val="22"/>
                <w:szCs w:val="22"/>
                <w:lang w:bidi="en-US"/>
              </w:rPr>
              <w:t>Part 1:</w:t>
            </w:r>
            <w:r>
              <w:rPr>
                <w:rFonts w:cs="Palatino-Roman"/>
                <w:sz w:val="22"/>
                <w:szCs w:val="22"/>
                <w:lang w:bidi="en-US"/>
              </w:rPr>
              <w:t xml:space="preserve"> Review of Written Turnaround Plan </w:t>
            </w: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14:paraId="188116DA" w14:textId="77777777" w:rsidR="004B4C34" w:rsidRPr="00140133"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sidRPr="00140133">
              <w:rPr>
                <w:rFonts w:cs="Palatino-Roman"/>
                <w:sz w:val="22"/>
                <w:szCs w:val="22"/>
                <w:lang w:bidi="en-US"/>
              </w:rPr>
              <w:t>3-person review teams (1 external</w:t>
            </w:r>
            <w:r>
              <w:rPr>
                <w:rFonts w:cs="Palatino-Roman"/>
                <w:sz w:val="22"/>
                <w:szCs w:val="22"/>
                <w:lang w:bidi="en-US"/>
              </w:rPr>
              <w:t xml:space="preserve"> reviewer</w:t>
            </w:r>
            <w:r w:rsidRPr="00140133">
              <w:rPr>
                <w:rFonts w:cs="Palatino-Roman"/>
                <w:sz w:val="22"/>
                <w:szCs w:val="22"/>
                <w:lang w:bidi="en-US"/>
              </w:rPr>
              <w:t>, 2 internal</w:t>
            </w:r>
            <w:r>
              <w:rPr>
                <w:rFonts w:cs="Palatino-Roman"/>
                <w:sz w:val="22"/>
                <w:szCs w:val="22"/>
                <w:lang w:bidi="en-US"/>
              </w:rPr>
              <w:t xml:space="preserve"> DESE reviewers</w:t>
            </w:r>
            <w:r w:rsidRPr="00140133">
              <w:rPr>
                <w:rFonts w:cs="Palatino-Roman"/>
                <w:sz w:val="22"/>
                <w:szCs w:val="22"/>
                <w:lang w:bidi="en-US"/>
              </w:rPr>
              <w:t xml:space="preserve">) read the written turnaround plan and develop a team score </w:t>
            </w:r>
            <w:r>
              <w:rPr>
                <w:rFonts w:cs="Palatino-Roman"/>
                <w:sz w:val="22"/>
                <w:szCs w:val="22"/>
                <w:lang w:bidi="en-US"/>
              </w:rPr>
              <w:t xml:space="preserve">based on the scoring rubric, generate questions, and identify rubric items to be addressed in interview, and ensure proposal meets all School Redesign Grant requirements </w:t>
            </w:r>
          </w:p>
        </w:tc>
      </w:tr>
      <w:tr w:rsidR="004B4C34" w:rsidRPr="00140133" w14:paraId="7DF6A97E" w14:textId="77777777" w:rsidTr="005408B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2C58F6B5"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 xml:space="preserve">Part 2: </w:t>
            </w:r>
            <w:r w:rsidRPr="00140133">
              <w:rPr>
                <w:rFonts w:cs="Palatino-Roman"/>
                <w:sz w:val="22"/>
                <w:szCs w:val="22"/>
                <w:lang w:bidi="en-US"/>
              </w:rPr>
              <w:t>Budget Review</w:t>
            </w:r>
          </w:p>
          <w:p w14:paraId="6BFD508C" w14:textId="77777777" w:rsidR="004B4C34" w:rsidRPr="00140133"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7008000B" w14:textId="77777777" w:rsidR="004B4C34" w:rsidRPr="00140133"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Internal budget review based on the scoring rubric</w:t>
            </w:r>
          </w:p>
        </w:tc>
      </w:tr>
      <w:tr w:rsidR="004B4C34" w:rsidRPr="00140133" w14:paraId="70AB2188" w14:textId="77777777" w:rsidTr="005408B9">
        <w:tblPrEx>
          <w:tblBorders>
            <w:top w:val="none" w:sz="0" w:space="0" w:color="auto"/>
          </w:tblBorders>
        </w:tblPrEx>
        <w:tc>
          <w:tcPr>
            <w:tcW w:w="379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7AD13E95"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 xml:space="preserve">Part 3: School and District Interview </w:t>
            </w:r>
          </w:p>
          <w:p w14:paraId="485AC50D" w14:textId="77777777" w:rsidR="004B4C34" w:rsidRPr="00140133"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p>
        </w:tc>
        <w:tc>
          <w:tcPr>
            <w:tcW w:w="1017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14:paraId="5D46655A" w14:textId="77777777" w:rsidR="004B4C34" w:rsidRPr="00140133"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3-person interview team (1 external reviewer, 2 internal DESE reviewers) conducts a two hour school and district interview for each application and comes to a team score based on the scoring rubric</w:t>
            </w:r>
          </w:p>
        </w:tc>
      </w:tr>
    </w:tbl>
    <w:p w14:paraId="70325790" w14:textId="77777777" w:rsidR="004B4C34" w:rsidRDefault="004B4C34" w:rsidP="004B4C34"/>
    <w:p w14:paraId="56562493" w14:textId="77777777" w:rsidR="004B4C34" w:rsidRPr="00130E7E" w:rsidRDefault="004B4C34" w:rsidP="004B4C34">
      <w:pPr>
        <w:rPr>
          <w:b/>
        </w:rPr>
      </w:pPr>
      <w:r w:rsidRPr="00130E7E">
        <w:rPr>
          <w:b/>
        </w:rPr>
        <w:t xml:space="preserve">Application Review Dimensions </w:t>
      </w:r>
    </w:p>
    <w:p w14:paraId="41C5FF95" w14:textId="77777777" w:rsidR="004B4C34" w:rsidRPr="007F7F28" w:rsidRDefault="004B4C34" w:rsidP="004B4C34">
      <w:pPr>
        <w:rPr>
          <w:rFonts w:cs="Palatino-Roman"/>
          <w:szCs w:val="22"/>
          <w:lang w:bidi="en-US"/>
        </w:rPr>
      </w:pPr>
      <w:r>
        <w:rPr>
          <w:rFonts w:cs="Palatino-Roman"/>
          <w:szCs w:val="22"/>
          <w:lang w:bidi="en-US"/>
        </w:rPr>
        <w:t>Each component of a School Redesign Grant application</w:t>
      </w:r>
      <w:r w:rsidRPr="00032F17">
        <w:rPr>
          <w:rFonts w:cs="Palatino-Roman"/>
          <w:szCs w:val="22"/>
          <w:lang w:bidi="en-US"/>
        </w:rPr>
        <w:t xml:space="preserve"> for an eligible school will be reviewed along three rubric dimensions.</w:t>
      </w:r>
    </w:p>
    <w:tbl>
      <w:tblPr>
        <w:tblW w:w="13968" w:type="dxa"/>
        <w:tblBorders>
          <w:top w:val="nil"/>
          <w:left w:val="nil"/>
          <w:right w:val="nil"/>
        </w:tblBorders>
        <w:tblLayout w:type="fixed"/>
        <w:tblLook w:val="0000" w:firstRow="0" w:lastRow="0" w:firstColumn="0" w:lastColumn="0" w:noHBand="0" w:noVBand="0"/>
      </w:tblPr>
      <w:tblGrid>
        <w:gridCol w:w="1520"/>
        <w:gridCol w:w="12448"/>
      </w:tblGrid>
      <w:tr w:rsidR="004B4C34" w:rsidRPr="00032F17" w14:paraId="17E0B1CC" w14:textId="77777777" w:rsidTr="008006E2">
        <w:tc>
          <w:tcPr>
            <w:tcW w:w="152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14:paraId="63EACB59"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Dimension</w:t>
            </w:r>
          </w:p>
        </w:tc>
        <w:tc>
          <w:tcPr>
            <w:tcW w:w="12448"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14:paraId="4187F577"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Explanation</w:t>
            </w:r>
          </w:p>
        </w:tc>
      </w:tr>
      <w:tr w:rsidR="004B4C34" w:rsidRPr="00032F17" w14:paraId="19CFF09E" w14:textId="77777777" w:rsidTr="008006E2">
        <w:tblPrEx>
          <w:tblBorders>
            <w:top w:val="none" w:sz="0" w:space="0" w:color="auto"/>
          </w:tblBorders>
        </w:tblPrEx>
        <w:tc>
          <w:tcPr>
            <w:tcW w:w="152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2211913D"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Capacity and Commitment</w:t>
            </w:r>
          </w:p>
        </w:tc>
        <w:tc>
          <w:tcPr>
            <w:tcW w:w="1244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14:paraId="16FD987F" w14:textId="77777777" w:rsidR="004B4C34" w:rsidRPr="007F7F28"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szCs w:val="22"/>
                <w:lang w:bidi="en-US"/>
              </w:rPr>
            </w:pPr>
            <w:r w:rsidRPr="007F7F28">
              <w:rPr>
                <w:rFonts w:cs="Palatino-Roman"/>
                <w:sz w:val="22"/>
                <w:szCs w:val="22"/>
                <w:lang w:bidi="en-US"/>
              </w:rPr>
              <w:t xml:space="preserve">The extent to which the district and school demonstrate the capacity and commitment to use </w:t>
            </w:r>
            <w:r>
              <w:rPr>
                <w:rFonts w:cs="Palatino-Roman"/>
                <w:sz w:val="22"/>
                <w:szCs w:val="22"/>
                <w:lang w:bidi="en-US"/>
              </w:rPr>
              <w:t>School Redesign Grant funds to support the turnaround p</w:t>
            </w:r>
            <w:r w:rsidRPr="007F7F28">
              <w:rPr>
                <w:rFonts w:cs="Palatino-Roman"/>
                <w:sz w:val="22"/>
                <w:szCs w:val="22"/>
                <w:lang w:bidi="en-US"/>
              </w:rPr>
              <w:t>lan and the successful implementation of</w:t>
            </w:r>
            <w:r>
              <w:rPr>
                <w:rFonts w:cs="Palatino-Roman"/>
                <w:sz w:val="22"/>
                <w:szCs w:val="22"/>
                <w:lang w:bidi="en-US"/>
              </w:rPr>
              <w:t xml:space="preserve"> the</w:t>
            </w:r>
            <w:r w:rsidRPr="007F7F28">
              <w:rPr>
                <w:rFonts w:cs="Palatino-Roman"/>
                <w:sz w:val="22"/>
                <w:szCs w:val="22"/>
                <w:lang w:bidi="en-US"/>
              </w:rPr>
              <w:t xml:space="preserve"> </w:t>
            </w:r>
            <w:r>
              <w:rPr>
                <w:rFonts w:cs="Palatino-Roman"/>
                <w:sz w:val="22"/>
                <w:szCs w:val="22"/>
                <w:lang w:bidi="en-US"/>
              </w:rPr>
              <w:t>turnaround practices.</w:t>
            </w:r>
          </w:p>
        </w:tc>
      </w:tr>
      <w:tr w:rsidR="004B4C34" w:rsidRPr="00032F17" w14:paraId="700A1D8E" w14:textId="77777777" w:rsidTr="008006E2">
        <w:tblPrEx>
          <w:tblBorders>
            <w:top w:val="none" w:sz="0" w:space="0" w:color="auto"/>
          </w:tblBorders>
        </w:tblPrEx>
        <w:trPr>
          <w:trHeight w:val="907"/>
        </w:trPr>
        <w:tc>
          <w:tcPr>
            <w:tcW w:w="152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594EA4E1"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 xml:space="preserve">Data Analysis and Selection of Supports </w:t>
            </w:r>
          </w:p>
        </w:tc>
        <w:tc>
          <w:tcPr>
            <w:tcW w:w="1244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39183085"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Pr>
                <w:rFonts w:cs="Palatino-Roman"/>
                <w:sz w:val="22"/>
                <w:szCs w:val="22"/>
                <w:lang w:bidi="en-US"/>
              </w:rPr>
              <w:t>The extent to which the turnaround p</w:t>
            </w:r>
            <w:r w:rsidRPr="007F7F28">
              <w:rPr>
                <w:rFonts w:cs="Palatino-Roman"/>
                <w:sz w:val="22"/>
                <w:szCs w:val="22"/>
                <w:lang w:bidi="en-US"/>
              </w:rPr>
              <w:t>lan is based on a detailed analysis of current, accurate, and precise data, including but not limited to state assessments</w:t>
            </w:r>
            <w:r>
              <w:rPr>
                <w:rFonts w:cs="Palatino-Roman"/>
                <w:sz w:val="22"/>
                <w:szCs w:val="22"/>
                <w:lang w:bidi="en-US"/>
              </w:rPr>
              <w:t>, educator data, and other student data</w:t>
            </w:r>
            <w:r w:rsidRPr="007F7F28">
              <w:rPr>
                <w:rFonts w:cs="Palatino-Roman"/>
                <w:sz w:val="22"/>
                <w:szCs w:val="22"/>
                <w:lang w:bidi="en-US"/>
              </w:rPr>
              <w:t>. The extent to which the proposed intervention model and district support strategies are</w:t>
            </w:r>
            <w:r>
              <w:rPr>
                <w:rFonts w:cs="Palatino-Roman"/>
                <w:sz w:val="22"/>
                <w:szCs w:val="22"/>
                <w:lang w:bidi="en-US"/>
              </w:rPr>
              <w:t xml:space="preserve"> based upon an analysis of data.</w:t>
            </w:r>
          </w:p>
        </w:tc>
      </w:tr>
      <w:tr w:rsidR="004B4C34" w:rsidRPr="00032F17" w14:paraId="18673C46" w14:textId="77777777" w:rsidTr="008006E2">
        <w:tblPrEx>
          <w:tblBorders>
            <w:top w:val="none" w:sz="0" w:space="0" w:color="auto"/>
          </w:tblBorders>
        </w:tblPrEx>
        <w:tc>
          <w:tcPr>
            <w:tcW w:w="152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14:paraId="4F1CB61D"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sz w:val="22"/>
                <w:lang w:bidi="en-US"/>
              </w:rPr>
            </w:pPr>
            <w:r w:rsidRPr="00032F17">
              <w:rPr>
                <w:rFonts w:cs="Palatino-Roman"/>
                <w:sz w:val="22"/>
                <w:szCs w:val="22"/>
                <w:lang w:bidi="en-US"/>
              </w:rPr>
              <w:t>Strategic and Actionable Approach</w:t>
            </w:r>
          </w:p>
        </w:tc>
        <w:tc>
          <w:tcPr>
            <w:tcW w:w="12448"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14:paraId="1B83552C"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 w:val="22"/>
                <w:lang w:bidi="en-US"/>
              </w:rPr>
            </w:pPr>
            <w:r>
              <w:rPr>
                <w:rFonts w:cs="Palatino-Roman"/>
                <w:sz w:val="22"/>
                <w:szCs w:val="22"/>
                <w:lang w:bidi="en-US"/>
              </w:rPr>
              <w:t>The extent to which the turnaround p</w:t>
            </w:r>
            <w:r w:rsidRPr="007F7F28">
              <w:rPr>
                <w:rFonts w:cs="Palatino-Roman"/>
                <w:sz w:val="22"/>
                <w:szCs w:val="22"/>
                <w:lang w:bidi="en-US"/>
              </w:rPr>
              <w:t>lan displays a strategic and well-thought out approach that will lead to rapid and sustainable improvement in targeted schools. A strategic and actionable plan includes, but is not limited to: (1) a theory of action or logic model, (2) key strategies and action s</w:t>
            </w:r>
            <w:r>
              <w:rPr>
                <w:rFonts w:cs="Palatino-Roman"/>
                <w:sz w:val="22"/>
                <w:szCs w:val="22"/>
                <w:lang w:bidi="en-US"/>
              </w:rPr>
              <w:t>teps that together affect each turnaround p</w:t>
            </w:r>
            <w:r w:rsidRPr="007F7F28">
              <w:rPr>
                <w:rFonts w:cs="Palatino-Roman"/>
                <w:sz w:val="22"/>
                <w:szCs w:val="22"/>
                <w:lang w:bidi="en-US"/>
              </w:rPr>
              <w:t>ractice, and (3) specific benchmarks to track progress and a s</w:t>
            </w:r>
            <w:r>
              <w:rPr>
                <w:rFonts w:cs="Palatino-Roman"/>
                <w:sz w:val="22"/>
                <w:szCs w:val="22"/>
                <w:lang w:bidi="en-US"/>
              </w:rPr>
              <w:t>trategy for monitoring progress.</w:t>
            </w:r>
          </w:p>
        </w:tc>
      </w:tr>
    </w:tbl>
    <w:p w14:paraId="1FAF1A7B" w14:textId="77777777" w:rsidR="00704122" w:rsidRDefault="004B4C34" w:rsidP="004B4C34">
      <w:r w:rsidRPr="00130E7E">
        <w:rPr>
          <w:b/>
        </w:rPr>
        <w:lastRenderedPageBreak/>
        <w:t xml:space="preserve">Scoring Criteria:  </w:t>
      </w:r>
      <w:r w:rsidRPr="00F86389">
        <w:t xml:space="preserve">All </w:t>
      </w:r>
      <w:r>
        <w:rPr>
          <w:rFonts w:cs="Palatino-Roman"/>
          <w:szCs w:val="22"/>
          <w:lang w:bidi="en-US"/>
        </w:rPr>
        <w:t xml:space="preserve">School Redesign </w:t>
      </w:r>
      <w:r w:rsidRPr="00F86389">
        <w:t xml:space="preserve">Grant written applications and interviews </w:t>
      </w:r>
      <w:proofErr w:type="gramStart"/>
      <w:r w:rsidRPr="00F86389">
        <w:t>are scored</w:t>
      </w:r>
      <w:proofErr w:type="gramEnd"/>
      <w:r w:rsidRPr="00F86389">
        <w:t xml:space="preserve"> against the following rubrics</w:t>
      </w:r>
      <w:r>
        <w:t xml:space="preserve">. </w:t>
      </w:r>
      <w:r w:rsidRPr="00F86389">
        <w:t>Applications must receive a tot</w:t>
      </w:r>
      <w:r>
        <w:t>al combined score of at least 87</w:t>
      </w:r>
      <w:r w:rsidRPr="00F86389">
        <w:t xml:space="preserve"> </w:t>
      </w:r>
      <w:r>
        <w:t xml:space="preserve">out of 116 </w:t>
      </w:r>
      <w:r w:rsidRPr="00F86389">
        <w:t>(</w:t>
      </w:r>
      <w:r>
        <w:t>75%</w:t>
      </w:r>
      <w:r w:rsidRPr="00F86389">
        <w:t>) to be considered for funding.</w:t>
      </w:r>
    </w:p>
    <w:p w14:paraId="59D0D03F" w14:textId="189C0B4F" w:rsidR="00A80CA0" w:rsidRDefault="00A80CA0" w:rsidP="004B4C34"/>
    <w:p w14:paraId="300AC3DD" w14:textId="1B97A77E" w:rsidR="004B4C34" w:rsidRPr="00032F17" w:rsidRDefault="004B4C34" w:rsidP="004B4C34">
      <w:r>
        <w:rPr>
          <w:b/>
        </w:rPr>
        <w:t>School Redesign</w:t>
      </w:r>
      <w:r>
        <w:rPr>
          <w:rFonts w:cs="Palatino-Roman"/>
          <w:szCs w:val="22"/>
          <w:lang w:bidi="en-US"/>
        </w:rPr>
        <w:t xml:space="preserve"> </w:t>
      </w:r>
      <w:r>
        <w:rPr>
          <w:b/>
        </w:rPr>
        <w:t>Grant (SRG)</w:t>
      </w:r>
      <w:r w:rsidRPr="00032F17">
        <w:rPr>
          <w:b/>
        </w:rPr>
        <w:t xml:space="preserve"> Rubric Levels</w:t>
      </w:r>
    </w:p>
    <w:p w14:paraId="2808B20E" w14:textId="77777777" w:rsidR="004B4C34" w:rsidRPr="007F7F28" w:rsidRDefault="004B4C34" w:rsidP="004B4C34">
      <w:pPr>
        <w:rPr>
          <w:rFonts w:cs="Palatino-Roman"/>
          <w:szCs w:val="22"/>
          <w:lang w:bidi="en-US"/>
        </w:rPr>
      </w:pPr>
      <w:r w:rsidRPr="00032F17">
        <w:rPr>
          <w:rFonts w:cs="Palatino-Roman"/>
          <w:szCs w:val="22"/>
          <w:lang w:bidi="en-US"/>
        </w:rPr>
        <w:t xml:space="preserve">Each element within each dimension described above will be rated using the following scale. </w:t>
      </w:r>
    </w:p>
    <w:tbl>
      <w:tblPr>
        <w:tblW w:w="0" w:type="auto"/>
        <w:tblBorders>
          <w:top w:val="nil"/>
          <w:left w:val="nil"/>
          <w:right w:val="nil"/>
        </w:tblBorders>
        <w:tblLayout w:type="fixed"/>
        <w:tblLook w:val="0000" w:firstRow="0" w:lastRow="0" w:firstColumn="0" w:lastColumn="0" w:noHBand="0" w:noVBand="0"/>
      </w:tblPr>
      <w:tblGrid>
        <w:gridCol w:w="1698"/>
        <w:gridCol w:w="11010"/>
        <w:gridCol w:w="1260"/>
      </w:tblGrid>
      <w:tr w:rsidR="004B4C34" w:rsidRPr="00032F17" w14:paraId="4317BC86" w14:textId="77777777" w:rsidTr="005408B9">
        <w:tc>
          <w:tcPr>
            <w:tcW w:w="1698"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14:paraId="70A38279"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Level</w:t>
            </w:r>
          </w:p>
        </w:tc>
        <w:tc>
          <w:tcPr>
            <w:tcW w:w="1101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14:paraId="4BD14F6C"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Explanation</w:t>
            </w:r>
          </w:p>
        </w:tc>
        <w:tc>
          <w:tcPr>
            <w:tcW w:w="126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14:paraId="37E0B8A1"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Points</w:t>
            </w:r>
          </w:p>
        </w:tc>
      </w:tr>
      <w:tr w:rsidR="004B4C34" w:rsidRPr="00032F17" w14:paraId="48120C5D" w14:textId="77777777" w:rsidTr="005408B9">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00A837D3"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Strong</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14:paraId="507256A5"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detailed, compelling evidence (including supporting documentation as appropriate)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4D72CC3D"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4</w:t>
            </w:r>
          </w:p>
        </w:tc>
      </w:tr>
      <w:tr w:rsidR="004B4C34" w:rsidRPr="00032F17" w14:paraId="493B4B69" w14:textId="77777777" w:rsidTr="005408B9">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77711B35"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Adequate</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14:paraId="492DAEC6"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some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7896B8C5"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3</w:t>
            </w:r>
          </w:p>
        </w:tc>
      </w:tr>
      <w:tr w:rsidR="004B4C34" w:rsidRPr="00032F17" w14:paraId="0E50B98A" w14:textId="77777777" w:rsidTr="005408B9">
        <w:tblPrEx>
          <w:tblBorders>
            <w:top w:val="none" w:sz="0" w:space="0" w:color="auto"/>
          </w:tblBorders>
        </w:tblPrEx>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02C8E014"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Marginal</w:t>
            </w:r>
            <w:r>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14:paraId="6F490613"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partially complete and provides only limited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5F7B0A8D"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2</w:t>
            </w:r>
          </w:p>
        </w:tc>
      </w:tr>
      <w:tr w:rsidR="004B4C34" w:rsidRPr="00032F17" w14:paraId="4015A8FB" w14:textId="77777777" w:rsidTr="005408B9">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49EA8F57"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Weak</w:t>
            </w:r>
            <w:r>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14:paraId="4689DCE3"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incomplete and lacks evidence that meets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31EBD9F7"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1</w:t>
            </w:r>
          </w:p>
        </w:tc>
      </w:tr>
      <w:tr w:rsidR="004B4C34" w:rsidRPr="00032F17" w14:paraId="27B826AA" w14:textId="77777777" w:rsidTr="005408B9">
        <w:tc>
          <w:tcPr>
            <w:tcW w:w="1698"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1A006D44"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 w:val="22"/>
                <w:szCs w:val="22"/>
                <w:lang w:bidi="en-US"/>
              </w:rPr>
            </w:pPr>
            <w:r w:rsidRPr="00032F17">
              <w:rPr>
                <w:rFonts w:cs="Palatino-Roman"/>
                <w:sz w:val="22"/>
                <w:szCs w:val="22"/>
                <w:lang w:bidi="en-US"/>
              </w:rPr>
              <w:t>Absent</w:t>
            </w:r>
            <w:r>
              <w:rPr>
                <w:rFonts w:cs="Palatino-Roman"/>
                <w:sz w:val="22"/>
                <w:szCs w:val="22"/>
                <w:lang w:bidi="en-US"/>
              </w:rPr>
              <w:t>*</w:t>
            </w:r>
          </w:p>
        </w:tc>
        <w:tc>
          <w:tcPr>
            <w:tcW w:w="1101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14:paraId="1D6C9981"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 w:val="22"/>
                <w:szCs w:val="22"/>
                <w:lang w:bidi="en-US"/>
              </w:rPr>
            </w:pPr>
            <w:r>
              <w:rPr>
                <w:rFonts w:cs="Palatino-Roman"/>
                <w:sz w:val="22"/>
                <w:szCs w:val="22"/>
                <w:lang w:bidi="en-US"/>
              </w:rPr>
              <w:t>No response or evidence is</w:t>
            </w:r>
            <w:r w:rsidRPr="00032F17">
              <w:rPr>
                <w:rFonts w:cs="Palatino-Roman"/>
                <w:sz w:val="22"/>
                <w:szCs w:val="22"/>
                <w:lang w:bidi="en-US"/>
              </w:rPr>
              <w:t xml:space="preserve"> provided that addresses the criteria listed in the rubric dimension.</w:t>
            </w:r>
          </w:p>
        </w:tc>
        <w:tc>
          <w:tcPr>
            <w:tcW w:w="12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14:paraId="6A49AE7F"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 w:val="22"/>
                <w:szCs w:val="22"/>
                <w:lang w:bidi="en-US"/>
              </w:rPr>
            </w:pPr>
            <w:r w:rsidRPr="00032F17">
              <w:rPr>
                <w:rFonts w:cs="Palatino-Roman"/>
                <w:sz w:val="22"/>
                <w:szCs w:val="22"/>
                <w:lang w:bidi="en-US"/>
              </w:rPr>
              <w:t>0</w:t>
            </w:r>
          </w:p>
        </w:tc>
      </w:tr>
    </w:tbl>
    <w:p w14:paraId="5EB00A25" w14:textId="77777777" w:rsidR="004B4C34" w:rsidRDefault="004B4C34" w:rsidP="004B4C34"/>
    <w:p w14:paraId="228204BC" w14:textId="62C7DDDB" w:rsidR="004B4C34" w:rsidRDefault="004B4C34" w:rsidP="004B4C34">
      <w:pPr>
        <w:rPr>
          <w:sz w:val="22"/>
          <w:szCs w:val="22"/>
        </w:rPr>
      </w:pPr>
      <w:r w:rsidRPr="00F81A1A">
        <w:rPr>
          <w:sz w:val="22"/>
          <w:szCs w:val="22"/>
        </w:rPr>
        <w:t xml:space="preserve">*If any rubric items are “marginal,” “weak” or “absent” during the review of the turnaround plan and budget review, those rubric items will move to the interview portion of the review process where school and district leaders will have the opportunity to provide additional information on rubric items that were not sufficiently addressed. </w:t>
      </w:r>
    </w:p>
    <w:p w14:paraId="70FC6B39" w14:textId="26C8002C" w:rsidR="004B4C34" w:rsidRDefault="004B4C34" w:rsidP="004B4C34"/>
    <w:tbl>
      <w:tblPr>
        <w:tblW w:w="15176" w:type="dxa"/>
        <w:jc w:val="center"/>
        <w:tblBorders>
          <w:top w:val="nil"/>
          <w:left w:val="nil"/>
          <w:right w:val="nil"/>
        </w:tblBorders>
        <w:tblLayout w:type="fixed"/>
        <w:tblLook w:val="0000" w:firstRow="0" w:lastRow="0" w:firstColumn="0" w:lastColumn="0" w:noHBand="0" w:noVBand="0"/>
      </w:tblPr>
      <w:tblGrid>
        <w:gridCol w:w="118"/>
        <w:gridCol w:w="118"/>
        <w:gridCol w:w="985"/>
        <w:gridCol w:w="247"/>
        <w:gridCol w:w="118"/>
        <w:gridCol w:w="3084"/>
        <w:gridCol w:w="38"/>
        <w:gridCol w:w="118"/>
        <w:gridCol w:w="3235"/>
        <w:gridCol w:w="67"/>
        <w:gridCol w:w="118"/>
        <w:gridCol w:w="3235"/>
        <w:gridCol w:w="67"/>
        <w:gridCol w:w="118"/>
        <w:gridCol w:w="3196"/>
        <w:gridCol w:w="196"/>
        <w:gridCol w:w="118"/>
      </w:tblGrid>
      <w:tr w:rsidR="004B4C34" w:rsidRPr="004B3A52" w14:paraId="09107DCF" w14:textId="77777777" w:rsidTr="005408B9">
        <w:trPr>
          <w:gridBefore w:val="2"/>
          <w:wBefore w:w="236" w:type="dxa"/>
          <w:trHeight w:val="835"/>
          <w:jc w:val="center"/>
        </w:trPr>
        <w:tc>
          <w:tcPr>
            <w:tcW w:w="14940" w:type="dxa"/>
            <w:gridSpan w:val="1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EAA5C20" w14:textId="77777777" w:rsidR="004B4C34" w:rsidRPr="004B3A52" w:rsidRDefault="004B4C34" w:rsidP="005408B9">
            <w:pPr>
              <w:widowControl w:val="0"/>
              <w:tabs>
                <w:tab w:val="left" w:pos="720"/>
                <w:tab w:val="left" w:pos="1080"/>
                <w:tab w:val="left" w:pos="1440"/>
                <w:tab w:val="left" w:pos="1800"/>
              </w:tabs>
              <w:autoSpaceDE w:val="0"/>
              <w:autoSpaceDN w:val="0"/>
              <w:adjustRightInd w:val="0"/>
              <w:rPr>
                <w:b/>
                <w:bCs/>
                <w:sz w:val="20"/>
                <w:lang w:bidi="en-US"/>
              </w:rPr>
            </w:pPr>
            <w:r w:rsidRPr="003439FF">
              <w:rPr>
                <w:b/>
                <w:bCs/>
                <w:sz w:val="20"/>
                <w:lang w:bidi="en-US"/>
              </w:rPr>
              <w:t>Capacity and Commitment</w:t>
            </w:r>
          </w:p>
          <w:p w14:paraId="089CF931"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3439FF">
              <w:rPr>
                <w:sz w:val="20"/>
                <w:u w:val="single"/>
                <w:lang w:bidi="en-US"/>
              </w:rPr>
              <w:t>Scoring Criteria</w:t>
            </w:r>
            <w:r w:rsidRPr="003439FF">
              <w:rPr>
                <w:sz w:val="20"/>
                <w:lang w:bidi="en-US"/>
              </w:rPr>
              <w:t xml:space="preserve">: </w:t>
            </w:r>
            <w:r w:rsidRPr="00F81A1A">
              <w:rPr>
                <w:rFonts w:cs="Palatino-Roman"/>
                <w:sz w:val="20"/>
                <w:lang w:bidi="en-US"/>
              </w:rPr>
              <w:t>The extent to which the district and school demonstrate the capacity and commitment to use School Redesign Grant funds to support the turnaround plan and the successful implementation of the turnaround practices.</w:t>
            </w:r>
          </w:p>
        </w:tc>
      </w:tr>
      <w:tr w:rsidR="004B4C34" w:rsidRPr="004B3A52" w14:paraId="51DF7A15" w14:textId="77777777" w:rsidTr="00704122">
        <w:tblPrEx>
          <w:tblBorders>
            <w:top w:val="none" w:sz="0" w:space="0" w:color="auto"/>
          </w:tblBorders>
        </w:tblPrEx>
        <w:trPr>
          <w:gridBefore w:val="2"/>
          <w:wBefore w:w="236" w:type="dxa"/>
          <w:trHeight w:val="250"/>
          <w:jc w:val="center"/>
        </w:trPr>
        <w:tc>
          <w:tcPr>
            <w:tcW w:w="1350" w:type="dxa"/>
            <w:gridSpan w:val="3"/>
            <w:tcBorders>
              <w:top w:val="single" w:sz="8" w:space="0" w:color="auto"/>
              <w:left w:val="single" w:sz="8" w:space="0" w:color="auto"/>
              <w:bottom w:val="single" w:sz="8" w:space="0" w:color="auto"/>
              <w:right w:val="single" w:sz="8" w:space="0" w:color="auto"/>
            </w:tcBorders>
          </w:tcPr>
          <w:p w14:paraId="58B719BB"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24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363093B"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Strong - 4</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965DE4D"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Adequate - 3</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40DD67D"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Marginal - 2</w:t>
            </w:r>
          </w:p>
        </w:tc>
        <w:tc>
          <w:tcPr>
            <w:tcW w:w="351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1EA3AD3"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Weak - 1</w:t>
            </w:r>
          </w:p>
        </w:tc>
      </w:tr>
      <w:tr w:rsidR="004B4C34" w:rsidRPr="004B3A52" w14:paraId="439A7D96" w14:textId="77777777" w:rsidTr="000A3C75">
        <w:tblPrEx>
          <w:tblBorders>
            <w:top w:val="none" w:sz="0" w:space="0" w:color="auto"/>
          </w:tblBorders>
        </w:tblPrEx>
        <w:trPr>
          <w:gridBefore w:val="2"/>
          <w:wBefore w:w="236" w:type="dxa"/>
          <w:trHeight w:val="385"/>
          <w:jc w:val="center"/>
        </w:trPr>
        <w:tc>
          <w:tcPr>
            <w:tcW w:w="1350" w:type="dxa"/>
            <w:gridSpan w:val="3"/>
            <w:tcBorders>
              <w:top w:val="single" w:sz="8" w:space="0" w:color="auto"/>
              <w:left w:val="single" w:sz="8" w:space="0" w:color="auto"/>
              <w:bottom w:val="single" w:sz="8" w:space="0" w:color="auto"/>
              <w:right w:val="single" w:sz="8" w:space="0" w:color="auto"/>
            </w:tcBorders>
            <w:vAlign w:val="center"/>
          </w:tcPr>
          <w:p w14:paraId="055B51C6" w14:textId="77777777" w:rsidR="004B4C34" w:rsidRPr="000F4F07" w:rsidRDefault="004B4C34" w:rsidP="005408B9">
            <w:pPr>
              <w:jc w:val="center"/>
              <w:rPr>
                <w:kern w:val="1"/>
                <w:sz w:val="20"/>
                <w:lang w:bidi="en-US"/>
              </w:rPr>
            </w:pPr>
            <w:r w:rsidRPr="000F4F07">
              <w:rPr>
                <w:kern w:val="1"/>
                <w:sz w:val="20"/>
                <w:lang w:bidi="en-US"/>
              </w:rPr>
              <w:t xml:space="preserve">1: </w:t>
            </w:r>
          </w:p>
          <w:p w14:paraId="1B5CB9C0" w14:textId="77777777" w:rsidR="004B4C34" w:rsidRPr="000F4F07" w:rsidRDefault="004B4C34" w:rsidP="005408B9">
            <w:pPr>
              <w:jc w:val="center"/>
              <w:rPr>
                <w:kern w:val="1"/>
                <w:sz w:val="20"/>
                <w:lang w:bidi="en-US"/>
              </w:rPr>
            </w:pPr>
            <w:r w:rsidRPr="000F4F07">
              <w:rPr>
                <w:kern w:val="1"/>
                <w:sz w:val="20"/>
                <w:lang w:bidi="en-US"/>
              </w:rPr>
              <w:t xml:space="preserve">Turnaround Plan Executive Summary </w:t>
            </w:r>
          </w:p>
        </w:tc>
        <w:tc>
          <w:tcPr>
            <w:tcW w:w="324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F4EC3A8"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overall rationale for school turnaround and key strategies that will be used to accelerate improvement in each turnaround practice are </w:t>
            </w:r>
            <w:r w:rsidRPr="00772DAD">
              <w:rPr>
                <w:i/>
                <w:sz w:val="20"/>
                <w:lang w:bidi="en-US"/>
              </w:rPr>
              <w:t>clearly</w:t>
            </w:r>
            <w:r w:rsidRPr="000F4F07">
              <w:rPr>
                <w:sz w:val="20"/>
                <w:lang w:bidi="en-US"/>
              </w:rPr>
              <w:t xml:space="preserve"> described </w:t>
            </w:r>
            <w:r w:rsidRPr="000F4F07">
              <w:rPr>
                <w:b/>
                <w:sz w:val="20"/>
                <w:lang w:bidi="en-US"/>
              </w:rPr>
              <w:t xml:space="preserve">AND </w:t>
            </w:r>
            <w:r w:rsidRPr="000F4F07">
              <w:rPr>
                <w:sz w:val="20"/>
                <w:lang w:bidi="en-US"/>
              </w:rPr>
              <w:t xml:space="preserve">the plan </w:t>
            </w:r>
            <w:r w:rsidRPr="00772DAD">
              <w:rPr>
                <w:i/>
                <w:sz w:val="20"/>
                <w:lang w:bidi="en-US"/>
              </w:rPr>
              <w:t>clearly</w:t>
            </w:r>
            <w:r w:rsidRPr="000F4F07">
              <w:rPr>
                <w:sz w:val="20"/>
                <w:lang w:bidi="en-US"/>
              </w:rPr>
              <w:t xml:space="preserve"> describes how the proposed strategies will be different from previous school improvement efforts.  </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1BB4D3C2"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overall rationale for school turnaround and key strategies that will be used to accelerate improvement in each turnaround practice are </w:t>
            </w:r>
            <w:r w:rsidRPr="00772DAD">
              <w:rPr>
                <w:i/>
                <w:sz w:val="20"/>
                <w:lang w:bidi="en-US"/>
              </w:rPr>
              <w:t xml:space="preserve">generally </w:t>
            </w:r>
            <w:r w:rsidRPr="000F4F07">
              <w:rPr>
                <w:sz w:val="20"/>
                <w:lang w:bidi="en-US"/>
              </w:rPr>
              <w:t xml:space="preserve">described </w:t>
            </w:r>
            <w:r w:rsidRPr="000F4F07">
              <w:rPr>
                <w:b/>
                <w:sz w:val="20"/>
                <w:lang w:bidi="en-US"/>
              </w:rPr>
              <w:t xml:space="preserve">AND </w:t>
            </w:r>
            <w:r w:rsidRPr="000F4F07">
              <w:rPr>
                <w:sz w:val="20"/>
                <w:lang w:bidi="en-US"/>
              </w:rPr>
              <w:t xml:space="preserve">the plan </w:t>
            </w:r>
            <w:r w:rsidRPr="00772DAD">
              <w:rPr>
                <w:i/>
                <w:sz w:val="20"/>
                <w:lang w:bidi="en-US"/>
              </w:rPr>
              <w:t>generally</w:t>
            </w:r>
            <w:r w:rsidRPr="000F4F07">
              <w:rPr>
                <w:sz w:val="20"/>
                <w:lang w:bidi="en-US"/>
              </w:rPr>
              <w:t xml:space="preserve"> describes how the proposed strategies will be different from previous school improvement efforts.</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32C7726"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overall rationale and key strategies that will be used to accelerate improvement in each turnaround practice are unclear </w:t>
            </w:r>
            <w:r w:rsidRPr="000F4F07">
              <w:rPr>
                <w:b/>
                <w:sz w:val="20"/>
                <w:lang w:bidi="en-US"/>
              </w:rPr>
              <w:t>OR</w:t>
            </w:r>
            <w:r w:rsidRPr="000F4F07">
              <w:rPr>
                <w:sz w:val="20"/>
                <w:lang w:bidi="en-US"/>
              </w:rPr>
              <w:t xml:space="preserve"> the plan does not clearly describe how the proposed strategies will be different from previous school improvement efforts.  </w:t>
            </w:r>
          </w:p>
        </w:tc>
        <w:tc>
          <w:tcPr>
            <w:tcW w:w="351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BE38CB9"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overall rationale and key strategies that will be used to accelerate improvement in each turnaround practice are unclear </w:t>
            </w:r>
            <w:r w:rsidRPr="000F4F07">
              <w:rPr>
                <w:b/>
                <w:sz w:val="20"/>
                <w:lang w:bidi="en-US"/>
              </w:rPr>
              <w:t>AND</w:t>
            </w:r>
            <w:r w:rsidRPr="000F4F07">
              <w:rPr>
                <w:sz w:val="20"/>
                <w:lang w:bidi="en-US"/>
              </w:rPr>
              <w:t xml:space="preserve"> the plan does not clearly describe how the proposed strategies will be different from previous school improvement efforts.  </w:t>
            </w:r>
          </w:p>
        </w:tc>
      </w:tr>
      <w:tr w:rsidR="004B4C34" w:rsidRPr="004B3A52" w14:paraId="7BA657C2" w14:textId="77777777" w:rsidTr="005408B9">
        <w:tblPrEx>
          <w:tblBorders>
            <w:top w:val="none" w:sz="0" w:space="0" w:color="auto"/>
          </w:tblBorders>
        </w:tblPrEx>
        <w:trPr>
          <w:gridBefore w:val="2"/>
          <w:wBefore w:w="236" w:type="dxa"/>
          <w:trHeight w:val="1285"/>
          <w:jc w:val="center"/>
        </w:trPr>
        <w:tc>
          <w:tcPr>
            <w:tcW w:w="135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18D0AEF3" w14:textId="77777777" w:rsidR="004B4C34" w:rsidRPr="004B3A52" w:rsidRDefault="004B4C34" w:rsidP="005408B9">
            <w:pPr>
              <w:widowControl w:val="0"/>
              <w:autoSpaceDE w:val="0"/>
              <w:autoSpaceDN w:val="0"/>
              <w:adjustRightInd w:val="0"/>
              <w:jc w:val="center"/>
              <w:rPr>
                <w:kern w:val="1"/>
                <w:sz w:val="20"/>
                <w:lang w:bidi="en-US"/>
              </w:rPr>
            </w:pPr>
            <w:r w:rsidRPr="003439FF">
              <w:rPr>
                <w:kern w:val="1"/>
                <w:sz w:val="20"/>
                <w:lang w:bidi="en-US"/>
              </w:rPr>
              <w:lastRenderedPageBreak/>
              <w:t>2:</w:t>
            </w:r>
          </w:p>
          <w:p w14:paraId="18D45062" w14:textId="77777777" w:rsidR="004B4C34" w:rsidRPr="004B3A52" w:rsidRDefault="004B4C34" w:rsidP="005408B9">
            <w:pPr>
              <w:widowControl w:val="0"/>
              <w:autoSpaceDE w:val="0"/>
              <w:autoSpaceDN w:val="0"/>
              <w:adjustRightInd w:val="0"/>
              <w:jc w:val="center"/>
              <w:rPr>
                <w:kern w:val="1"/>
                <w:sz w:val="20"/>
                <w:lang w:bidi="en-US"/>
              </w:rPr>
            </w:pPr>
            <w:r w:rsidRPr="003439FF">
              <w:rPr>
                <w:kern w:val="1"/>
                <w:sz w:val="20"/>
                <w:lang w:bidi="en-US"/>
              </w:rPr>
              <w:t>District Support</w:t>
            </w:r>
          </w:p>
        </w:tc>
        <w:tc>
          <w:tcPr>
            <w:tcW w:w="324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241C8A9B"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Pr>
                <w:sz w:val="20"/>
                <w:lang w:bidi="en-US"/>
              </w:rPr>
              <w:t xml:space="preserve">The </w:t>
            </w:r>
            <w:r w:rsidRPr="003439FF">
              <w:rPr>
                <w:sz w:val="20"/>
                <w:lang w:bidi="en-US"/>
              </w:rPr>
              <w:t xml:space="preserve">application provides a </w:t>
            </w:r>
            <w:r w:rsidRPr="00772DAD">
              <w:rPr>
                <w:i/>
                <w:sz w:val="20"/>
                <w:lang w:bidi="en-US"/>
              </w:rPr>
              <w:t xml:space="preserve">detailed </w:t>
            </w:r>
            <w:r w:rsidRPr="003439FF">
              <w:rPr>
                <w:sz w:val="20"/>
                <w:lang w:bidi="en-US"/>
              </w:rPr>
              <w:t xml:space="preserve">description of how the district is actively and meaningfully supporting the school in its improvement efforts. </w:t>
            </w:r>
          </w:p>
        </w:tc>
        <w:tc>
          <w:tcPr>
            <w:tcW w:w="342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75FE2F54"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Pr>
                <w:sz w:val="20"/>
                <w:lang w:bidi="en-US"/>
              </w:rPr>
              <w:t>The</w:t>
            </w:r>
            <w:r w:rsidRPr="003439FF">
              <w:rPr>
                <w:sz w:val="20"/>
                <w:lang w:bidi="en-US"/>
              </w:rPr>
              <w:t xml:space="preserve"> application provides a </w:t>
            </w:r>
            <w:r w:rsidRPr="00772DAD">
              <w:rPr>
                <w:i/>
                <w:sz w:val="20"/>
                <w:lang w:bidi="en-US"/>
              </w:rPr>
              <w:t>general</w:t>
            </w:r>
            <w:r w:rsidRPr="003439FF">
              <w:rPr>
                <w:sz w:val="20"/>
                <w:lang w:bidi="en-US"/>
              </w:rPr>
              <w:t xml:space="preserve"> description of how the district is actively and meaningfully supporting the school in its improvement efforts.</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36A8D3F"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Pr>
                <w:sz w:val="20"/>
                <w:lang w:bidi="en-US"/>
              </w:rPr>
              <w:t>The</w:t>
            </w:r>
            <w:r w:rsidRPr="003439FF">
              <w:rPr>
                <w:sz w:val="20"/>
                <w:lang w:bidi="en-US"/>
              </w:rPr>
              <w:t xml:space="preserve"> application provides a general description of how the district is supporting the school in its improvement efforts, but it is unclear if the support is frequent or meaningful.</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9B97ABD"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Pr>
                <w:sz w:val="20"/>
                <w:lang w:bidi="en-US"/>
              </w:rPr>
              <w:t xml:space="preserve">The </w:t>
            </w:r>
            <w:r w:rsidRPr="003439FF">
              <w:rPr>
                <w:sz w:val="20"/>
                <w:lang w:bidi="en-US"/>
              </w:rPr>
              <w:t>application provides a partial or weak description of how the district is supporting the school in its improvement efforts.</w:t>
            </w:r>
          </w:p>
        </w:tc>
      </w:tr>
      <w:tr w:rsidR="004B4C34" w:rsidRPr="004B3A52" w14:paraId="3FA68175" w14:textId="77777777" w:rsidTr="005408B9">
        <w:tblPrEx>
          <w:tblBorders>
            <w:top w:val="none" w:sz="0" w:space="0" w:color="auto"/>
          </w:tblBorders>
        </w:tblPrEx>
        <w:trPr>
          <w:gridBefore w:val="2"/>
          <w:wBefore w:w="236" w:type="dxa"/>
          <w:trHeight w:val="1285"/>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781A909"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 xml:space="preserve">3: </w:t>
            </w:r>
          </w:p>
          <w:p w14:paraId="043E85FB"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District Capacity</w:t>
            </w:r>
          </w:p>
        </w:tc>
        <w:tc>
          <w:tcPr>
            <w:tcW w:w="32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DA69B23"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plan provides a compelling case that the district has the ability and full complement of necessary authorities to support the school’s implementation of the </w:t>
            </w:r>
            <w:r>
              <w:rPr>
                <w:sz w:val="20"/>
                <w:lang w:bidi="en-US"/>
              </w:rPr>
              <w:t>turnaround p</w:t>
            </w:r>
            <w:r w:rsidRPr="000F4F07">
              <w:rPr>
                <w:sz w:val="20"/>
                <w:lang w:bidi="en-US"/>
              </w:rPr>
              <w:t xml:space="preserve">lan, including those related to the grant requirements </w:t>
            </w:r>
            <w:r w:rsidRPr="000F4F07">
              <w:rPr>
                <w:b/>
                <w:sz w:val="20"/>
                <w:lang w:bidi="en-US"/>
              </w:rPr>
              <w:t>AND</w:t>
            </w:r>
            <w:r w:rsidRPr="000F4F07">
              <w:rPr>
                <w:sz w:val="20"/>
                <w:lang w:bidi="en-US"/>
              </w:rPr>
              <w:t xml:space="preserve"> </w:t>
            </w:r>
            <w:r w:rsidRPr="00772DAD">
              <w:rPr>
                <w:i/>
                <w:sz w:val="20"/>
                <w:lang w:bidi="en-US"/>
              </w:rPr>
              <w:t>detailed</w:t>
            </w:r>
            <w:r w:rsidRPr="000F4F07">
              <w:rPr>
                <w:sz w:val="20"/>
                <w:lang w:bidi="en-US"/>
              </w:rPr>
              <w:t xml:space="preserve"> evidence is provided that affected collective bargaini</w:t>
            </w:r>
            <w:r>
              <w:rPr>
                <w:sz w:val="20"/>
                <w:lang w:bidi="en-US"/>
              </w:rPr>
              <w:t>ng units are supportive of the t</w:t>
            </w:r>
            <w:r w:rsidRPr="000F4F07">
              <w:rPr>
                <w:sz w:val="20"/>
                <w:lang w:bidi="en-US"/>
              </w:rPr>
              <w:t xml:space="preserve">urnaround </w:t>
            </w:r>
            <w:r>
              <w:rPr>
                <w:sz w:val="20"/>
                <w:lang w:bidi="en-US"/>
              </w:rPr>
              <w:t>p</w:t>
            </w:r>
            <w:r w:rsidRPr="000F4F07">
              <w:rPr>
                <w:sz w:val="20"/>
                <w:lang w:bidi="en-US"/>
              </w:rPr>
              <w:t>lan. </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B9A8D52"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The plan provides a general description of how the district has the ability and necessary authorities to support the school’s im</w:t>
            </w:r>
            <w:r>
              <w:rPr>
                <w:sz w:val="20"/>
                <w:lang w:bidi="en-US"/>
              </w:rPr>
              <w:t>plementation of the turnaround p</w:t>
            </w:r>
            <w:r w:rsidRPr="000F4F07">
              <w:rPr>
                <w:sz w:val="20"/>
                <w:lang w:bidi="en-US"/>
              </w:rPr>
              <w:t xml:space="preserve">lan, including those related to the grant requirements </w:t>
            </w:r>
            <w:r w:rsidRPr="000F4F07">
              <w:rPr>
                <w:b/>
                <w:sz w:val="20"/>
                <w:lang w:bidi="en-US"/>
              </w:rPr>
              <w:t>AND</w:t>
            </w:r>
            <w:r w:rsidRPr="000F4F07">
              <w:rPr>
                <w:sz w:val="20"/>
                <w:lang w:bidi="en-US"/>
              </w:rPr>
              <w:t xml:space="preserve"> at least </w:t>
            </w:r>
            <w:r w:rsidRPr="00772DAD">
              <w:rPr>
                <w:i/>
                <w:sz w:val="20"/>
                <w:lang w:bidi="en-US"/>
              </w:rPr>
              <w:t>general</w:t>
            </w:r>
            <w:r w:rsidRPr="000F4F07">
              <w:rPr>
                <w:sz w:val="20"/>
                <w:lang w:bidi="en-US"/>
              </w:rPr>
              <w:t xml:space="preserve"> evidence is provided that affected collective bargaini</w:t>
            </w:r>
            <w:r>
              <w:rPr>
                <w:sz w:val="20"/>
                <w:lang w:bidi="en-US"/>
              </w:rPr>
              <w:t>ng units are supportive of the turnaround p</w:t>
            </w:r>
            <w:r w:rsidRPr="000F4F07">
              <w:rPr>
                <w:sz w:val="20"/>
                <w:lang w:bidi="en-US"/>
              </w:rPr>
              <w:t xml:space="preserve">lan.  </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32C4327"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plan provides a marginal or partial description of how the district has the ability and necessary authorities to support the </w:t>
            </w:r>
            <w:r>
              <w:rPr>
                <w:sz w:val="20"/>
                <w:lang w:bidi="en-US"/>
              </w:rPr>
              <w:t>school’s implementation of the turnaround p</w:t>
            </w:r>
            <w:r w:rsidRPr="000F4F07">
              <w:rPr>
                <w:sz w:val="20"/>
                <w:lang w:bidi="en-US"/>
              </w:rPr>
              <w:t xml:space="preserve">lan, including those related to the grant requirements </w:t>
            </w:r>
            <w:r w:rsidRPr="000F4F07">
              <w:rPr>
                <w:b/>
                <w:sz w:val="20"/>
                <w:lang w:bidi="en-US"/>
              </w:rPr>
              <w:t>OR</w:t>
            </w:r>
            <w:r w:rsidRPr="000F4F07">
              <w:rPr>
                <w:sz w:val="20"/>
                <w:lang w:bidi="en-US"/>
              </w:rPr>
              <w:t xml:space="preserve"> </w:t>
            </w:r>
            <w:r w:rsidRPr="00772DAD">
              <w:rPr>
                <w:i/>
                <w:sz w:val="20"/>
                <w:lang w:bidi="en-US"/>
              </w:rPr>
              <w:t>limited</w:t>
            </w:r>
            <w:r w:rsidRPr="000F4F07">
              <w:rPr>
                <w:sz w:val="20"/>
                <w:lang w:bidi="en-US"/>
              </w:rPr>
              <w:t xml:space="preserve"> evidence is provided that affected collective bargaini</w:t>
            </w:r>
            <w:r>
              <w:rPr>
                <w:sz w:val="20"/>
                <w:lang w:bidi="en-US"/>
              </w:rPr>
              <w:t>ng units are supportive of the turnaround p</w:t>
            </w:r>
            <w:r w:rsidRPr="000F4F07">
              <w:rPr>
                <w:sz w:val="20"/>
                <w:lang w:bidi="en-US"/>
              </w:rPr>
              <w:t xml:space="preserve">lan.  </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4190A22"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plan provides little to no description of how the district has the ability and necessary authorities to support the </w:t>
            </w:r>
            <w:r>
              <w:rPr>
                <w:sz w:val="20"/>
                <w:lang w:bidi="en-US"/>
              </w:rPr>
              <w:t>school’s implementation of the turnaround p</w:t>
            </w:r>
            <w:r w:rsidRPr="000F4F07">
              <w:rPr>
                <w:sz w:val="20"/>
                <w:lang w:bidi="en-US"/>
              </w:rPr>
              <w:t xml:space="preserve">lan, including those related to the grant requirements </w:t>
            </w:r>
            <w:r w:rsidRPr="000F4F07">
              <w:rPr>
                <w:b/>
                <w:sz w:val="20"/>
                <w:lang w:bidi="en-US"/>
              </w:rPr>
              <w:t>AND</w:t>
            </w:r>
            <w:r w:rsidRPr="000F4F07">
              <w:rPr>
                <w:sz w:val="20"/>
                <w:lang w:bidi="en-US"/>
              </w:rPr>
              <w:t xml:space="preserve"> limited or no evidence is provided that affected collective bargaini</w:t>
            </w:r>
            <w:r>
              <w:rPr>
                <w:sz w:val="20"/>
                <w:lang w:bidi="en-US"/>
              </w:rPr>
              <w:t>ng units are supportive of the turnaround p</w:t>
            </w:r>
            <w:r w:rsidRPr="000F4F07">
              <w:rPr>
                <w:sz w:val="20"/>
                <w:lang w:bidi="en-US"/>
              </w:rPr>
              <w:t xml:space="preserve">lan.  </w:t>
            </w:r>
          </w:p>
        </w:tc>
      </w:tr>
      <w:tr w:rsidR="004B4C34" w:rsidRPr="004B3A52" w14:paraId="01B440CE" w14:textId="77777777" w:rsidTr="005408B9">
        <w:tblPrEx>
          <w:tblBorders>
            <w:top w:val="none" w:sz="0" w:space="0" w:color="auto"/>
          </w:tblBorders>
        </w:tblPrEx>
        <w:trPr>
          <w:gridBefore w:val="2"/>
          <w:wBefore w:w="236" w:type="dxa"/>
          <w:trHeight w:val="1285"/>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1C14DCD"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 xml:space="preserve">4: </w:t>
            </w:r>
          </w:p>
          <w:p w14:paraId="1FD2ABAF"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School Leadership</w:t>
            </w:r>
          </w:p>
        </w:tc>
        <w:tc>
          <w:tcPr>
            <w:tcW w:w="32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01115F0" w14:textId="77777777" w:rsidR="004B4C34" w:rsidRPr="000F4F07" w:rsidRDefault="004B4C34" w:rsidP="005408B9">
            <w:pPr>
              <w:spacing w:before="40" w:after="40"/>
              <w:rPr>
                <w:sz w:val="20"/>
                <w:lang w:bidi="en-US"/>
              </w:rPr>
            </w:pPr>
            <w:r w:rsidRPr="000F4F07">
              <w:rPr>
                <w:sz w:val="20"/>
                <w:lang w:bidi="en-US"/>
              </w:rPr>
              <w:t xml:space="preserve">The plan provides a </w:t>
            </w:r>
            <w:r w:rsidRPr="00436FF8">
              <w:rPr>
                <w:i/>
                <w:sz w:val="20"/>
                <w:lang w:bidi="en-US"/>
              </w:rPr>
              <w:t>detailed</w:t>
            </w:r>
            <w:r w:rsidRPr="000F4F07">
              <w:rPr>
                <w:sz w:val="20"/>
                <w:lang w:bidi="en-US"/>
              </w:rPr>
              <w:t xml:space="preserve"> description of how the principal has the necessary competencies and experience to lead a successful school turnaround effort, including data from previous school(s). If a new principal has yet to be chosen, the plan </w:t>
            </w:r>
            <w:r w:rsidRPr="00436FF8">
              <w:rPr>
                <w:sz w:val="20"/>
                <w:lang w:bidi="en-US"/>
              </w:rPr>
              <w:t>describes</w:t>
            </w:r>
            <w:r w:rsidRPr="00436FF8">
              <w:rPr>
                <w:i/>
                <w:sz w:val="20"/>
                <w:lang w:bidi="en-US"/>
              </w:rPr>
              <w:t xml:space="preserve"> in detail</w:t>
            </w:r>
            <w:r w:rsidRPr="000F4F07">
              <w:rPr>
                <w:sz w:val="20"/>
                <w:lang w:bidi="en-US"/>
              </w:rPr>
              <w:t xml:space="preserve"> how the district will recruit, screen</w:t>
            </w:r>
            <w:r>
              <w:rPr>
                <w:sz w:val="20"/>
                <w:lang w:bidi="en-US"/>
              </w:rPr>
              <w:t>,</w:t>
            </w:r>
            <w:r w:rsidRPr="000F4F07">
              <w:rPr>
                <w:sz w:val="20"/>
                <w:lang w:bidi="en-US"/>
              </w:rPr>
              <w:t xml:space="preserve"> and select a school leader that has a proven track record of rapidly advancing student achievement in a low-performing school.</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A838F52"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plan </w:t>
            </w:r>
            <w:r w:rsidRPr="00436FF8">
              <w:rPr>
                <w:i/>
                <w:sz w:val="20"/>
                <w:lang w:bidi="en-US"/>
              </w:rPr>
              <w:t>generally</w:t>
            </w:r>
            <w:r w:rsidRPr="000F4F07">
              <w:rPr>
                <w:sz w:val="20"/>
                <w:lang w:bidi="en-US"/>
              </w:rPr>
              <w:t xml:space="preserve"> describes how the principal has the necessary competencies and experience to lead a successful school turnaround effort. If a new principal has yet to be chosen, the plan </w:t>
            </w:r>
            <w:r w:rsidRPr="00436FF8">
              <w:rPr>
                <w:i/>
                <w:sz w:val="20"/>
                <w:lang w:bidi="en-US"/>
              </w:rPr>
              <w:t>generally</w:t>
            </w:r>
            <w:r w:rsidRPr="000F4F07">
              <w:rPr>
                <w:sz w:val="20"/>
                <w:lang w:bidi="en-US"/>
              </w:rPr>
              <w:t xml:space="preserve"> describes how the district will recruit, screen</w:t>
            </w:r>
            <w:r>
              <w:rPr>
                <w:sz w:val="20"/>
                <w:lang w:bidi="en-US"/>
              </w:rPr>
              <w:t>,</w:t>
            </w:r>
            <w:r w:rsidRPr="000F4F07">
              <w:rPr>
                <w:sz w:val="20"/>
                <w:lang w:bidi="en-US"/>
              </w:rPr>
              <w:t xml:space="preserve"> and select a school leader that has a proven track record of rapidly advancing student achievement in a low-performing school.</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41E35CD"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plan provides </w:t>
            </w:r>
            <w:r w:rsidRPr="00436FF8">
              <w:rPr>
                <w:i/>
                <w:sz w:val="20"/>
                <w:lang w:bidi="en-US"/>
              </w:rPr>
              <w:t>partial detail</w:t>
            </w:r>
            <w:r w:rsidRPr="000F4F07">
              <w:rPr>
                <w:sz w:val="20"/>
                <w:lang w:bidi="en-US"/>
              </w:rPr>
              <w:t xml:space="preserve"> as to how the selected leader has the necessary competencies and experience to lead a successful turnaround effort.  If a new principal has not yet been chosen, the plan does not provide sufficient detail as to how it will recruit, screen and/or select a school leader with a proven track record of rapidly advancing student achievement in a low-performing school.</w:t>
            </w:r>
            <w:r w:rsidRPr="000F4F07">
              <w:rPr>
                <w:kern w:val="1"/>
                <w:sz w:val="20"/>
                <w:lang w:bidi="en-US"/>
              </w:rPr>
              <w:t xml:space="preserve"> </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602BA5D"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0F4F07">
              <w:rPr>
                <w:sz w:val="20"/>
                <w:lang w:bidi="en-US"/>
              </w:rPr>
              <w:t xml:space="preserve">The plan provides </w:t>
            </w:r>
            <w:r w:rsidRPr="00436FF8">
              <w:rPr>
                <w:i/>
                <w:sz w:val="20"/>
                <w:lang w:bidi="en-US"/>
              </w:rPr>
              <w:t>limited</w:t>
            </w:r>
            <w:r w:rsidRPr="000F4F07">
              <w:rPr>
                <w:sz w:val="20"/>
                <w:lang w:bidi="en-US"/>
              </w:rPr>
              <w:t xml:space="preserve"> evidence that the selected leader has the necessary competencies and experience to lead a successful turnaround effort.  If a new principal has not yet been chosen, the plan provides limited evidence that the district has a sufficient process for recruiting, screening, and selecting a proven turnaround leader for the school. </w:t>
            </w:r>
          </w:p>
        </w:tc>
      </w:tr>
      <w:tr w:rsidR="004B4C34" w:rsidRPr="004B3A52" w14:paraId="10F88558" w14:textId="77777777" w:rsidTr="00FD3FCE">
        <w:tblPrEx>
          <w:tblBorders>
            <w:top w:val="none" w:sz="0" w:space="0" w:color="auto"/>
          </w:tblBorders>
        </w:tblPrEx>
        <w:trPr>
          <w:gridBefore w:val="2"/>
          <w:wBefore w:w="236" w:type="dxa"/>
          <w:trHeight w:val="385"/>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B26C918"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 xml:space="preserve">5: </w:t>
            </w:r>
          </w:p>
          <w:p w14:paraId="19FD88A5"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External Partners</w:t>
            </w:r>
          </w:p>
        </w:tc>
        <w:tc>
          <w:tcPr>
            <w:tcW w:w="32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E6FF424"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a compelling case for how the district will recruit, screen and select external partners </w:t>
            </w:r>
            <w:r w:rsidRPr="000F4F07">
              <w:rPr>
                <w:b/>
                <w:sz w:val="20"/>
                <w:lang w:bidi="en-US"/>
              </w:rPr>
              <w:t>AND</w:t>
            </w:r>
            <w:r w:rsidRPr="000F4F07">
              <w:rPr>
                <w:sz w:val="20"/>
                <w:lang w:bidi="en-US"/>
              </w:rPr>
              <w:t xml:space="preserve"> describes in detail systems/structures for coordinating and holding external providers accountable for meeting agreed-upon performance benchmarks.</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F5C686"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w:t>
            </w:r>
            <w:r w:rsidRPr="004236B4">
              <w:rPr>
                <w:sz w:val="20"/>
                <w:lang w:bidi="en-US"/>
              </w:rPr>
              <w:t>generally</w:t>
            </w:r>
            <w:r w:rsidRPr="000F4F07">
              <w:rPr>
                <w:sz w:val="20"/>
                <w:lang w:bidi="en-US"/>
              </w:rPr>
              <w:t xml:space="preserve"> describes how the district will recruit, screen and select external partners </w:t>
            </w:r>
            <w:r w:rsidRPr="000F4F07">
              <w:rPr>
                <w:b/>
                <w:sz w:val="20"/>
                <w:lang w:bidi="en-US"/>
              </w:rPr>
              <w:t>AND</w:t>
            </w:r>
            <w:r w:rsidRPr="000F4F07">
              <w:rPr>
                <w:sz w:val="20"/>
                <w:lang w:bidi="en-US"/>
              </w:rPr>
              <w:t xml:space="preserve"> generally describes systems/structures for coordinating and holding external providers accountable for meeting agreed-upon performance benchmarks.</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ACDB40F"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generally describes how the district will recruit, screen and select external partners </w:t>
            </w:r>
            <w:r w:rsidRPr="000F4F07">
              <w:rPr>
                <w:b/>
                <w:sz w:val="20"/>
                <w:lang w:bidi="en-US"/>
              </w:rPr>
              <w:t>OR</w:t>
            </w:r>
            <w:r w:rsidRPr="000F4F07">
              <w:rPr>
                <w:sz w:val="20"/>
                <w:lang w:bidi="en-US"/>
              </w:rPr>
              <w:t xml:space="preserve"> generally describes systems/structures for coordinating and holding external providers accountable for meeting agreed-upon performance benchmarks.</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508171D3"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The plan provides limited evidence of how the district will recruit, screen and select external partners and how they will be held accountable to agreed-upon performance benchmarks.</w:t>
            </w:r>
          </w:p>
        </w:tc>
      </w:tr>
      <w:tr w:rsidR="004B4C34" w:rsidRPr="004B3A52" w14:paraId="7024BC2A" w14:textId="77777777" w:rsidTr="005408B9">
        <w:tblPrEx>
          <w:tblBorders>
            <w:top w:val="none" w:sz="0" w:space="0" w:color="auto"/>
          </w:tblBorders>
        </w:tblPrEx>
        <w:trPr>
          <w:gridBefore w:val="2"/>
          <w:wBefore w:w="236" w:type="dxa"/>
          <w:trHeight w:val="1285"/>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92044B5"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lastRenderedPageBreak/>
              <w:t xml:space="preserve">6: </w:t>
            </w:r>
          </w:p>
          <w:p w14:paraId="55F88F05"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High-Quality Instructional Staff</w:t>
            </w:r>
          </w:p>
        </w:tc>
        <w:tc>
          <w:tcPr>
            <w:tcW w:w="324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3B93A6A8" w14:textId="77777777" w:rsidR="004B4C34" w:rsidRPr="000F4F07" w:rsidRDefault="004B4C34" w:rsidP="005408B9">
            <w:pPr>
              <w:rPr>
                <w:sz w:val="20"/>
                <w:lang w:bidi="en-US"/>
              </w:rPr>
            </w:pPr>
            <w:r w:rsidRPr="000F4F07">
              <w:rPr>
                <w:sz w:val="20"/>
                <w:lang w:bidi="en-US"/>
              </w:rPr>
              <w:t xml:space="preserve">The plan describes in detail how the district and/or school leadership will use staffing autonomy to ensure the right staff are in the right positions to rapidly advance student achievement at the school, including describing in detail processes for </w:t>
            </w:r>
            <w:r w:rsidRPr="000F4F07">
              <w:rPr>
                <w:b/>
                <w:sz w:val="20"/>
                <w:lang w:bidi="en-US"/>
              </w:rPr>
              <w:t>each</w:t>
            </w:r>
            <w:r w:rsidRPr="000F4F07">
              <w:rPr>
                <w:sz w:val="20"/>
                <w:lang w:bidi="en-US"/>
              </w:rPr>
              <w:t xml:space="preserve"> of the following:</w:t>
            </w:r>
          </w:p>
          <w:p w14:paraId="2A6D4DD4" w14:textId="77777777" w:rsidR="004B4C34" w:rsidRPr="000F4F07" w:rsidRDefault="004B4C34" w:rsidP="004B4C34">
            <w:pPr>
              <w:pStyle w:val="ListParagraph"/>
              <w:numPr>
                <w:ilvl w:val="0"/>
                <w:numId w:val="29"/>
              </w:numPr>
              <w:ind w:left="252" w:hanging="108"/>
              <w:rPr>
                <w:lang w:bidi="en-US"/>
              </w:rPr>
            </w:pPr>
            <w:r w:rsidRPr="000F4F07">
              <w:rPr>
                <w:lang w:bidi="en-US"/>
              </w:rPr>
              <w:t>Assessing the will and skill of current staff</w:t>
            </w:r>
          </w:p>
          <w:p w14:paraId="3E4F8CD7" w14:textId="77777777" w:rsidR="004B4C34" w:rsidRPr="000F4F07" w:rsidRDefault="004B4C34" w:rsidP="004B4C34">
            <w:pPr>
              <w:pStyle w:val="ListParagraph"/>
              <w:numPr>
                <w:ilvl w:val="0"/>
                <w:numId w:val="29"/>
              </w:numPr>
              <w:ind w:left="252" w:hanging="108"/>
              <w:rPr>
                <w:lang w:bidi="en-US"/>
              </w:rPr>
            </w:pPr>
            <w:r w:rsidRPr="000F4F07">
              <w:rPr>
                <w:lang w:bidi="en-US"/>
              </w:rPr>
              <w:t>Recruiting, screening, and selecting high-quality instructional staff to fill vacancies</w:t>
            </w:r>
          </w:p>
          <w:p w14:paraId="0CDAF13F" w14:textId="77777777" w:rsidR="004B4C34" w:rsidRPr="000F4F07" w:rsidRDefault="004B4C34" w:rsidP="004B4C34">
            <w:pPr>
              <w:pStyle w:val="ListParagraph"/>
              <w:numPr>
                <w:ilvl w:val="0"/>
                <w:numId w:val="29"/>
              </w:numPr>
              <w:ind w:left="252" w:hanging="108"/>
              <w:rPr>
                <w:u w:val="single"/>
                <w:lang w:bidi="en-US"/>
              </w:rPr>
            </w:pPr>
            <w:r w:rsidRPr="000F4F07">
              <w:rPr>
                <w:lang w:bidi="en-US"/>
              </w:rPr>
              <w:t>Assigning and adjusting positions, titles</w:t>
            </w:r>
            <w:r>
              <w:rPr>
                <w:lang w:bidi="en-US"/>
              </w:rPr>
              <w:t>,</w:t>
            </w:r>
            <w:r w:rsidRPr="000F4F07">
              <w:rPr>
                <w:lang w:bidi="en-US"/>
              </w:rPr>
              <w:t xml:space="preserve"> and roles that best meet the  needs of the turnaround plan</w:t>
            </w:r>
          </w:p>
        </w:tc>
        <w:tc>
          <w:tcPr>
            <w:tcW w:w="342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4665A8E5" w14:textId="77777777" w:rsidR="004B4C34" w:rsidRPr="000F4F07" w:rsidRDefault="004B4C34" w:rsidP="005408B9">
            <w:pPr>
              <w:spacing w:before="40" w:after="40"/>
              <w:rPr>
                <w:sz w:val="20"/>
                <w:lang w:bidi="en-US"/>
              </w:rPr>
            </w:pPr>
            <w:r w:rsidRPr="000F4F07">
              <w:rPr>
                <w:sz w:val="20"/>
                <w:lang w:bidi="en-US"/>
              </w:rPr>
              <w:t xml:space="preserve">The plan provides a general description of how the district and/or school leadership will use staffing autonomy to ensure the right staff are in the right positions to rapidly advance student achievement at the school, including at least general descriptions of processes for </w:t>
            </w:r>
            <w:r w:rsidRPr="000F4F07">
              <w:rPr>
                <w:b/>
                <w:sz w:val="20"/>
                <w:lang w:bidi="en-US"/>
              </w:rPr>
              <w:t>each</w:t>
            </w:r>
            <w:r w:rsidRPr="000F4F07">
              <w:rPr>
                <w:sz w:val="20"/>
                <w:lang w:bidi="en-US"/>
              </w:rPr>
              <w:t xml:space="preserve"> of the following:</w:t>
            </w:r>
          </w:p>
          <w:p w14:paraId="450D3D12"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Assessing the will and skill of current staff</w:t>
            </w:r>
          </w:p>
          <w:p w14:paraId="27ECBA40"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Recruiting, screening, and selecting high-quality instructional staff to fill vacancies</w:t>
            </w:r>
          </w:p>
          <w:p w14:paraId="3FB1F381"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Assigning and adjusting positions, titles</w:t>
            </w:r>
            <w:r>
              <w:rPr>
                <w:lang w:bidi="en-US"/>
              </w:rPr>
              <w:t>,</w:t>
            </w:r>
            <w:r w:rsidRPr="000F4F07">
              <w:rPr>
                <w:lang w:bidi="en-US"/>
              </w:rPr>
              <w:t xml:space="preserve"> and roles that best meet the  needs of the turnaround plan</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8D775EE" w14:textId="77777777" w:rsidR="004B4C34" w:rsidRPr="000F4F07" w:rsidRDefault="004B4C34" w:rsidP="005408B9">
            <w:pPr>
              <w:spacing w:before="40" w:after="40"/>
              <w:rPr>
                <w:sz w:val="20"/>
                <w:lang w:bidi="en-US"/>
              </w:rPr>
            </w:pPr>
            <w:r w:rsidRPr="000F4F07">
              <w:rPr>
                <w:sz w:val="20"/>
                <w:lang w:bidi="en-US"/>
              </w:rPr>
              <w:t xml:space="preserve">The plan provides a general description of how the district and/or school leadership will use staffing autonomy to ensure the right staff are in the right positions to rapidly advance student achievement at the school, including general descriptions of processes for </w:t>
            </w:r>
            <w:r>
              <w:rPr>
                <w:b/>
                <w:sz w:val="20"/>
                <w:lang w:bidi="en-US"/>
              </w:rPr>
              <w:t>some, but not all</w:t>
            </w:r>
            <w:r w:rsidRPr="000F4F07">
              <w:rPr>
                <w:sz w:val="20"/>
                <w:lang w:bidi="en-US"/>
              </w:rPr>
              <w:t>, of the following:</w:t>
            </w:r>
          </w:p>
          <w:p w14:paraId="6CD3EBAC"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Assessing the will and skill of current staff</w:t>
            </w:r>
          </w:p>
          <w:p w14:paraId="190518E0"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Recruiting, screening, and selecting high-quality instructional staff to fill vacancies</w:t>
            </w:r>
          </w:p>
          <w:p w14:paraId="739818B9"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Assigning and adjusting positions, titles</w:t>
            </w:r>
            <w:r>
              <w:rPr>
                <w:lang w:bidi="en-US"/>
              </w:rPr>
              <w:t>,</w:t>
            </w:r>
            <w:r w:rsidRPr="000F4F07">
              <w:rPr>
                <w:lang w:bidi="en-US"/>
              </w:rPr>
              <w:t xml:space="preserve"> and roles that best meet the  needs of the turnaround plan</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CF958C2" w14:textId="77777777" w:rsidR="004B4C34" w:rsidRPr="000F4F07" w:rsidRDefault="004B4C34" w:rsidP="005408B9">
            <w:pPr>
              <w:spacing w:before="40" w:after="40"/>
              <w:rPr>
                <w:sz w:val="20"/>
                <w:lang w:bidi="en-US"/>
              </w:rPr>
            </w:pPr>
            <w:r w:rsidRPr="000F4F07">
              <w:rPr>
                <w:sz w:val="20"/>
                <w:lang w:bidi="en-US"/>
              </w:rPr>
              <w:t xml:space="preserve">The plan provides a limited description of how the district and/or school leadership will use staffing autonomy to ensure the right staff are in the right positions to rapidly advance student achievement at the school, </w:t>
            </w:r>
            <w:r w:rsidRPr="000F4F07">
              <w:rPr>
                <w:b/>
                <w:sz w:val="20"/>
                <w:lang w:bidi="en-US"/>
              </w:rPr>
              <w:t>OR</w:t>
            </w:r>
            <w:r w:rsidRPr="000F4F07">
              <w:rPr>
                <w:sz w:val="20"/>
                <w:lang w:bidi="en-US"/>
              </w:rPr>
              <w:t xml:space="preserve"> provides limited </w:t>
            </w:r>
            <w:r>
              <w:rPr>
                <w:sz w:val="20"/>
                <w:lang w:bidi="en-US"/>
              </w:rPr>
              <w:t xml:space="preserve">or no </w:t>
            </w:r>
            <w:r w:rsidRPr="000F4F07">
              <w:rPr>
                <w:sz w:val="20"/>
                <w:lang w:bidi="en-US"/>
              </w:rPr>
              <w:t xml:space="preserve">descriptions of processes for </w:t>
            </w:r>
            <w:r>
              <w:rPr>
                <w:sz w:val="20"/>
                <w:lang w:bidi="en-US"/>
              </w:rPr>
              <w:t xml:space="preserve">at least </w:t>
            </w:r>
            <w:r>
              <w:rPr>
                <w:b/>
                <w:sz w:val="20"/>
                <w:lang w:bidi="en-US"/>
              </w:rPr>
              <w:t>one of the following</w:t>
            </w:r>
            <w:r w:rsidRPr="000F4F07">
              <w:rPr>
                <w:sz w:val="20"/>
                <w:lang w:bidi="en-US"/>
              </w:rPr>
              <w:t xml:space="preserve">: </w:t>
            </w:r>
          </w:p>
          <w:p w14:paraId="74CEE583"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Assessing the will and skill of current staff</w:t>
            </w:r>
          </w:p>
          <w:p w14:paraId="4047C707"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Recruiting, screening, and selecting high-quality instructional staff to fill vacancies</w:t>
            </w:r>
          </w:p>
          <w:p w14:paraId="1CAB3BE0" w14:textId="77777777" w:rsidR="004B4C34" w:rsidRPr="000F4F07" w:rsidRDefault="004B4C34" w:rsidP="004B4C34">
            <w:pPr>
              <w:pStyle w:val="ListParagraph"/>
              <w:numPr>
                <w:ilvl w:val="0"/>
                <w:numId w:val="29"/>
              </w:numPr>
              <w:spacing w:before="40" w:after="40"/>
              <w:ind w:left="252" w:hanging="108"/>
              <w:contextualSpacing/>
              <w:rPr>
                <w:lang w:bidi="en-US"/>
              </w:rPr>
            </w:pPr>
            <w:r w:rsidRPr="000F4F07">
              <w:rPr>
                <w:lang w:bidi="en-US"/>
              </w:rPr>
              <w:t>Assigning and adjusting positions, titles</w:t>
            </w:r>
            <w:r>
              <w:rPr>
                <w:lang w:bidi="en-US"/>
              </w:rPr>
              <w:t>,</w:t>
            </w:r>
            <w:r w:rsidRPr="000F4F07">
              <w:rPr>
                <w:lang w:bidi="en-US"/>
              </w:rPr>
              <w:t xml:space="preserve"> and roles that best meet the  needs of the turnaround plan</w:t>
            </w:r>
          </w:p>
        </w:tc>
      </w:tr>
      <w:tr w:rsidR="004B4C34" w:rsidRPr="004B3A52" w14:paraId="7E6BE10B" w14:textId="77777777" w:rsidTr="00704122">
        <w:tblPrEx>
          <w:tblBorders>
            <w:top w:val="none" w:sz="0" w:space="0" w:color="auto"/>
          </w:tblBorders>
        </w:tblPrEx>
        <w:trPr>
          <w:gridBefore w:val="2"/>
          <w:wBefore w:w="236" w:type="dxa"/>
          <w:trHeight w:val="664"/>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C539583"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0F4F07">
              <w:rPr>
                <w:kern w:val="1"/>
                <w:sz w:val="20"/>
                <w:lang w:bidi="en-US"/>
              </w:rPr>
              <w:t>7: Stakeholder Input</w:t>
            </w:r>
          </w:p>
        </w:tc>
        <w:tc>
          <w:tcPr>
            <w:tcW w:w="32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D9B9EFA"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a detailed description, including stakeholder recommendations, of how the district and school have gathered and used input from stakeholders to inform the turnaround plan </w:t>
            </w:r>
            <w:r w:rsidRPr="000F4F07">
              <w:rPr>
                <w:b/>
                <w:sz w:val="20"/>
                <w:lang w:bidi="en-US"/>
              </w:rPr>
              <w:t>AND</w:t>
            </w:r>
            <w:r w:rsidRPr="000F4F07">
              <w:rPr>
                <w:sz w:val="20"/>
                <w:lang w:bidi="en-US"/>
              </w:rPr>
              <w:t xml:space="preserve"> how input from stakeholders will be used to support the continued implementation of the turnaround plan. </w:t>
            </w:r>
          </w:p>
        </w:tc>
        <w:tc>
          <w:tcPr>
            <w:tcW w:w="34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162EB53D"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a general description, including stakeholder recommendations, of how the district and school gathered and used input from stakeholders to inform the turnaround plan </w:t>
            </w:r>
            <w:r w:rsidRPr="000F4F07">
              <w:rPr>
                <w:b/>
                <w:sz w:val="20"/>
                <w:lang w:bidi="en-US"/>
              </w:rPr>
              <w:t>AND</w:t>
            </w:r>
            <w:r w:rsidRPr="000F4F07">
              <w:rPr>
                <w:sz w:val="20"/>
                <w:lang w:bidi="en-US"/>
              </w:rPr>
              <w:t xml:space="preserve"> how input from stakeholders will be used to support the continued implementation of the turnaround plan.  </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8EBA587"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contains a marginal description of how the district and school collected information from stakeholders to inform the turnaround plan </w:t>
            </w:r>
            <w:r w:rsidRPr="000F4F07">
              <w:rPr>
                <w:b/>
                <w:sz w:val="20"/>
                <w:lang w:bidi="en-US"/>
              </w:rPr>
              <w:t>OR</w:t>
            </w:r>
            <w:r w:rsidRPr="000F4F07">
              <w:rPr>
                <w:sz w:val="20"/>
                <w:lang w:bidi="en-US"/>
              </w:rPr>
              <w:t xml:space="preserve"> it is unclear how input from stakeholders was used in the development of the Turnaround Plan and how stakeholders will be used to support the continued implementation of the turnaround plan.  </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339E0A5"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It is unclear if the district and school collected information from stakeholders to inform the turnaround plan </w:t>
            </w:r>
            <w:r w:rsidRPr="000F4F07">
              <w:rPr>
                <w:b/>
                <w:sz w:val="20"/>
                <w:lang w:bidi="en-US"/>
              </w:rPr>
              <w:t>AND</w:t>
            </w:r>
            <w:r w:rsidRPr="000F4F07">
              <w:rPr>
                <w:sz w:val="20"/>
                <w:lang w:bidi="en-US"/>
              </w:rPr>
              <w:t xml:space="preserve"> how input from stakeholders will be used to support the continued implementation of the turnaround plan.  </w:t>
            </w:r>
          </w:p>
        </w:tc>
      </w:tr>
      <w:tr w:rsidR="004B4C34" w:rsidRPr="004B3A52" w14:paraId="357C23DD" w14:textId="77777777" w:rsidTr="00FD3FCE">
        <w:tblPrEx>
          <w:tblBorders>
            <w:top w:val="none" w:sz="0" w:space="0" w:color="auto"/>
          </w:tblBorders>
        </w:tblPrEx>
        <w:trPr>
          <w:gridBefore w:val="2"/>
          <w:wBefore w:w="236" w:type="dxa"/>
          <w:trHeight w:val="925"/>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BA571AA"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kern w:val="18"/>
                <w:sz w:val="20"/>
                <w:lang w:bidi="en-US"/>
              </w:rPr>
            </w:pPr>
            <w:r>
              <w:rPr>
                <w:kern w:val="1"/>
                <w:sz w:val="20"/>
                <w:lang w:bidi="en-US"/>
              </w:rPr>
              <w:t>8</w:t>
            </w:r>
            <w:r w:rsidRPr="000F4F07">
              <w:rPr>
                <w:kern w:val="1"/>
                <w:sz w:val="20"/>
                <w:lang w:bidi="en-US"/>
              </w:rPr>
              <w:t>:</w:t>
            </w:r>
            <w:r w:rsidRPr="000F4F07">
              <w:rPr>
                <w:color w:val="FF0000"/>
                <w:kern w:val="18"/>
                <w:sz w:val="20"/>
                <w:lang w:bidi="en-US"/>
              </w:rPr>
              <w:t xml:space="preserve"> </w:t>
            </w:r>
          </w:p>
          <w:p w14:paraId="6506343D"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0F4F07">
              <w:rPr>
                <w:kern w:val="1"/>
                <w:sz w:val="20"/>
                <w:lang w:bidi="en-US"/>
              </w:rPr>
              <w:t>School Teams</w:t>
            </w:r>
          </w:p>
          <w:p w14:paraId="3A0EEBD1"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kern w:val="18"/>
                <w:sz w:val="20"/>
                <w:lang w:bidi="en-US"/>
              </w:rPr>
            </w:pPr>
          </w:p>
          <w:p w14:paraId="69797ABA"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kern w:val="18"/>
                <w:sz w:val="20"/>
                <w:lang w:bidi="en-US"/>
              </w:rPr>
            </w:pPr>
          </w:p>
        </w:tc>
        <w:tc>
          <w:tcPr>
            <w:tcW w:w="324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74662E8C"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a </w:t>
            </w:r>
            <w:r w:rsidRPr="00E47D1A">
              <w:rPr>
                <w:i/>
                <w:sz w:val="20"/>
                <w:lang w:bidi="en-US"/>
              </w:rPr>
              <w:t>detailed</w:t>
            </w:r>
            <w:r w:rsidRPr="000F4F07">
              <w:rPr>
                <w:sz w:val="20"/>
                <w:lang w:bidi="en-US"/>
              </w:rPr>
              <w:t xml:space="preserve"> description of each school-level team </w:t>
            </w:r>
            <w:r w:rsidRPr="000F4F07">
              <w:rPr>
                <w:i/>
                <w:sz w:val="20"/>
                <w:lang w:bidi="en-US"/>
              </w:rPr>
              <w:t>(i.e. instructional leadership team, data team, etc.)</w:t>
            </w:r>
            <w:r w:rsidRPr="000F4F07">
              <w:rPr>
                <w:sz w:val="20"/>
                <w:lang w:bidi="en-US"/>
              </w:rPr>
              <w:t xml:space="preserve"> including a detailed explanation of </w:t>
            </w:r>
            <w:r w:rsidRPr="000F4F07">
              <w:rPr>
                <w:b/>
                <w:sz w:val="20"/>
                <w:lang w:bidi="en-US"/>
              </w:rPr>
              <w:t xml:space="preserve">each </w:t>
            </w:r>
            <w:r w:rsidRPr="000F4F07">
              <w:rPr>
                <w:sz w:val="20"/>
                <w:lang w:bidi="en-US"/>
              </w:rPr>
              <w:t>of the following:</w:t>
            </w:r>
          </w:p>
          <w:p w14:paraId="0F14B02A"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How each team will foster staff input and influence on school-wide decisions that result in stronger implementation of the turnaround plan</w:t>
            </w:r>
          </w:p>
          <w:p w14:paraId="27B7061D"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 xml:space="preserve">How the work of all teams will </w:t>
            </w:r>
            <w:r w:rsidRPr="000F4F07">
              <w:rPr>
                <w:lang w:bidi="en-US"/>
              </w:rPr>
              <w:lastRenderedPageBreak/>
              <w:t xml:space="preserve">be integrated to work together coherently </w:t>
            </w:r>
          </w:p>
        </w:tc>
        <w:tc>
          <w:tcPr>
            <w:tcW w:w="342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33724B9F"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lastRenderedPageBreak/>
              <w:t xml:space="preserve">The plan provides a </w:t>
            </w:r>
            <w:r w:rsidRPr="00E47D1A">
              <w:rPr>
                <w:i/>
                <w:sz w:val="20"/>
                <w:lang w:bidi="en-US"/>
              </w:rPr>
              <w:t>general</w:t>
            </w:r>
            <w:r w:rsidRPr="000F4F07">
              <w:rPr>
                <w:sz w:val="20"/>
                <w:lang w:bidi="en-US"/>
              </w:rPr>
              <w:t xml:space="preserve"> description of each school-level team </w:t>
            </w:r>
            <w:r w:rsidRPr="000F4F07">
              <w:rPr>
                <w:i/>
                <w:sz w:val="20"/>
                <w:lang w:bidi="en-US"/>
              </w:rPr>
              <w:t>(i.e. instructional leadership team, data team, etc.)</w:t>
            </w:r>
            <w:r w:rsidRPr="000F4F07">
              <w:rPr>
                <w:sz w:val="20"/>
                <w:lang w:bidi="en-US"/>
              </w:rPr>
              <w:t xml:space="preserve"> including a general explanation of </w:t>
            </w:r>
            <w:r w:rsidRPr="000F4F07">
              <w:rPr>
                <w:b/>
                <w:sz w:val="20"/>
                <w:lang w:bidi="en-US"/>
              </w:rPr>
              <w:t xml:space="preserve">each </w:t>
            </w:r>
            <w:r w:rsidRPr="000F4F07">
              <w:rPr>
                <w:sz w:val="20"/>
                <w:lang w:bidi="en-US"/>
              </w:rPr>
              <w:t>of the following:</w:t>
            </w:r>
          </w:p>
          <w:p w14:paraId="42CBD85F"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How each team will foster staff input and influence on school-wide decisions that result in stronger implementation of the turnaround plan</w:t>
            </w:r>
          </w:p>
          <w:p w14:paraId="2138848A"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 xml:space="preserve">How the work of all teams will be </w:t>
            </w:r>
            <w:r w:rsidRPr="000F4F07">
              <w:rPr>
                <w:lang w:bidi="en-US"/>
              </w:rPr>
              <w:lastRenderedPageBreak/>
              <w:t>integrated to work together coherently</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10415550"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lastRenderedPageBreak/>
              <w:t xml:space="preserve">The plan provides a </w:t>
            </w:r>
            <w:r w:rsidRPr="00E47D1A">
              <w:rPr>
                <w:i/>
                <w:sz w:val="20"/>
                <w:lang w:bidi="en-US"/>
              </w:rPr>
              <w:t>marginal</w:t>
            </w:r>
            <w:r w:rsidRPr="000F4F07">
              <w:rPr>
                <w:sz w:val="20"/>
                <w:lang w:bidi="en-US"/>
              </w:rPr>
              <w:t xml:space="preserve"> description of each school-level team </w:t>
            </w:r>
            <w:r w:rsidRPr="000F4F07">
              <w:rPr>
                <w:i/>
                <w:sz w:val="20"/>
                <w:lang w:bidi="en-US"/>
              </w:rPr>
              <w:t>(i.e. instructional leadership team, data team, etc.)</w:t>
            </w:r>
            <w:r w:rsidRPr="000F4F07">
              <w:rPr>
                <w:sz w:val="20"/>
                <w:lang w:bidi="en-US"/>
              </w:rPr>
              <w:t xml:space="preserve"> including a marginal explanation of </w:t>
            </w:r>
            <w:r w:rsidRPr="000F4F07">
              <w:rPr>
                <w:b/>
                <w:sz w:val="20"/>
                <w:lang w:bidi="en-US"/>
              </w:rPr>
              <w:t xml:space="preserve">either </w:t>
            </w:r>
            <w:r w:rsidRPr="000F4F07">
              <w:rPr>
                <w:sz w:val="20"/>
                <w:lang w:bidi="en-US"/>
              </w:rPr>
              <w:t xml:space="preserve">of the following: </w:t>
            </w:r>
          </w:p>
          <w:p w14:paraId="357293DD"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How each team will foster staff input and influence on school-wide decisions that result in stronger implementation of the turnaround plan</w:t>
            </w:r>
          </w:p>
          <w:p w14:paraId="079F48CD"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 xml:space="preserve">How the work of all teams will be </w:t>
            </w:r>
            <w:r w:rsidRPr="000F4F07">
              <w:rPr>
                <w:lang w:bidi="en-US"/>
              </w:rPr>
              <w:lastRenderedPageBreak/>
              <w:t>integrated to work together coherently</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4B886D7"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lastRenderedPageBreak/>
              <w:t xml:space="preserve">The plan provides a </w:t>
            </w:r>
            <w:r w:rsidRPr="00E47D1A">
              <w:rPr>
                <w:i/>
                <w:sz w:val="20"/>
                <w:lang w:bidi="en-US"/>
              </w:rPr>
              <w:t>limited</w:t>
            </w:r>
            <w:r w:rsidRPr="000F4F07">
              <w:rPr>
                <w:sz w:val="20"/>
                <w:lang w:bidi="en-US"/>
              </w:rPr>
              <w:t xml:space="preserve"> description of each school-level team </w:t>
            </w:r>
            <w:r w:rsidRPr="000F4F07">
              <w:rPr>
                <w:i/>
                <w:sz w:val="20"/>
                <w:lang w:bidi="en-US"/>
              </w:rPr>
              <w:t>(i.e. instructional leadership team, data team, etc.)</w:t>
            </w:r>
            <w:r w:rsidRPr="000F4F07">
              <w:rPr>
                <w:sz w:val="20"/>
                <w:lang w:bidi="en-US"/>
              </w:rPr>
              <w:t xml:space="preserve"> </w:t>
            </w:r>
            <w:r w:rsidRPr="000F4F07">
              <w:rPr>
                <w:b/>
                <w:sz w:val="20"/>
                <w:lang w:bidi="en-US"/>
              </w:rPr>
              <w:t>OR</w:t>
            </w:r>
            <w:r w:rsidRPr="000F4F07">
              <w:rPr>
                <w:sz w:val="20"/>
                <w:lang w:bidi="en-US"/>
              </w:rPr>
              <w:t xml:space="preserve"> a limited explanation of </w:t>
            </w:r>
            <w:r w:rsidRPr="000F4F07">
              <w:rPr>
                <w:b/>
                <w:sz w:val="20"/>
                <w:lang w:bidi="en-US"/>
              </w:rPr>
              <w:t xml:space="preserve">either </w:t>
            </w:r>
            <w:r w:rsidRPr="000F4F07">
              <w:rPr>
                <w:sz w:val="20"/>
                <w:lang w:bidi="en-US"/>
              </w:rPr>
              <w:t xml:space="preserve">of the following: </w:t>
            </w:r>
          </w:p>
          <w:p w14:paraId="36199995"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How each team will foster staff input and influence on school-wide decisions that result in stronger implementation of the turnaround plan</w:t>
            </w:r>
          </w:p>
          <w:p w14:paraId="0F25BACE" w14:textId="77777777" w:rsidR="004B4C34" w:rsidRPr="000F4F07"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kern w:val="1"/>
                <w:lang w:bidi="en-US"/>
              </w:rPr>
            </w:pPr>
            <w:r w:rsidRPr="000F4F07">
              <w:rPr>
                <w:lang w:bidi="en-US"/>
              </w:rPr>
              <w:t xml:space="preserve">How the work of all teams will be </w:t>
            </w:r>
            <w:r w:rsidRPr="000F4F07">
              <w:rPr>
                <w:lang w:bidi="en-US"/>
              </w:rPr>
              <w:lastRenderedPageBreak/>
              <w:t>integrated to work together coherently</w:t>
            </w:r>
          </w:p>
        </w:tc>
      </w:tr>
      <w:tr w:rsidR="004B4C34" w:rsidRPr="004B3A52" w14:paraId="5C629B43" w14:textId="77777777" w:rsidTr="005408B9">
        <w:tblPrEx>
          <w:tblBorders>
            <w:top w:val="none" w:sz="0" w:space="0" w:color="auto"/>
          </w:tblBorders>
        </w:tblPrEx>
        <w:trPr>
          <w:gridBefore w:val="2"/>
          <w:wBefore w:w="236" w:type="dxa"/>
          <w:trHeight w:val="1285"/>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7678A382"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8"/>
                <w:sz w:val="20"/>
                <w:lang w:bidi="en-US"/>
              </w:rPr>
            </w:pPr>
            <w:r>
              <w:rPr>
                <w:kern w:val="18"/>
                <w:sz w:val="20"/>
                <w:lang w:bidi="en-US"/>
              </w:rPr>
              <w:lastRenderedPageBreak/>
              <w:t>9</w:t>
            </w:r>
            <w:r w:rsidRPr="000F4F07">
              <w:rPr>
                <w:kern w:val="18"/>
                <w:sz w:val="20"/>
                <w:lang w:bidi="en-US"/>
              </w:rPr>
              <w:t>:</w:t>
            </w:r>
          </w:p>
          <w:p w14:paraId="0D25A459"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8"/>
                <w:sz w:val="20"/>
                <w:lang w:bidi="en-US"/>
              </w:rPr>
            </w:pPr>
            <w:r w:rsidRPr="000F4F07">
              <w:rPr>
                <w:kern w:val="18"/>
                <w:sz w:val="20"/>
                <w:lang w:bidi="en-US"/>
              </w:rPr>
              <w:t>Use of Authority for Utilization of Time</w:t>
            </w:r>
          </w:p>
          <w:p w14:paraId="781E9005"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p>
        </w:tc>
        <w:tc>
          <w:tcPr>
            <w:tcW w:w="32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787F7AB"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w:t>
            </w:r>
            <w:r w:rsidRPr="00E47D1A">
              <w:rPr>
                <w:i/>
                <w:sz w:val="20"/>
                <w:lang w:bidi="en-US"/>
              </w:rPr>
              <w:t>strong</w:t>
            </w:r>
            <w:r w:rsidRPr="000F4F07">
              <w:rPr>
                <w:sz w:val="20"/>
                <w:lang w:bidi="en-US"/>
              </w:rPr>
              <w:t xml:space="preserve"> evidence of how school leadership will exercise authorities and flexibilities to adjust the content, focus, schedule, and composition of collaborative structures as needed to further improve teaching and learning.</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6352BAB"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w:t>
            </w:r>
            <w:r w:rsidRPr="00E47D1A">
              <w:rPr>
                <w:i/>
                <w:sz w:val="20"/>
                <w:lang w:bidi="en-US"/>
              </w:rPr>
              <w:t>some</w:t>
            </w:r>
            <w:r w:rsidRPr="000F4F07">
              <w:rPr>
                <w:sz w:val="20"/>
                <w:lang w:bidi="en-US"/>
              </w:rPr>
              <w:t xml:space="preserve"> evidence of how school leadership will exercise authorities and flexibilities to adjust the content, focus, schedule, and composition of collaborative structures as needed to further improve teaching and learning.</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0D92314"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w:t>
            </w:r>
            <w:r w:rsidRPr="00E47D1A">
              <w:rPr>
                <w:i/>
                <w:sz w:val="20"/>
                <w:lang w:bidi="en-US"/>
              </w:rPr>
              <w:t>marginal</w:t>
            </w:r>
            <w:r w:rsidRPr="000F4F07">
              <w:rPr>
                <w:sz w:val="20"/>
                <w:lang w:bidi="en-US"/>
              </w:rPr>
              <w:t xml:space="preserve"> evidence of how school leadership will exercise authorities and flexibilities to adjust the content, focus, schedule, and composition of collaborative structures as needed to further improve teaching and learning.</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25237595"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0F4F07">
              <w:rPr>
                <w:sz w:val="20"/>
                <w:lang w:bidi="en-US"/>
              </w:rPr>
              <w:t xml:space="preserve">The plan provides </w:t>
            </w:r>
            <w:r w:rsidRPr="00E47D1A">
              <w:rPr>
                <w:i/>
                <w:sz w:val="20"/>
                <w:lang w:bidi="en-US"/>
              </w:rPr>
              <w:t>limited</w:t>
            </w:r>
            <w:r w:rsidRPr="000F4F07">
              <w:rPr>
                <w:sz w:val="20"/>
                <w:lang w:bidi="en-US"/>
              </w:rPr>
              <w:t xml:space="preserve"> evidence of how school leadership will exercise authorities and flexibilities to adjust the content, focus, schedule, and composition of collaborative structures as needed to further improve teaching and learning.</w:t>
            </w:r>
          </w:p>
        </w:tc>
      </w:tr>
      <w:tr w:rsidR="004B4C34" w:rsidRPr="004B3A52" w14:paraId="54CD9FB3" w14:textId="77777777" w:rsidTr="005408B9">
        <w:tblPrEx>
          <w:tblBorders>
            <w:top w:val="none" w:sz="0" w:space="0" w:color="auto"/>
          </w:tblBorders>
        </w:tblPrEx>
        <w:trPr>
          <w:gridBefore w:val="2"/>
          <w:wBefore w:w="236" w:type="dxa"/>
          <w:trHeight w:val="628"/>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DEB3F47" w14:textId="77777777" w:rsidR="004B4C34" w:rsidRPr="000F4F07" w:rsidRDefault="004B4C34" w:rsidP="005408B9">
            <w:pPr>
              <w:widowControl w:val="0"/>
              <w:autoSpaceDE w:val="0"/>
              <w:autoSpaceDN w:val="0"/>
              <w:adjustRightInd w:val="0"/>
              <w:jc w:val="center"/>
              <w:rPr>
                <w:kern w:val="1"/>
                <w:sz w:val="20"/>
                <w:lang w:bidi="en-US"/>
              </w:rPr>
            </w:pPr>
            <w:r>
              <w:rPr>
                <w:kern w:val="1"/>
                <w:sz w:val="20"/>
                <w:lang w:bidi="en-US"/>
              </w:rPr>
              <w:t>10</w:t>
            </w:r>
            <w:r w:rsidRPr="000F4F07">
              <w:rPr>
                <w:kern w:val="1"/>
                <w:sz w:val="20"/>
                <w:lang w:bidi="en-US"/>
              </w:rPr>
              <w:t xml:space="preserve">: </w:t>
            </w:r>
          </w:p>
          <w:p w14:paraId="54E77888"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Feedback to Improve Instruction</w:t>
            </w:r>
          </w:p>
        </w:tc>
        <w:tc>
          <w:tcPr>
            <w:tcW w:w="324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F07EF45" w14:textId="77777777" w:rsidR="004B4C34" w:rsidRPr="000F4F07" w:rsidRDefault="004B4C34" w:rsidP="005408B9">
            <w:pPr>
              <w:spacing w:before="40" w:after="40"/>
              <w:rPr>
                <w:sz w:val="20"/>
                <w:lang w:bidi="en-US"/>
              </w:rPr>
            </w:pPr>
            <w:r>
              <w:rPr>
                <w:sz w:val="20"/>
                <w:lang w:bidi="en-US"/>
              </w:rPr>
              <w:t xml:space="preserve">The </w:t>
            </w:r>
            <w:r w:rsidRPr="000F4F07">
              <w:rPr>
                <w:sz w:val="20"/>
                <w:lang w:bidi="en-US"/>
              </w:rPr>
              <w:t xml:space="preserve">application describes </w:t>
            </w:r>
            <w:r w:rsidRPr="00E47D1A">
              <w:rPr>
                <w:i/>
                <w:sz w:val="20"/>
                <w:lang w:bidi="en-US"/>
              </w:rPr>
              <w:t>in detail</w:t>
            </w:r>
            <w:r w:rsidRPr="000F4F07">
              <w:rPr>
                <w:sz w:val="20"/>
                <w:lang w:bidi="en-US"/>
              </w:rPr>
              <w:t xml:space="preserve"> how school leadership uses formal and informal observations of instructional practice for </w:t>
            </w:r>
            <w:r w:rsidRPr="000F4F07">
              <w:rPr>
                <w:b/>
                <w:sz w:val="20"/>
                <w:lang w:bidi="en-US"/>
              </w:rPr>
              <w:t>each</w:t>
            </w:r>
            <w:r w:rsidRPr="000F4F07">
              <w:rPr>
                <w:sz w:val="20"/>
                <w:lang w:bidi="en-US"/>
              </w:rPr>
              <w:t xml:space="preserve"> of the following:</w:t>
            </w:r>
          </w:p>
          <w:p w14:paraId="7E72F930"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Consistently communicating a clear instructional focus that represents high expectations for students and staff</w:t>
            </w:r>
          </w:p>
          <w:p w14:paraId="1BCE9F73"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Conducting daily or weekly classroom observations and sharing specific and actionable feedback with teachers and teacher teams</w:t>
            </w:r>
          </w:p>
          <w:p w14:paraId="60C7BFBD"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 xml:space="preserve">Analyzing the feedback in conjunction with other data to guide individual and school-wide professional development and other strategic decisions </w:t>
            </w:r>
          </w:p>
          <w:p w14:paraId="6A13A201"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Ensuring feedback is professionally valued and promotes a school-wide mindset to collectively improve adult practice.</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3AF33B" w14:textId="77777777" w:rsidR="004B4C34" w:rsidRPr="000F4F07" w:rsidRDefault="004B4C34" w:rsidP="005408B9">
            <w:pPr>
              <w:spacing w:before="40" w:after="40"/>
              <w:rPr>
                <w:sz w:val="20"/>
                <w:lang w:bidi="en-US"/>
              </w:rPr>
            </w:pPr>
            <w:r>
              <w:rPr>
                <w:sz w:val="20"/>
                <w:lang w:bidi="en-US"/>
              </w:rPr>
              <w:t xml:space="preserve">The </w:t>
            </w:r>
            <w:r w:rsidRPr="000F4F07">
              <w:rPr>
                <w:sz w:val="20"/>
                <w:lang w:bidi="en-US"/>
              </w:rPr>
              <w:t xml:space="preserve">application </w:t>
            </w:r>
            <w:r w:rsidRPr="00E47D1A">
              <w:rPr>
                <w:i/>
                <w:sz w:val="20"/>
                <w:lang w:bidi="en-US"/>
              </w:rPr>
              <w:t>generally</w:t>
            </w:r>
            <w:r w:rsidRPr="000F4F07">
              <w:rPr>
                <w:sz w:val="20"/>
                <w:lang w:bidi="en-US"/>
              </w:rPr>
              <w:t xml:space="preserve"> describes how school leadership uses formal and informal observations of instructional practice for </w:t>
            </w:r>
            <w:r w:rsidRPr="000F4F07">
              <w:rPr>
                <w:b/>
                <w:sz w:val="20"/>
                <w:lang w:bidi="en-US"/>
              </w:rPr>
              <w:t>each</w:t>
            </w:r>
            <w:r w:rsidRPr="000F4F07">
              <w:rPr>
                <w:sz w:val="20"/>
                <w:lang w:bidi="en-US"/>
              </w:rPr>
              <w:t xml:space="preserve"> of the following:</w:t>
            </w:r>
          </w:p>
          <w:p w14:paraId="0691E35F"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Consistently communicating a clear instructional focus that represents high expectations for students and staff</w:t>
            </w:r>
          </w:p>
          <w:p w14:paraId="25CC6B2F"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Conducting daily or weekly classroom observations and sharing specific and actionable feedback with teachers and teacher teams</w:t>
            </w:r>
          </w:p>
          <w:p w14:paraId="2E38C257"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 xml:space="preserve">Analyzing the feedback in conjunction with other data to guide individual and school-wide professional development and other strategic decisions </w:t>
            </w:r>
          </w:p>
          <w:p w14:paraId="52845C65"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Ensuring feedback is professionally valued and promotes a school-wide mindset to collectively improve adult practice.</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3AD971E6" w14:textId="77777777" w:rsidR="004B4C34" w:rsidRPr="000F4F07" w:rsidRDefault="004B4C34" w:rsidP="005408B9">
            <w:pPr>
              <w:spacing w:before="40" w:after="40"/>
              <w:rPr>
                <w:sz w:val="20"/>
                <w:lang w:bidi="en-US"/>
              </w:rPr>
            </w:pPr>
            <w:r>
              <w:rPr>
                <w:sz w:val="20"/>
                <w:lang w:bidi="en-US"/>
              </w:rPr>
              <w:t xml:space="preserve">The </w:t>
            </w:r>
            <w:r w:rsidRPr="000F4F07">
              <w:rPr>
                <w:sz w:val="20"/>
                <w:lang w:bidi="en-US"/>
              </w:rPr>
              <w:t xml:space="preserve">application generally describes how school leadership uses formal and informal observations of instructional practice for </w:t>
            </w:r>
            <w:r>
              <w:rPr>
                <w:b/>
                <w:sz w:val="20"/>
                <w:lang w:bidi="en-US"/>
              </w:rPr>
              <w:t>some</w:t>
            </w:r>
            <w:r w:rsidRPr="000F4F07">
              <w:rPr>
                <w:b/>
                <w:sz w:val="20"/>
                <w:lang w:bidi="en-US"/>
              </w:rPr>
              <w:t>, but not all,</w:t>
            </w:r>
            <w:r w:rsidRPr="000F4F07">
              <w:rPr>
                <w:sz w:val="20"/>
                <w:lang w:bidi="en-US"/>
              </w:rPr>
              <w:t xml:space="preserve"> of the following:</w:t>
            </w:r>
          </w:p>
          <w:p w14:paraId="42F34AEA" w14:textId="77777777" w:rsidR="004B4C34" w:rsidRPr="000F4F07" w:rsidRDefault="004B4C34" w:rsidP="004B4C34">
            <w:pPr>
              <w:pStyle w:val="ListParagraph"/>
              <w:numPr>
                <w:ilvl w:val="0"/>
                <w:numId w:val="11"/>
              </w:numPr>
              <w:spacing w:before="40" w:after="40"/>
              <w:ind w:left="256" w:hanging="256"/>
              <w:contextualSpacing/>
              <w:rPr>
                <w:lang w:bidi="en-US"/>
              </w:rPr>
            </w:pPr>
            <w:r w:rsidRPr="000F4F07">
              <w:rPr>
                <w:lang w:bidi="en-US"/>
              </w:rPr>
              <w:t>Consistently communicating a clear instructional focus that represents high expectations for students and staff</w:t>
            </w:r>
          </w:p>
          <w:p w14:paraId="0A8DBBFE" w14:textId="77777777" w:rsidR="004B4C34" w:rsidRPr="000F4F07" w:rsidRDefault="004B4C34" w:rsidP="004B4C34">
            <w:pPr>
              <w:pStyle w:val="ListParagraph"/>
              <w:numPr>
                <w:ilvl w:val="0"/>
                <w:numId w:val="11"/>
              </w:numPr>
              <w:spacing w:before="40" w:after="40"/>
              <w:ind w:left="256" w:hanging="256"/>
              <w:contextualSpacing/>
              <w:rPr>
                <w:lang w:bidi="en-US"/>
              </w:rPr>
            </w:pPr>
            <w:r w:rsidRPr="000F4F07">
              <w:rPr>
                <w:lang w:bidi="en-US"/>
              </w:rPr>
              <w:t>Conducting daily or weekly classroom observations and sharing specific and actionable feedback with teachers and teacher teams</w:t>
            </w:r>
          </w:p>
          <w:p w14:paraId="7A71AF99" w14:textId="77777777" w:rsidR="004B4C34" w:rsidRPr="000F4F07" w:rsidRDefault="004B4C34" w:rsidP="004B4C34">
            <w:pPr>
              <w:pStyle w:val="ListParagraph"/>
              <w:numPr>
                <w:ilvl w:val="0"/>
                <w:numId w:val="11"/>
              </w:numPr>
              <w:spacing w:before="40" w:after="40"/>
              <w:ind w:left="256" w:hanging="256"/>
              <w:contextualSpacing/>
              <w:rPr>
                <w:lang w:bidi="en-US"/>
              </w:rPr>
            </w:pPr>
            <w:r w:rsidRPr="000F4F07">
              <w:rPr>
                <w:lang w:bidi="en-US"/>
              </w:rPr>
              <w:t xml:space="preserve">Analyzing the feedback in conjunction with other data to guide individual and school-wide professional development and other strategic decisions </w:t>
            </w:r>
          </w:p>
          <w:p w14:paraId="766A86DA" w14:textId="77777777" w:rsidR="004B4C34" w:rsidRPr="000F4F07" w:rsidRDefault="004B4C34" w:rsidP="004B4C34">
            <w:pPr>
              <w:pStyle w:val="ListParagraph"/>
              <w:numPr>
                <w:ilvl w:val="0"/>
                <w:numId w:val="11"/>
              </w:numPr>
              <w:spacing w:before="40" w:after="40"/>
              <w:ind w:left="256" w:hanging="256"/>
              <w:contextualSpacing/>
              <w:rPr>
                <w:lang w:bidi="en-US"/>
              </w:rPr>
            </w:pPr>
            <w:r w:rsidRPr="000F4F07">
              <w:rPr>
                <w:lang w:bidi="en-US"/>
              </w:rPr>
              <w:t>Ensuring feedback is professionally valued and promotes a school-wide mindset to collectively improve adult practice.</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6FC44637" w14:textId="77777777" w:rsidR="004B4C34" w:rsidRPr="000F4F07" w:rsidRDefault="004B4C34" w:rsidP="005408B9">
            <w:pPr>
              <w:spacing w:before="40" w:after="40"/>
              <w:rPr>
                <w:sz w:val="20"/>
                <w:lang w:bidi="en-US"/>
              </w:rPr>
            </w:pPr>
            <w:r>
              <w:rPr>
                <w:sz w:val="20"/>
                <w:lang w:bidi="en-US"/>
              </w:rPr>
              <w:t xml:space="preserve">The </w:t>
            </w:r>
            <w:r w:rsidRPr="000F4F07">
              <w:rPr>
                <w:sz w:val="20"/>
                <w:lang w:bidi="en-US"/>
              </w:rPr>
              <w:t xml:space="preserve">application provides a limited description of how school leadership uses formal and informal observations of instructional practice </w:t>
            </w:r>
            <w:r w:rsidRPr="000F4F07">
              <w:rPr>
                <w:b/>
                <w:sz w:val="20"/>
                <w:lang w:bidi="en-US"/>
              </w:rPr>
              <w:t>OR</w:t>
            </w:r>
            <w:r w:rsidRPr="000F4F07">
              <w:rPr>
                <w:sz w:val="20"/>
                <w:lang w:bidi="en-US"/>
              </w:rPr>
              <w:t xml:space="preserve"> provides limited descriptions of systems and processes for </w:t>
            </w:r>
            <w:r>
              <w:rPr>
                <w:b/>
                <w:sz w:val="20"/>
                <w:lang w:bidi="en-US"/>
              </w:rPr>
              <w:t>some</w:t>
            </w:r>
            <w:r w:rsidRPr="000F4F07">
              <w:rPr>
                <w:sz w:val="20"/>
                <w:lang w:bidi="en-US"/>
              </w:rPr>
              <w:t xml:space="preserve"> of the following:</w:t>
            </w:r>
          </w:p>
          <w:p w14:paraId="57C690E8"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Consistently communicating a clear instructional focus that represents high expectations for students and staff</w:t>
            </w:r>
          </w:p>
          <w:p w14:paraId="77B207E4"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Conducting daily or weekly classroom observations and sharing specific and actionable feedback with teachers and teacher teams</w:t>
            </w:r>
          </w:p>
          <w:p w14:paraId="03E5C073" w14:textId="77777777" w:rsidR="004B4C34" w:rsidRPr="000F4F07" w:rsidRDefault="004B4C34" w:rsidP="004B4C34">
            <w:pPr>
              <w:pStyle w:val="ListParagraph"/>
              <w:numPr>
                <w:ilvl w:val="0"/>
                <w:numId w:val="11"/>
              </w:numPr>
              <w:spacing w:before="40" w:after="40"/>
              <w:ind w:left="166" w:hanging="166"/>
              <w:contextualSpacing/>
              <w:rPr>
                <w:lang w:bidi="en-US"/>
              </w:rPr>
            </w:pPr>
            <w:r w:rsidRPr="000F4F07">
              <w:rPr>
                <w:lang w:bidi="en-US"/>
              </w:rPr>
              <w:t xml:space="preserve">Analyzing the feedback in conjunction with other data to guide individual and school-wide professional development and other strategic decisions </w:t>
            </w:r>
          </w:p>
          <w:p w14:paraId="1BBA7AA4" w14:textId="77777777" w:rsidR="004B4C34" w:rsidRDefault="004B4C34" w:rsidP="004B4C34">
            <w:pPr>
              <w:pStyle w:val="ListParagraph"/>
              <w:numPr>
                <w:ilvl w:val="0"/>
                <w:numId w:val="11"/>
              </w:numPr>
              <w:spacing w:before="40" w:after="40"/>
              <w:ind w:left="166" w:hanging="166"/>
              <w:contextualSpacing/>
              <w:rPr>
                <w:lang w:bidi="en-US"/>
              </w:rPr>
            </w:pPr>
            <w:r w:rsidRPr="000F4F07">
              <w:rPr>
                <w:lang w:bidi="en-US"/>
              </w:rPr>
              <w:t>Ensuring feedback is professionally valued and promotes a school-wide mindset to collectively improve adult practice.</w:t>
            </w:r>
          </w:p>
          <w:p w14:paraId="758D9EBA" w14:textId="77777777" w:rsidR="00FD3FCE" w:rsidRDefault="00FD3FCE" w:rsidP="00FD3FCE">
            <w:pPr>
              <w:spacing w:before="40" w:after="40"/>
              <w:contextualSpacing/>
              <w:rPr>
                <w:lang w:bidi="en-US"/>
              </w:rPr>
            </w:pPr>
          </w:p>
          <w:p w14:paraId="458F5548" w14:textId="77777777" w:rsidR="00FD3FCE" w:rsidRDefault="00FD3FCE" w:rsidP="00FD3FCE">
            <w:pPr>
              <w:spacing w:before="40" w:after="40"/>
              <w:contextualSpacing/>
              <w:rPr>
                <w:lang w:bidi="en-US"/>
              </w:rPr>
            </w:pPr>
          </w:p>
          <w:p w14:paraId="554C4755" w14:textId="77777777" w:rsidR="00FD3FCE" w:rsidRDefault="00FD3FCE" w:rsidP="00FD3FCE">
            <w:pPr>
              <w:spacing w:before="40" w:after="40"/>
              <w:contextualSpacing/>
              <w:rPr>
                <w:lang w:bidi="en-US"/>
              </w:rPr>
            </w:pPr>
          </w:p>
          <w:p w14:paraId="2014B0C1" w14:textId="73E28D1B" w:rsidR="00FD3FCE" w:rsidRPr="000F4F07" w:rsidRDefault="00FD3FCE" w:rsidP="00FD3FCE">
            <w:pPr>
              <w:spacing w:before="40" w:after="40"/>
              <w:contextualSpacing/>
              <w:rPr>
                <w:lang w:bidi="en-US"/>
              </w:rPr>
            </w:pPr>
          </w:p>
        </w:tc>
      </w:tr>
      <w:tr w:rsidR="004B4C34" w:rsidRPr="004B3A52" w14:paraId="44711F33" w14:textId="77777777" w:rsidTr="005408B9">
        <w:tblPrEx>
          <w:tblBorders>
            <w:top w:val="none" w:sz="0" w:space="0" w:color="auto"/>
          </w:tblBorders>
        </w:tblPrEx>
        <w:trPr>
          <w:gridBefore w:val="2"/>
          <w:wBefore w:w="236" w:type="dxa"/>
          <w:trHeight w:val="313"/>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tcPr>
          <w:p w14:paraId="6F7469B8"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240" w:type="dxa"/>
            <w:gridSpan w:val="3"/>
            <w:tcBorders>
              <w:top w:val="single" w:sz="8" w:space="0" w:color="auto"/>
              <w:left w:val="single" w:sz="8" w:space="0" w:color="auto"/>
              <w:bottom w:val="single" w:sz="8" w:space="0" w:color="auto"/>
              <w:right w:val="single" w:sz="8" w:space="0" w:color="auto"/>
            </w:tcBorders>
            <w:shd w:val="clear" w:color="auto" w:fill="auto"/>
          </w:tcPr>
          <w:p w14:paraId="6008B3EC"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Strong - 4</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Pr>
          <w:p w14:paraId="48EB5D25"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Adequate - 3</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08612A50"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Marginal - 2</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12A0F8AF"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Weak - 1</w:t>
            </w:r>
          </w:p>
        </w:tc>
      </w:tr>
      <w:tr w:rsidR="004B4C34" w:rsidRPr="004B3A52" w14:paraId="4D9310F9" w14:textId="77777777" w:rsidTr="00FD3FCE">
        <w:tblPrEx>
          <w:tblBorders>
            <w:top w:val="none" w:sz="0" w:space="0" w:color="auto"/>
          </w:tblBorders>
        </w:tblPrEx>
        <w:trPr>
          <w:gridBefore w:val="2"/>
          <w:wBefore w:w="236" w:type="dxa"/>
          <w:trHeight w:val="5542"/>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2C6C843" w14:textId="77777777" w:rsidR="004B4C34" w:rsidRPr="004B3A52" w:rsidRDefault="004B4C34" w:rsidP="005408B9">
            <w:pPr>
              <w:widowControl w:val="0"/>
              <w:autoSpaceDE w:val="0"/>
              <w:autoSpaceDN w:val="0"/>
              <w:adjustRightInd w:val="0"/>
              <w:jc w:val="center"/>
              <w:rPr>
                <w:kern w:val="1"/>
                <w:sz w:val="20"/>
                <w:lang w:bidi="en-US"/>
              </w:rPr>
            </w:pPr>
            <w:r>
              <w:rPr>
                <w:kern w:val="1"/>
                <w:sz w:val="20"/>
                <w:lang w:bidi="en-US"/>
              </w:rPr>
              <w:t>11</w:t>
            </w:r>
            <w:r w:rsidRPr="003439FF">
              <w:rPr>
                <w:kern w:val="1"/>
                <w:sz w:val="20"/>
                <w:lang w:bidi="en-US"/>
              </w:rPr>
              <w:t xml:space="preserve">: </w:t>
            </w:r>
          </w:p>
          <w:p w14:paraId="5EFD78EC" w14:textId="77777777" w:rsidR="004B4C34" w:rsidRPr="004B3A52" w:rsidRDefault="004B4C34" w:rsidP="005408B9">
            <w:pPr>
              <w:widowControl w:val="0"/>
              <w:autoSpaceDE w:val="0"/>
              <w:autoSpaceDN w:val="0"/>
              <w:adjustRightInd w:val="0"/>
              <w:jc w:val="center"/>
              <w:rPr>
                <w:kern w:val="1"/>
                <w:sz w:val="20"/>
                <w:lang w:bidi="en-US"/>
              </w:rPr>
            </w:pPr>
            <w:r w:rsidRPr="003439FF">
              <w:rPr>
                <w:kern w:val="1"/>
                <w:sz w:val="20"/>
                <w:lang w:bidi="en-US"/>
              </w:rPr>
              <w:t xml:space="preserve">Professional Collaboration Among All Staff </w:t>
            </w:r>
          </w:p>
        </w:tc>
        <w:tc>
          <w:tcPr>
            <w:tcW w:w="3240" w:type="dxa"/>
            <w:gridSpan w:val="3"/>
            <w:tcBorders>
              <w:top w:val="single" w:sz="8" w:space="0" w:color="auto"/>
              <w:left w:val="single" w:sz="8" w:space="0" w:color="auto"/>
              <w:bottom w:val="single" w:sz="4" w:space="0" w:color="auto"/>
              <w:right w:val="single" w:sz="8" w:space="0" w:color="auto"/>
            </w:tcBorders>
            <w:shd w:val="clear" w:color="auto" w:fill="auto"/>
          </w:tcPr>
          <w:p w14:paraId="3D14D39F" w14:textId="77777777" w:rsidR="004B4C34" w:rsidRPr="00AA039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Pr>
                <w:sz w:val="20"/>
                <w:lang w:bidi="en-US"/>
              </w:rPr>
              <w:t xml:space="preserve">The </w:t>
            </w:r>
            <w:r w:rsidRPr="00AA039A">
              <w:rPr>
                <w:sz w:val="20"/>
                <w:lang w:bidi="en-US"/>
              </w:rPr>
              <w:t xml:space="preserve">application provides </w:t>
            </w:r>
            <w:r w:rsidRPr="00E47D1A">
              <w:rPr>
                <w:i/>
                <w:sz w:val="20"/>
                <w:lang w:bidi="en-US"/>
              </w:rPr>
              <w:t>detailed</w:t>
            </w:r>
            <w:r w:rsidRPr="00AA039A">
              <w:rPr>
                <w:sz w:val="20"/>
                <w:lang w:bidi="en-US"/>
              </w:rPr>
              <w:t xml:space="preserve"> evidence that the school has developed and is improving communication systems and structures that support professional collaboration and school turnaround, that directly address:</w:t>
            </w:r>
          </w:p>
          <w:p w14:paraId="63074517"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kern w:val="1"/>
                <w:lang w:bidi="en-US"/>
              </w:rPr>
            </w:pPr>
            <w:r w:rsidRPr="00AA039A">
              <w:rPr>
                <w:lang w:bidi="en-US"/>
              </w:rPr>
              <w:t>Building trusting relationships across all staff and a culture of continuous professional growth</w:t>
            </w:r>
          </w:p>
          <w:p w14:paraId="28F26464"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kern w:val="1"/>
                <w:lang w:bidi="en-US"/>
              </w:rPr>
            </w:pPr>
            <w:r w:rsidRPr="00AA039A">
              <w:rPr>
                <w:lang w:bidi="en-US"/>
              </w:rPr>
              <w:t>Communicating instructional goals and expectations</w:t>
            </w:r>
          </w:p>
          <w:p w14:paraId="76020C6B"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kern w:val="1"/>
                <w:lang w:bidi="en-US"/>
              </w:rPr>
            </w:pPr>
            <w:r w:rsidRPr="00AA039A">
              <w:rPr>
                <w:lang w:bidi="en-US"/>
              </w:rPr>
              <w:t>Creating ownership for the success of all students</w:t>
            </w:r>
          </w:p>
          <w:p w14:paraId="47A358A3"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kern w:val="1"/>
                <w:lang w:bidi="en-US"/>
              </w:rPr>
            </w:pPr>
            <w:r w:rsidRPr="00AA039A">
              <w:rPr>
                <w:lang w:bidi="en-US"/>
              </w:rPr>
              <w:t>Embedding opportunities to openly share and improve practice</w:t>
            </w:r>
          </w:p>
          <w:p w14:paraId="608C311E"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kern w:val="1"/>
                <w:lang w:bidi="en-US"/>
              </w:rPr>
            </w:pPr>
            <w:r w:rsidRPr="00AA039A">
              <w:rPr>
                <w:lang w:bidi="en-US"/>
              </w:rPr>
              <w:t xml:space="preserve">Encouraging teacher agency and responsibility for meeting school-wide goals </w:t>
            </w:r>
          </w:p>
          <w:p w14:paraId="7D4525CF"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kern w:val="1"/>
                <w:lang w:bidi="en-US"/>
              </w:rPr>
            </w:pPr>
            <w:r w:rsidRPr="00AA039A">
              <w:rPr>
                <w:kern w:val="1"/>
                <w:lang w:bidi="en-US"/>
              </w:rPr>
              <w:t>Deepening a common sense of urgency</w:t>
            </w:r>
          </w:p>
        </w:tc>
        <w:tc>
          <w:tcPr>
            <w:tcW w:w="3420" w:type="dxa"/>
            <w:gridSpan w:val="3"/>
            <w:tcBorders>
              <w:top w:val="single" w:sz="8" w:space="0" w:color="auto"/>
              <w:left w:val="single" w:sz="8" w:space="0" w:color="auto"/>
              <w:bottom w:val="single" w:sz="4" w:space="0" w:color="auto"/>
              <w:right w:val="single" w:sz="8" w:space="0" w:color="auto"/>
            </w:tcBorders>
            <w:shd w:val="clear" w:color="auto" w:fill="auto"/>
          </w:tcPr>
          <w:p w14:paraId="60C87533" w14:textId="77777777" w:rsidR="004B4C34" w:rsidRPr="00AA039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Pr>
                <w:sz w:val="20"/>
                <w:lang w:bidi="en-US"/>
              </w:rPr>
              <w:t>The</w:t>
            </w:r>
            <w:r w:rsidRPr="00AA039A">
              <w:rPr>
                <w:sz w:val="20"/>
                <w:lang w:bidi="en-US"/>
              </w:rPr>
              <w:t xml:space="preserve"> application provides </w:t>
            </w:r>
            <w:r w:rsidRPr="00E47D1A">
              <w:rPr>
                <w:i/>
                <w:sz w:val="20"/>
                <w:lang w:bidi="en-US"/>
              </w:rPr>
              <w:t>general</w:t>
            </w:r>
            <w:r w:rsidRPr="00AA039A">
              <w:rPr>
                <w:sz w:val="20"/>
                <w:lang w:bidi="en-US"/>
              </w:rPr>
              <w:t xml:space="preserve"> evidence that the school has developed and is improving communication systems and structures that support professional collaboration and school turnaround, that address </w:t>
            </w:r>
            <w:r>
              <w:rPr>
                <w:b/>
                <w:sz w:val="20"/>
                <w:lang w:bidi="en-US"/>
              </w:rPr>
              <w:t>some</w:t>
            </w:r>
            <w:r w:rsidRPr="00AA039A">
              <w:rPr>
                <w:sz w:val="20"/>
                <w:lang w:bidi="en-US"/>
              </w:rPr>
              <w:t xml:space="preserve"> of the following: </w:t>
            </w:r>
          </w:p>
          <w:p w14:paraId="0545213D"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Building trusting relationships across all staff and a culture of continuous professional growth</w:t>
            </w:r>
          </w:p>
          <w:p w14:paraId="4818D05D"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Communicating instructional goals and expectations</w:t>
            </w:r>
          </w:p>
          <w:p w14:paraId="7AFE6A41"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Creating ownership for the success of all students</w:t>
            </w:r>
          </w:p>
          <w:p w14:paraId="0D3F4417"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Embedding opportunities to openly share and improve practice</w:t>
            </w:r>
          </w:p>
          <w:p w14:paraId="4F23DF3A"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 xml:space="preserve">Encouraging teacher agency and responsibility for meeting school-wide goals </w:t>
            </w:r>
          </w:p>
          <w:p w14:paraId="2E3788BE"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kern w:val="1"/>
                <w:lang w:bidi="en-US"/>
              </w:rPr>
              <w:t>Deepening a common sense of urgency</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23859E3E" w14:textId="77777777" w:rsidR="004B4C34" w:rsidRPr="00AA039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Pr>
                <w:sz w:val="20"/>
                <w:lang w:bidi="en-US"/>
              </w:rPr>
              <w:t xml:space="preserve">The </w:t>
            </w:r>
            <w:r w:rsidRPr="00AA039A">
              <w:rPr>
                <w:sz w:val="20"/>
                <w:lang w:bidi="en-US"/>
              </w:rPr>
              <w:t xml:space="preserve">application describes professional collaboration opportunities that aren’t clearly connected as a system </w:t>
            </w:r>
            <w:r w:rsidRPr="00AA039A">
              <w:rPr>
                <w:b/>
                <w:sz w:val="20"/>
                <w:lang w:bidi="en-US"/>
              </w:rPr>
              <w:t>OR</w:t>
            </w:r>
            <w:r w:rsidRPr="00AA039A">
              <w:rPr>
                <w:sz w:val="20"/>
                <w:lang w:bidi="en-US"/>
              </w:rPr>
              <w:t xml:space="preserve"> only generally addresses </w:t>
            </w:r>
            <w:r w:rsidRPr="00AA039A">
              <w:rPr>
                <w:b/>
                <w:sz w:val="20"/>
                <w:lang w:bidi="en-US"/>
              </w:rPr>
              <w:t>less than 4</w:t>
            </w:r>
            <w:r w:rsidRPr="00AA039A">
              <w:rPr>
                <w:sz w:val="20"/>
                <w:lang w:bidi="en-US"/>
              </w:rPr>
              <w:t xml:space="preserve"> of the following: </w:t>
            </w:r>
          </w:p>
          <w:p w14:paraId="5814735C"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Building trusting relationships across all staff and a culture of continuous professional growth</w:t>
            </w:r>
          </w:p>
          <w:p w14:paraId="239A6B29"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 xml:space="preserve">Communicating instructional goals and expectations </w:t>
            </w:r>
          </w:p>
          <w:p w14:paraId="760DDC75"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Creating ownership for the success of all students</w:t>
            </w:r>
          </w:p>
          <w:p w14:paraId="0CCF692C"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Embedding opportunities to openly share and improve practice</w:t>
            </w:r>
          </w:p>
          <w:p w14:paraId="0C02696C"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 xml:space="preserve">Encouraging teacher agency and responsibility for meeting school-wide goals </w:t>
            </w:r>
          </w:p>
          <w:p w14:paraId="5392FCB2"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kern w:val="1"/>
                <w:lang w:bidi="en-US"/>
              </w:rPr>
              <w:t>Deepening a common sense of urgency</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14:paraId="48F515CD" w14:textId="77777777" w:rsidR="004B4C34" w:rsidRPr="00AA039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Pr>
                <w:sz w:val="20"/>
                <w:lang w:bidi="en-US"/>
              </w:rPr>
              <w:t xml:space="preserve">The </w:t>
            </w:r>
            <w:r w:rsidRPr="00AA039A">
              <w:rPr>
                <w:sz w:val="20"/>
                <w:lang w:bidi="en-US"/>
              </w:rPr>
              <w:t xml:space="preserve">application describes a variety of discreet professional collaboration opportunities </w:t>
            </w:r>
            <w:r w:rsidRPr="00AA039A">
              <w:rPr>
                <w:b/>
                <w:sz w:val="20"/>
                <w:lang w:bidi="en-US"/>
              </w:rPr>
              <w:t>AND</w:t>
            </w:r>
            <w:r w:rsidRPr="00AA039A">
              <w:rPr>
                <w:sz w:val="20"/>
                <w:lang w:bidi="en-US"/>
              </w:rPr>
              <w:t xml:space="preserve"> only generally addresses </w:t>
            </w:r>
            <w:r w:rsidRPr="00AA039A">
              <w:rPr>
                <w:b/>
                <w:sz w:val="20"/>
                <w:lang w:bidi="en-US"/>
              </w:rPr>
              <w:t>less than 4</w:t>
            </w:r>
            <w:r w:rsidRPr="00AA039A">
              <w:rPr>
                <w:sz w:val="20"/>
                <w:lang w:bidi="en-US"/>
              </w:rPr>
              <w:t xml:space="preserve"> of the following: </w:t>
            </w:r>
          </w:p>
          <w:p w14:paraId="7D522AD7"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Building trusting relationships across all staff and a culture of continuous professional growth</w:t>
            </w:r>
          </w:p>
          <w:p w14:paraId="54428459"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Communicating instructional goals and expectations and reflect on progress</w:t>
            </w:r>
          </w:p>
          <w:p w14:paraId="16DC291F"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Creating ownership for the success of all students</w:t>
            </w:r>
          </w:p>
          <w:p w14:paraId="17223520"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Embedding opportunities to openly share and improve practice</w:t>
            </w:r>
          </w:p>
          <w:p w14:paraId="165CBC35"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lang w:bidi="en-US"/>
              </w:rPr>
              <w:t xml:space="preserve">Encouraging teacher agency and responsibility for meeting school-wide goals </w:t>
            </w:r>
          </w:p>
          <w:p w14:paraId="7EACFDD7" w14:textId="77777777" w:rsidR="004B4C34" w:rsidRPr="00AA039A" w:rsidRDefault="004B4C34" w:rsidP="004B4C34">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kern w:val="1"/>
                <w:lang w:bidi="en-US"/>
              </w:rPr>
            </w:pPr>
            <w:r w:rsidRPr="00AA039A">
              <w:rPr>
                <w:kern w:val="1"/>
                <w:lang w:bidi="en-US"/>
              </w:rPr>
              <w:t>Deepening a common sense of urgency</w:t>
            </w:r>
          </w:p>
        </w:tc>
      </w:tr>
      <w:tr w:rsidR="004B4C34" w:rsidRPr="004B3A52" w14:paraId="7C84C8CD" w14:textId="77777777" w:rsidTr="00FD3FCE">
        <w:tblPrEx>
          <w:tblBorders>
            <w:top w:val="none" w:sz="0" w:space="0" w:color="auto"/>
          </w:tblBorders>
        </w:tblPrEx>
        <w:trPr>
          <w:gridBefore w:val="2"/>
          <w:wBefore w:w="236" w:type="dxa"/>
          <w:trHeight w:val="2284"/>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DFF01A4" w14:textId="77777777" w:rsidR="004B4C34" w:rsidRPr="004B3A52" w:rsidRDefault="004B4C34" w:rsidP="005408B9">
            <w:pPr>
              <w:widowControl w:val="0"/>
              <w:autoSpaceDE w:val="0"/>
              <w:autoSpaceDN w:val="0"/>
              <w:adjustRightInd w:val="0"/>
              <w:jc w:val="center"/>
              <w:rPr>
                <w:kern w:val="1"/>
                <w:sz w:val="20"/>
                <w:lang w:bidi="en-US"/>
              </w:rPr>
            </w:pPr>
            <w:r>
              <w:rPr>
                <w:kern w:val="1"/>
                <w:sz w:val="20"/>
                <w:lang w:bidi="en-US"/>
              </w:rPr>
              <w:t>12</w:t>
            </w:r>
            <w:r w:rsidRPr="00FB3817">
              <w:rPr>
                <w:kern w:val="1"/>
                <w:sz w:val="20"/>
                <w:lang w:bidi="en-US"/>
              </w:rPr>
              <w:t xml:space="preserve">: </w:t>
            </w:r>
          </w:p>
          <w:p w14:paraId="5AEEBA9B" w14:textId="77777777" w:rsidR="004B4C34" w:rsidRPr="004B3A52" w:rsidRDefault="004B4C34" w:rsidP="005408B9">
            <w:pPr>
              <w:widowControl w:val="0"/>
              <w:autoSpaceDE w:val="0"/>
              <w:autoSpaceDN w:val="0"/>
              <w:adjustRightInd w:val="0"/>
              <w:jc w:val="center"/>
              <w:rPr>
                <w:kern w:val="1"/>
                <w:sz w:val="20"/>
                <w:lang w:bidi="en-US"/>
              </w:rPr>
            </w:pPr>
            <w:r w:rsidRPr="00FB3817">
              <w:rPr>
                <w:kern w:val="1"/>
                <w:sz w:val="20"/>
                <w:lang w:bidi="en-US"/>
              </w:rPr>
              <w:t>Addressing the Needs of Students of Color</w:t>
            </w:r>
          </w:p>
        </w:tc>
        <w:tc>
          <w:tcPr>
            <w:tcW w:w="32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1379B7D5" w14:textId="77777777" w:rsidR="004B4C34" w:rsidRDefault="004B4C34" w:rsidP="005408B9">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sz w:val="20"/>
                <w:lang w:bidi="en-US"/>
              </w:rPr>
            </w:pPr>
            <w:r w:rsidRPr="00FB3817">
              <w:rPr>
                <w:sz w:val="20"/>
              </w:rPr>
              <w:t xml:space="preserve">There is a </w:t>
            </w:r>
            <w:r w:rsidRPr="00A720A9">
              <w:rPr>
                <w:i/>
                <w:sz w:val="20"/>
              </w:rPr>
              <w:t>clear</w:t>
            </w:r>
            <w:r w:rsidRPr="00FB3817">
              <w:rPr>
                <w:sz w:val="20"/>
              </w:rPr>
              <w:t xml:space="preserve"> data analysis of students of color </w:t>
            </w:r>
            <w:r w:rsidRPr="00FB3817">
              <w:rPr>
                <w:b/>
                <w:bCs/>
                <w:sz w:val="20"/>
              </w:rPr>
              <w:t xml:space="preserve">AND </w:t>
            </w:r>
            <w:r w:rsidRPr="00E84183">
              <w:rPr>
                <w:sz w:val="20"/>
              </w:rPr>
              <w:t xml:space="preserve">the plan </w:t>
            </w:r>
            <w:r w:rsidRPr="00A720A9">
              <w:rPr>
                <w:i/>
                <w:sz w:val="20"/>
              </w:rPr>
              <w:t>clearly</w:t>
            </w:r>
            <w:r w:rsidRPr="00E84183">
              <w:rPr>
                <w:sz w:val="20"/>
              </w:rPr>
              <w:t xml:space="preserve"> describes</w:t>
            </w:r>
            <w:r w:rsidRPr="003A01BD">
              <w:rPr>
                <w:sz w:val="20"/>
              </w:rPr>
              <w:t xml:space="preserve"> what steps will be taken to </w:t>
            </w:r>
            <w:r w:rsidRPr="001E16D2">
              <w:rPr>
                <w:sz w:val="20"/>
              </w:rPr>
              <w:t>specifically address the needs of students of color.</w:t>
            </w:r>
            <w:r w:rsidRPr="00BE61CF">
              <w:rPr>
                <w:sz w:val="20"/>
              </w:rPr>
              <w:t> </w:t>
            </w:r>
          </w:p>
        </w:tc>
        <w:tc>
          <w:tcPr>
            <w:tcW w:w="342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F8E32F5"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sz w:val="20"/>
                <w:lang w:bidi="en-US"/>
              </w:rPr>
            </w:pPr>
            <w:r w:rsidRPr="00FB3817">
              <w:rPr>
                <w:sz w:val="20"/>
              </w:rPr>
              <w:t xml:space="preserve">There is a </w:t>
            </w:r>
            <w:r w:rsidRPr="00A720A9">
              <w:rPr>
                <w:i/>
                <w:sz w:val="20"/>
              </w:rPr>
              <w:t>general</w:t>
            </w:r>
            <w:r w:rsidRPr="00FB3817">
              <w:rPr>
                <w:sz w:val="20"/>
              </w:rPr>
              <w:t xml:space="preserve"> data analysis of students of color </w:t>
            </w:r>
            <w:r w:rsidRPr="00FB3817">
              <w:rPr>
                <w:b/>
                <w:bCs/>
                <w:sz w:val="20"/>
              </w:rPr>
              <w:t xml:space="preserve">AND </w:t>
            </w:r>
            <w:r w:rsidRPr="00E84183">
              <w:rPr>
                <w:sz w:val="20"/>
              </w:rPr>
              <w:t xml:space="preserve">the plan </w:t>
            </w:r>
            <w:r w:rsidRPr="00A720A9">
              <w:rPr>
                <w:i/>
                <w:sz w:val="20"/>
              </w:rPr>
              <w:t>generally</w:t>
            </w:r>
            <w:r w:rsidRPr="003A01BD">
              <w:rPr>
                <w:sz w:val="20"/>
              </w:rPr>
              <w:t xml:space="preserve"> describes what steps will be taken to specifically address the needs of students of color. </w:t>
            </w:r>
          </w:p>
        </w:tc>
        <w:tc>
          <w:tcPr>
            <w:tcW w:w="342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4D45ACE8" w14:textId="41073FF7" w:rsidR="00FD3FCE"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FB3817">
              <w:rPr>
                <w:sz w:val="20"/>
              </w:rPr>
              <w:t xml:space="preserve">There is a general data analysis of students of color </w:t>
            </w:r>
            <w:r w:rsidRPr="00FB3817">
              <w:rPr>
                <w:b/>
                <w:bCs/>
                <w:sz w:val="20"/>
              </w:rPr>
              <w:t xml:space="preserve">OR </w:t>
            </w:r>
            <w:r w:rsidRPr="00E84183">
              <w:rPr>
                <w:sz w:val="20"/>
              </w:rPr>
              <w:t>the plan generally describes what steps will be taken to specifically address the needs of students of colo</w:t>
            </w:r>
            <w:r w:rsidRPr="003A01BD">
              <w:rPr>
                <w:sz w:val="20"/>
              </w:rPr>
              <w:t>r. </w:t>
            </w:r>
          </w:p>
        </w:tc>
        <w:tc>
          <w:tcPr>
            <w:tcW w:w="3510" w:type="dxa"/>
            <w:gridSpan w:val="3"/>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14:paraId="05071A33"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FB3817">
              <w:rPr>
                <w:sz w:val="20"/>
              </w:rPr>
              <w:t xml:space="preserve">There is a little to no data analysis of students of color </w:t>
            </w:r>
            <w:r w:rsidRPr="00FB3817">
              <w:rPr>
                <w:b/>
                <w:bCs/>
                <w:sz w:val="20"/>
              </w:rPr>
              <w:t xml:space="preserve">AND </w:t>
            </w:r>
            <w:r w:rsidRPr="00E84183">
              <w:rPr>
                <w:sz w:val="20"/>
              </w:rPr>
              <w:t>the plan vaguely describes what steps will be taken to specifically address the needs of students of color</w:t>
            </w:r>
            <w:r w:rsidRPr="003A01BD">
              <w:rPr>
                <w:sz w:val="20"/>
              </w:rPr>
              <w:t xml:space="preserve"> (or there is no plan at all). </w:t>
            </w:r>
          </w:p>
        </w:tc>
      </w:tr>
      <w:tr w:rsidR="004B4C34" w:rsidRPr="004B3A52" w14:paraId="58A9B21E" w14:textId="77777777" w:rsidTr="005408B9">
        <w:trPr>
          <w:gridBefore w:val="1"/>
          <w:gridAfter w:val="1"/>
          <w:wBefore w:w="118" w:type="dxa"/>
          <w:wAfter w:w="118" w:type="dxa"/>
          <w:trHeight w:val="781"/>
          <w:jc w:val="center"/>
        </w:trPr>
        <w:tc>
          <w:tcPr>
            <w:tcW w:w="14940" w:type="dxa"/>
            <w:gridSpan w:val="1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D185C1C" w14:textId="392D97D4" w:rsidR="004B4C34" w:rsidRPr="00F81A1A" w:rsidRDefault="004B4C34" w:rsidP="005408B9">
            <w:pPr>
              <w:widowControl w:val="0"/>
              <w:tabs>
                <w:tab w:val="left" w:pos="720"/>
                <w:tab w:val="left" w:pos="1080"/>
                <w:tab w:val="left" w:pos="1440"/>
                <w:tab w:val="left" w:pos="1800"/>
              </w:tabs>
              <w:autoSpaceDE w:val="0"/>
              <w:autoSpaceDN w:val="0"/>
              <w:adjustRightInd w:val="0"/>
              <w:rPr>
                <w:sz w:val="20"/>
              </w:rPr>
            </w:pPr>
            <w:r w:rsidRPr="00F81A1A">
              <w:rPr>
                <w:rFonts w:cs="Palatino-Roman"/>
                <w:b/>
                <w:sz w:val="20"/>
                <w:lang w:bidi="en-US"/>
              </w:rPr>
              <w:lastRenderedPageBreak/>
              <w:t xml:space="preserve">Data Analysis and Selection of Supports </w:t>
            </w:r>
          </w:p>
          <w:p w14:paraId="7A92468E"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3439FF">
              <w:rPr>
                <w:sz w:val="20"/>
                <w:u w:val="single"/>
                <w:lang w:bidi="en-US"/>
              </w:rPr>
              <w:t>Scoring Criteria</w:t>
            </w:r>
            <w:r w:rsidRPr="003439FF">
              <w:rPr>
                <w:sz w:val="20"/>
                <w:lang w:bidi="en-US"/>
              </w:rPr>
              <w:t xml:space="preserve">: </w:t>
            </w:r>
            <w:r w:rsidRPr="00F81A1A">
              <w:rPr>
                <w:rFonts w:cs="Palatino-Roman"/>
                <w:sz w:val="20"/>
                <w:lang w:bidi="en-US"/>
              </w:rPr>
              <w:t>The extent to which the turnaround plan is based on a detailed analysis of current, accurate, and precise data, including but not limited to state assessments, educator data, and other student data. The extent to which the proposed intervention model and district support strategies are based upon an analysis of data.</w:t>
            </w:r>
          </w:p>
        </w:tc>
      </w:tr>
      <w:tr w:rsidR="004B4C34" w:rsidRPr="004B3A52" w14:paraId="0BF4F07E" w14:textId="77777777" w:rsidTr="005408B9">
        <w:tblPrEx>
          <w:tblBorders>
            <w:top w:val="none" w:sz="0" w:space="0" w:color="auto"/>
          </w:tblBorders>
        </w:tblPrEx>
        <w:trPr>
          <w:gridBefore w:val="1"/>
          <w:gridAfter w:val="1"/>
          <w:wBefore w:w="118" w:type="dxa"/>
          <w:wAfter w:w="118" w:type="dxa"/>
          <w:trHeight w:val="250"/>
          <w:jc w:val="center"/>
        </w:trPr>
        <w:tc>
          <w:tcPr>
            <w:tcW w:w="1350" w:type="dxa"/>
            <w:gridSpan w:val="3"/>
            <w:tcBorders>
              <w:top w:val="single" w:sz="8" w:space="0" w:color="auto"/>
              <w:left w:val="single" w:sz="4" w:space="0" w:color="auto"/>
              <w:bottom w:val="single" w:sz="8" w:space="0" w:color="auto"/>
              <w:right w:val="single" w:sz="8" w:space="0" w:color="auto"/>
            </w:tcBorders>
          </w:tcPr>
          <w:p w14:paraId="0122FE8C"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24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68BE593"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Strong – 4</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FF31265"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Adequate - 3</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B157167"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Marginal - 2</w:t>
            </w:r>
          </w:p>
        </w:tc>
        <w:tc>
          <w:tcPr>
            <w:tcW w:w="351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0AC458D"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Weak – 1</w:t>
            </w:r>
          </w:p>
        </w:tc>
      </w:tr>
      <w:tr w:rsidR="004B4C34" w:rsidRPr="004B3A52" w14:paraId="1383D0C8" w14:textId="77777777" w:rsidTr="005408B9">
        <w:tblPrEx>
          <w:tblBorders>
            <w:top w:val="none" w:sz="0" w:space="0" w:color="auto"/>
          </w:tblBorders>
        </w:tblPrEx>
        <w:trPr>
          <w:gridBefore w:val="1"/>
          <w:gridAfter w:val="1"/>
          <w:wBefore w:w="118" w:type="dxa"/>
          <w:wAfter w:w="118" w:type="dxa"/>
          <w:trHeight w:val="3130"/>
          <w:jc w:val="center"/>
        </w:trPr>
        <w:tc>
          <w:tcPr>
            <w:tcW w:w="1350"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4EBAC313"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13</w:t>
            </w:r>
            <w:r w:rsidRPr="003439FF">
              <w:rPr>
                <w:kern w:val="1"/>
                <w:sz w:val="20"/>
                <w:lang w:bidi="en-US"/>
              </w:rPr>
              <w:t>:</w:t>
            </w:r>
          </w:p>
          <w:p w14:paraId="6DDA9DAB"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kern w:val="1"/>
                <w:sz w:val="20"/>
                <w:lang w:bidi="en-US"/>
              </w:rPr>
              <w:t>Data Analysis</w:t>
            </w:r>
          </w:p>
        </w:tc>
        <w:tc>
          <w:tcPr>
            <w:tcW w:w="3240" w:type="dxa"/>
            <w:gridSpan w:val="3"/>
            <w:tcBorders>
              <w:top w:val="single" w:sz="8" w:space="0" w:color="auto"/>
              <w:left w:val="single" w:sz="8" w:space="0" w:color="auto"/>
              <w:bottom w:val="single" w:sz="4" w:space="0" w:color="auto"/>
              <w:right w:val="single" w:sz="8" w:space="0" w:color="auto"/>
            </w:tcBorders>
          </w:tcPr>
          <w:p w14:paraId="76DFAD4B" w14:textId="77777777" w:rsidR="004B4C34" w:rsidRPr="00A720A9"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The application provided and used</w:t>
            </w:r>
            <w:r w:rsidRPr="00A720A9">
              <w:rPr>
                <w:sz w:val="20"/>
                <w:lang w:bidi="en-US"/>
              </w:rPr>
              <w:t xml:space="preserve"> detailed, </w:t>
            </w:r>
            <w:r>
              <w:rPr>
                <w:sz w:val="20"/>
                <w:lang w:bidi="en-US"/>
              </w:rPr>
              <w:t xml:space="preserve">pertinent, and multiple </w:t>
            </w:r>
            <w:r w:rsidRPr="00A720A9">
              <w:rPr>
                <w:sz w:val="20"/>
                <w:lang w:bidi="en-US"/>
              </w:rPr>
              <w:t xml:space="preserve">data </w:t>
            </w:r>
            <w:r>
              <w:rPr>
                <w:sz w:val="20"/>
                <w:lang w:bidi="en-US"/>
              </w:rPr>
              <w:t>sources (such as</w:t>
            </w:r>
            <w:r w:rsidRPr="00A720A9">
              <w:rPr>
                <w:sz w:val="20"/>
                <w:lang w:bidi="en-US"/>
              </w:rPr>
              <w:t xml:space="preserve"> demographic, achievement, perceptual, and observational data) </w:t>
            </w:r>
            <w:r>
              <w:rPr>
                <w:sz w:val="20"/>
                <w:lang w:bidi="en-US"/>
              </w:rPr>
              <w:t>to identify key assets and challenges and probed for causation. The plan also clearly described</w:t>
            </w:r>
            <w:r w:rsidRPr="00A720A9">
              <w:rPr>
                <w:sz w:val="20"/>
                <w:lang w:bidi="en-US"/>
              </w:rPr>
              <w:t xml:space="preserve"> how proposed </w:t>
            </w:r>
            <w:r>
              <w:rPr>
                <w:sz w:val="20"/>
                <w:lang w:bidi="en-US"/>
              </w:rPr>
              <w:t>turnaround strategies in each turnaround p</w:t>
            </w:r>
            <w:r w:rsidRPr="00A720A9">
              <w:rPr>
                <w:sz w:val="20"/>
                <w:lang w:bidi="en-US"/>
              </w:rPr>
              <w:t xml:space="preserve">ractice are linked to </w:t>
            </w:r>
            <w:r>
              <w:rPr>
                <w:sz w:val="20"/>
                <w:lang w:bidi="en-US"/>
              </w:rPr>
              <w:t>an analysis of data and root cause</w:t>
            </w:r>
            <w:r w:rsidRPr="00A720A9">
              <w:rPr>
                <w:sz w:val="20"/>
                <w:lang w:bidi="en-US"/>
              </w:rPr>
              <w:t xml:space="preserve">. </w:t>
            </w:r>
          </w:p>
        </w:tc>
        <w:tc>
          <w:tcPr>
            <w:tcW w:w="3420" w:type="dxa"/>
            <w:gridSpan w:val="3"/>
            <w:tcBorders>
              <w:top w:val="single" w:sz="8" w:space="0" w:color="auto"/>
              <w:left w:val="single" w:sz="8" w:space="0" w:color="auto"/>
              <w:bottom w:val="single" w:sz="4" w:space="0" w:color="auto"/>
              <w:right w:val="single" w:sz="8" w:space="0" w:color="auto"/>
            </w:tcBorders>
          </w:tcPr>
          <w:p w14:paraId="7E07FFF7" w14:textId="77777777" w:rsidR="004B4C34" w:rsidRPr="00A720A9"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The application identifies key assets and challenges through a general data analysis using multiple data sources (such as</w:t>
            </w:r>
            <w:r w:rsidRPr="00A720A9">
              <w:rPr>
                <w:sz w:val="20"/>
                <w:lang w:bidi="en-US"/>
              </w:rPr>
              <w:t xml:space="preserve"> demographic, achievement, perceptual, and observational data) </w:t>
            </w:r>
            <w:r>
              <w:rPr>
                <w:sz w:val="20"/>
                <w:lang w:bidi="en-US"/>
              </w:rPr>
              <w:t>and probed for causation</w:t>
            </w:r>
            <w:r w:rsidRPr="00A720A9">
              <w:rPr>
                <w:sz w:val="20"/>
                <w:lang w:bidi="en-US"/>
              </w:rPr>
              <w:t xml:space="preserve">. </w:t>
            </w:r>
            <w:r>
              <w:rPr>
                <w:sz w:val="20"/>
                <w:lang w:bidi="en-US"/>
              </w:rPr>
              <w:t>The plan also described</w:t>
            </w:r>
            <w:r w:rsidRPr="00A720A9">
              <w:rPr>
                <w:sz w:val="20"/>
                <w:lang w:bidi="en-US"/>
              </w:rPr>
              <w:t xml:space="preserve"> how most of the proposed turnaround</w:t>
            </w:r>
            <w:r>
              <w:rPr>
                <w:sz w:val="20"/>
                <w:lang w:bidi="en-US"/>
              </w:rPr>
              <w:t xml:space="preserve"> strategies in each turnaround p</w:t>
            </w:r>
            <w:r w:rsidRPr="00A720A9">
              <w:rPr>
                <w:sz w:val="20"/>
                <w:lang w:bidi="en-US"/>
              </w:rPr>
              <w:t xml:space="preserve">ractice are linked to an analysis of data and </w:t>
            </w:r>
            <w:r>
              <w:rPr>
                <w:sz w:val="20"/>
                <w:lang w:bidi="en-US"/>
              </w:rPr>
              <w:t>root cause</w:t>
            </w:r>
            <w:r w:rsidRPr="00A720A9">
              <w:rPr>
                <w:sz w:val="20"/>
                <w:lang w:bidi="en-US"/>
              </w:rPr>
              <w:t xml:space="preserve">. </w:t>
            </w:r>
          </w:p>
        </w:tc>
        <w:tc>
          <w:tcPr>
            <w:tcW w:w="3420" w:type="dxa"/>
            <w:gridSpan w:val="3"/>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tcPr>
          <w:p w14:paraId="13F3B253" w14:textId="77777777" w:rsidR="004B4C34" w:rsidRPr="00A720A9"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 xml:space="preserve">The application identifies key assets and challenges through a general data analysis.  The application did not probe for causation OR provided a limited description of how </w:t>
            </w:r>
            <w:r w:rsidRPr="00A720A9">
              <w:rPr>
                <w:sz w:val="20"/>
                <w:lang w:bidi="en-US"/>
              </w:rPr>
              <w:t>proposed turnaround</w:t>
            </w:r>
            <w:r>
              <w:rPr>
                <w:sz w:val="20"/>
                <w:lang w:bidi="en-US"/>
              </w:rPr>
              <w:t xml:space="preserve"> strategies in each turnaround p</w:t>
            </w:r>
            <w:r w:rsidRPr="00A720A9">
              <w:rPr>
                <w:sz w:val="20"/>
                <w:lang w:bidi="en-US"/>
              </w:rPr>
              <w:t xml:space="preserve">ractice are linked to </w:t>
            </w:r>
            <w:r>
              <w:rPr>
                <w:sz w:val="20"/>
                <w:lang w:bidi="en-US"/>
              </w:rPr>
              <w:t>an analysis of data and root cause.</w:t>
            </w:r>
            <w:r w:rsidRPr="00A720A9">
              <w:rPr>
                <w:sz w:val="20"/>
                <w:lang w:bidi="en-US"/>
              </w:rPr>
              <w:t xml:space="preserve">   </w:t>
            </w:r>
          </w:p>
        </w:tc>
        <w:tc>
          <w:tcPr>
            <w:tcW w:w="3510" w:type="dxa"/>
            <w:gridSpan w:val="3"/>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tcPr>
          <w:p w14:paraId="070CDCEB" w14:textId="77777777" w:rsidR="004B4C34" w:rsidRPr="00A720A9"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 xml:space="preserve">The application provided a weak analysis of assets and challenges using limited data sources AND the application did not probe for causation OR provided a limited description of how </w:t>
            </w:r>
            <w:r w:rsidRPr="00A720A9">
              <w:rPr>
                <w:sz w:val="20"/>
                <w:lang w:bidi="en-US"/>
              </w:rPr>
              <w:t>proposed turnaround</w:t>
            </w:r>
            <w:r>
              <w:rPr>
                <w:sz w:val="20"/>
                <w:lang w:bidi="en-US"/>
              </w:rPr>
              <w:t xml:space="preserve"> strategies in each turnaround p</w:t>
            </w:r>
            <w:r w:rsidRPr="00A720A9">
              <w:rPr>
                <w:sz w:val="20"/>
                <w:lang w:bidi="en-US"/>
              </w:rPr>
              <w:t xml:space="preserve">ractice are linked to </w:t>
            </w:r>
            <w:r>
              <w:rPr>
                <w:sz w:val="20"/>
                <w:lang w:bidi="en-US"/>
              </w:rPr>
              <w:t>an analysis of data and root cause.</w:t>
            </w:r>
            <w:r w:rsidRPr="00A720A9">
              <w:rPr>
                <w:sz w:val="20"/>
                <w:lang w:bidi="en-US"/>
              </w:rPr>
              <w:t xml:space="preserve">   </w:t>
            </w:r>
          </w:p>
        </w:tc>
      </w:tr>
      <w:tr w:rsidR="004B4C34" w:rsidRPr="004B3A52" w14:paraId="6D24E15D" w14:textId="77777777" w:rsidTr="005408B9">
        <w:tblPrEx>
          <w:tblBorders>
            <w:top w:val="none" w:sz="0" w:space="0" w:color="auto"/>
          </w:tblBorders>
        </w:tblPrEx>
        <w:trPr>
          <w:gridBefore w:val="1"/>
          <w:gridAfter w:val="1"/>
          <w:wBefore w:w="118" w:type="dxa"/>
          <w:wAfter w:w="118" w:type="dxa"/>
          <w:trHeight w:val="1349"/>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2ED3EFB"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14</w:t>
            </w:r>
            <w:r w:rsidRPr="003439FF">
              <w:rPr>
                <w:kern w:val="1"/>
                <w:sz w:val="20"/>
                <w:lang w:bidi="en-US"/>
              </w:rPr>
              <w:t>:</w:t>
            </w:r>
          </w:p>
          <w:p w14:paraId="2295F11C"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kern w:val="1"/>
                <w:sz w:val="20"/>
                <w:lang w:bidi="en-US"/>
              </w:rPr>
              <w:t>Strategic Benchmarks</w:t>
            </w:r>
          </w:p>
        </w:tc>
        <w:tc>
          <w:tcPr>
            <w:tcW w:w="3240" w:type="dxa"/>
            <w:gridSpan w:val="3"/>
            <w:tcBorders>
              <w:top w:val="single" w:sz="4" w:space="0" w:color="auto"/>
              <w:left w:val="single" w:sz="8" w:space="0" w:color="auto"/>
              <w:bottom w:val="single" w:sz="4" w:space="0" w:color="auto"/>
              <w:right w:val="single" w:sz="8" w:space="0" w:color="auto"/>
            </w:tcBorders>
          </w:tcPr>
          <w:p w14:paraId="6D4F9569"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Pr>
                <w:sz w:val="20"/>
                <w:lang w:bidi="en-US"/>
              </w:rPr>
              <w:t>Throughout the application</w:t>
            </w:r>
            <w:r w:rsidRPr="003439FF">
              <w:rPr>
                <w:sz w:val="20"/>
                <w:lang w:bidi="en-US"/>
              </w:rPr>
              <w:t xml:space="preserve">, interim </w:t>
            </w:r>
            <w:r w:rsidRPr="003439FF">
              <w:rPr>
                <w:bCs/>
                <w:sz w:val="20"/>
                <w:lang w:bidi="en-US"/>
              </w:rPr>
              <w:t>benchmarks</w:t>
            </w:r>
            <w:r w:rsidRPr="003439FF">
              <w:rPr>
                <w:sz w:val="20"/>
                <w:lang w:bidi="en-US"/>
              </w:rPr>
              <w:t xml:space="preserve"> are precise, measurable, and time-bound (e.g., 3- 6- or 12-month; or by December 201</w:t>
            </w:r>
            <w:r>
              <w:rPr>
                <w:sz w:val="20"/>
                <w:lang w:bidi="en-US"/>
              </w:rPr>
              <w:t>9</w:t>
            </w:r>
            <w:r w:rsidRPr="003439FF">
              <w:rPr>
                <w:sz w:val="20"/>
                <w:lang w:bidi="en-US"/>
              </w:rPr>
              <w:t>). Benchmarks are clearly aligned with the key strategies described in the plan, and there are clear connections between implementing a strategy and meeting the described benchmarks.</w:t>
            </w:r>
          </w:p>
        </w:tc>
        <w:tc>
          <w:tcPr>
            <w:tcW w:w="3420" w:type="dxa"/>
            <w:gridSpan w:val="3"/>
            <w:tcBorders>
              <w:top w:val="single" w:sz="4" w:space="0" w:color="auto"/>
              <w:left w:val="single" w:sz="8" w:space="0" w:color="auto"/>
              <w:bottom w:val="single" w:sz="8" w:space="0" w:color="auto"/>
              <w:right w:val="single" w:sz="8" w:space="0" w:color="auto"/>
            </w:tcBorders>
          </w:tcPr>
          <w:p w14:paraId="2123DFF9"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The </w:t>
            </w:r>
            <w:r>
              <w:rPr>
                <w:sz w:val="20"/>
                <w:lang w:bidi="en-US"/>
              </w:rPr>
              <w:t>application</w:t>
            </w:r>
            <w:r w:rsidRPr="003439FF">
              <w:rPr>
                <w:sz w:val="20"/>
                <w:lang w:bidi="en-US"/>
              </w:rPr>
              <w:t xml:space="preserve"> provides many</w:t>
            </w:r>
            <w:r w:rsidRPr="003439FF">
              <w:rPr>
                <w:bCs/>
                <w:sz w:val="20"/>
                <w:lang w:bidi="en-US"/>
              </w:rPr>
              <w:t xml:space="preserve"> interim benchmarks</w:t>
            </w:r>
            <w:r w:rsidRPr="003439FF">
              <w:rPr>
                <w:sz w:val="20"/>
                <w:lang w:bidi="en-US"/>
              </w:rPr>
              <w:t xml:space="preserve"> that are precise, measurable, and time-bound (e.g., 3- 6- or 12-month; or by December 201</w:t>
            </w:r>
            <w:r>
              <w:rPr>
                <w:sz w:val="20"/>
                <w:lang w:bidi="en-US"/>
              </w:rPr>
              <w:t>9</w:t>
            </w:r>
            <w:r w:rsidRPr="003439FF">
              <w:rPr>
                <w:sz w:val="20"/>
                <w:lang w:bidi="en-US"/>
              </w:rPr>
              <w:t>). Benchmarks are mostly aligned with the key strategies described in the plan, and there are many connections between implementing a strategy and meeting the described benchmarks.</w:t>
            </w:r>
          </w:p>
        </w:tc>
        <w:tc>
          <w:tcPr>
            <w:tcW w:w="3420" w:type="dxa"/>
            <w:gridSpan w:val="3"/>
            <w:tcBorders>
              <w:top w:val="single" w:sz="4" w:space="0" w:color="auto"/>
              <w:left w:val="single" w:sz="8" w:space="0" w:color="auto"/>
              <w:bottom w:val="single" w:sz="8" w:space="0" w:color="auto"/>
              <w:right w:val="single" w:sz="8" w:space="0" w:color="auto"/>
            </w:tcBorders>
            <w:tcMar>
              <w:top w:w="40" w:type="nil"/>
              <w:left w:w="40" w:type="nil"/>
              <w:bottom w:w="40" w:type="nil"/>
              <w:right w:w="40" w:type="nil"/>
            </w:tcMar>
          </w:tcPr>
          <w:p w14:paraId="78540CA0" w14:textId="77777777" w:rsidR="004B4C34" w:rsidRPr="004B3A52"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Pr>
                <w:sz w:val="20"/>
                <w:lang w:bidi="en-US"/>
              </w:rPr>
              <w:t>The application</w:t>
            </w:r>
            <w:r w:rsidRPr="003439FF">
              <w:rPr>
                <w:sz w:val="20"/>
                <w:lang w:bidi="en-US"/>
              </w:rPr>
              <w:t xml:space="preserve"> provides some measureable interim </w:t>
            </w:r>
            <w:r w:rsidRPr="003439FF">
              <w:rPr>
                <w:bCs/>
                <w:sz w:val="20"/>
                <w:lang w:bidi="en-US"/>
              </w:rPr>
              <w:t>benchmarks</w:t>
            </w:r>
            <w:r w:rsidRPr="003439FF">
              <w:rPr>
                <w:sz w:val="20"/>
                <w:lang w:bidi="en-US"/>
              </w:rPr>
              <w:t xml:space="preserve"> for accomplishing key strategies to address the areas of need identified in the plan.  Benchmarks are marginally aligned with the key strategies described in the plan, and there are some connections between implementing a strategy and meeting the described benchmarks.</w:t>
            </w:r>
          </w:p>
        </w:tc>
        <w:tc>
          <w:tcPr>
            <w:tcW w:w="3510" w:type="dxa"/>
            <w:gridSpan w:val="3"/>
            <w:tcBorders>
              <w:top w:val="single" w:sz="4" w:space="0" w:color="auto"/>
              <w:left w:val="single" w:sz="8" w:space="0" w:color="auto"/>
              <w:bottom w:val="single" w:sz="8" w:space="0" w:color="auto"/>
              <w:right w:val="single" w:sz="8" w:space="0" w:color="auto"/>
            </w:tcBorders>
            <w:tcMar>
              <w:top w:w="40" w:type="nil"/>
              <w:left w:w="40" w:type="nil"/>
              <w:bottom w:w="40" w:type="nil"/>
              <w:right w:w="40" w:type="nil"/>
            </w:tcMar>
          </w:tcPr>
          <w:p w14:paraId="4B7546AB" w14:textId="77777777" w:rsidR="004B4C34" w:rsidRPr="006A20AF"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The </w:t>
            </w:r>
            <w:r>
              <w:rPr>
                <w:sz w:val="20"/>
                <w:lang w:bidi="en-US"/>
              </w:rPr>
              <w:t>application</w:t>
            </w:r>
            <w:r w:rsidRPr="003439FF">
              <w:rPr>
                <w:sz w:val="20"/>
                <w:lang w:bidi="en-US"/>
              </w:rPr>
              <w:t xml:space="preserve"> lacks measureable interim benchmarks for accomplishing key strategies to address the areas o</w:t>
            </w:r>
            <w:r>
              <w:rPr>
                <w:sz w:val="20"/>
                <w:lang w:bidi="en-US"/>
              </w:rPr>
              <w:t xml:space="preserve">f need identified in the plan. </w:t>
            </w:r>
            <w:r w:rsidRPr="003439FF">
              <w:rPr>
                <w:sz w:val="20"/>
                <w:lang w:bidi="en-US"/>
              </w:rPr>
              <w:t>Benchmarks are minimally aligned with the key strategies described in the plan, and connections between implementing a strategy and meeting the described benchmarks are lacking.</w:t>
            </w:r>
          </w:p>
        </w:tc>
      </w:tr>
      <w:tr w:rsidR="004B4C34" w:rsidRPr="004B3A52" w14:paraId="55F5332A" w14:textId="77777777" w:rsidTr="00A80CA0">
        <w:tblPrEx>
          <w:tblBorders>
            <w:top w:val="none" w:sz="0" w:space="0" w:color="auto"/>
          </w:tblBorders>
        </w:tblPrEx>
        <w:trPr>
          <w:gridBefore w:val="1"/>
          <w:gridAfter w:val="1"/>
          <w:wBefore w:w="118" w:type="dxa"/>
          <w:wAfter w:w="118" w:type="dxa"/>
          <w:trHeight w:val="1204"/>
          <w:jc w:val="center"/>
        </w:trPr>
        <w:tc>
          <w:tcPr>
            <w:tcW w:w="13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AE6A56C"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Pr>
                <w:bCs/>
                <w:sz w:val="20"/>
                <w:lang w:bidi="en-US"/>
              </w:rPr>
              <w:t>15</w:t>
            </w:r>
            <w:r w:rsidRPr="000F4F07">
              <w:rPr>
                <w:bCs/>
                <w:sz w:val="20"/>
                <w:lang w:bidi="en-US"/>
              </w:rPr>
              <w:t xml:space="preserve">: </w:t>
            </w:r>
            <w:r>
              <w:rPr>
                <w:bCs/>
                <w:sz w:val="20"/>
                <w:lang w:bidi="en-US"/>
              </w:rPr>
              <w:t>Measurable Annual Goals</w:t>
            </w:r>
          </w:p>
          <w:p w14:paraId="3D64E4CB"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Pr>
                <w:bCs/>
                <w:sz w:val="20"/>
                <w:lang w:bidi="en-US"/>
              </w:rPr>
              <w:t>(</w:t>
            </w:r>
            <w:r w:rsidRPr="000F4F07">
              <w:rPr>
                <w:bCs/>
                <w:sz w:val="20"/>
                <w:lang w:bidi="en-US"/>
              </w:rPr>
              <w:t>MAGs</w:t>
            </w:r>
            <w:r>
              <w:rPr>
                <w:bCs/>
                <w:sz w:val="20"/>
                <w:lang w:bidi="en-US"/>
              </w:rPr>
              <w:t>)</w:t>
            </w:r>
            <w:r w:rsidRPr="000F4F07">
              <w:rPr>
                <w:bCs/>
                <w:sz w:val="20"/>
                <w:lang w:bidi="en-US"/>
              </w:rPr>
              <w:t xml:space="preserve"> </w:t>
            </w:r>
          </w:p>
        </w:tc>
        <w:tc>
          <w:tcPr>
            <w:tcW w:w="3240" w:type="dxa"/>
            <w:gridSpan w:val="3"/>
            <w:tcBorders>
              <w:top w:val="single" w:sz="4" w:space="0" w:color="auto"/>
              <w:left w:val="single" w:sz="8" w:space="0" w:color="auto"/>
              <w:bottom w:val="single" w:sz="4" w:space="0" w:color="auto"/>
              <w:right w:val="single" w:sz="8" w:space="0" w:color="auto"/>
            </w:tcBorders>
            <w:vAlign w:val="center"/>
          </w:tcPr>
          <w:p w14:paraId="62AA214D" w14:textId="77777777" w:rsidR="004B4C34" w:rsidRPr="000F4F07" w:rsidRDefault="004B4C34" w:rsidP="005408B9">
            <w:pPr>
              <w:spacing w:before="80" w:after="80"/>
              <w:rPr>
                <w:sz w:val="20"/>
              </w:rPr>
            </w:pPr>
            <w:r w:rsidRPr="00DF66B0">
              <w:rPr>
                <w:i/>
                <w:kern w:val="1"/>
                <w:sz w:val="20"/>
                <w:lang w:bidi="en-US"/>
              </w:rPr>
              <w:t>All</w:t>
            </w:r>
            <w:r w:rsidRPr="000F4F07">
              <w:rPr>
                <w:kern w:val="1"/>
                <w:sz w:val="20"/>
                <w:lang w:bidi="en-US"/>
              </w:rPr>
              <w:t xml:space="preserve"> MAGs are clearly described and explicitly linked to district and school-level data and needs analysis.</w:t>
            </w:r>
          </w:p>
        </w:tc>
        <w:tc>
          <w:tcPr>
            <w:tcW w:w="3420" w:type="dxa"/>
            <w:gridSpan w:val="3"/>
            <w:tcBorders>
              <w:top w:val="single" w:sz="8" w:space="0" w:color="auto"/>
              <w:left w:val="single" w:sz="8" w:space="0" w:color="auto"/>
              <w:bottom w:val="single" w:sz="4" w:space="0" w:color="auto"/>
              <w:right w:val="single" w:sz="8" w:space="0" w:color="auto"/>
            </w:tcBorders>
            <w:vAlign w:val="center"/>
          </w:tcPr>
          <w:p w14:paraId="33CC73D8"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DF66B0">
              <w:rPr>
                <w:i/>
                <w:kern w:val="1"/>
                <w:sz w:val="20"/>
                <w:lang w:bidi="en-US"/>
              </w:rPr>
              <w:t>Most</w:t>
            </w:r>
            <w:r w:rsidRPr="000F4F07">
              <w:rPr>
                <w:kern w:val="1"/>
                <w:sz w:val="20"/>
                <w:lang w:bidi="en-US"/>
              </w:rPr>
              <w:t xml:space="preserve"> MAGs are clearly described and explicitly linked to district and school-level data and needs analysis.</w:t>
            </w:r>
          </w:p>
        </w:tc>
        <w:tc>
          <w:tcPr>
            <w:tcW w:w="3420" w:type="dxa"/>
            <w:gridSpan w:val="3"/>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14:paraId="4584FC63"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DF66B0">
              <w:rPr>
                <w:i/>
                <w:kern w:val="1"/>
                <w:sz w:val="20"/>
                <w:lang w:bidi="en-US"/>
              </w:rPr>
              <w:t>Some</w:t>
            </w:r>
            <w:r w:rsidRPr="000F4F07">
              <w:rPr>
                <w:kern w:val="1"/>
                <w:sz w:val="20"/>
                <w:lang w:bidi="en-US"/>
              </w:rPr>
              <w:t xml:space="preserve"> of the MAGs are clearly described and generally linked to district and school-level data and needs analysis.</w:t>
            </w:r>
          </w:p>
        </w:tc>
        <w:tc>
          <w:tcPr>
            <w:tcW w:w="3510" w:type="dxa"/>
            <w:gridSpan w:val="3"/>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vAlign w:val="center"/>
          </w:tcPr>
          <w:p w14:paraId="19D3306B"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DF66B0">
              <w:rPr>
                <w:i/>
                <w:kern w:val="1"/>
                <w:sz w:val="20"/>
                <w:lang w:bidi="en-US"/>
              </w:rPr>
              <w:t>Few</w:t>
            </w:r>
            <w:r w:rsidRPr="000F4F07">
              <w:rPr>
                <w:kern w:val="1"/>
                <w:sz w:val="20"/>
                <w:lang w:bidi="en-US"/>
              </w:rPr>
              <w:t xml:space="preserve"> </w:t>
            </w:r>
            <w:r>
              <w:rPr>
                <w:kern w:val="1"/>
                <w:sz w:val="20"/>
                <w:lang w:bidi="en-US"/>
              </w:rPr>
              <w:t xml:space="preserve">or none </w:t>
            </w:r>
            <w:r w:rsidRPr="000F4F07">
              <w:rPr>
                <w:kern w:val="1"/>
                <w:sz w:val="20"/>
                <w:lang w:bidi="en-US"/>
              </w:rPr>
              <w:t>of the MAGs are clearly described and generally linked to district and school-level data and needs analysis</w:t>
            </w:r>
          </w:p>
        </w:tc>
      </w:tr>
      <w:tr w:rsidR="004B4C34" w:rsidRPr="00692FB4" w14:paraId="741823CA" w14:textId="77777777" w:rsidTr="005408B9">
        <w:trPr>
          <w:gridAfter w:val="2"/>
          <w:wAfter w:w="314" w:type="dxa"/>
          <w:trHeight w:val="1051"/>
          <w:jc w:val="center"/>
        </w:trPr>
        <w:tc>
          <w:tcPr>
            <w:tcW w:w="14862" w:type="dxa"/>
            <w:gridSpan w:val="1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AB8B83C" w14:textId="2E047FE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lang w:bidi="en-US"/>
              </w:rPr>
            </w:pPr>
            <w:r w:rsidRPr="00692FB4">
              <w:rPr>
                <w:b/>
                <w:bCs/>
                <w:sz w:val="20"/>
                <w:lang w:bidi="en-US"/>
              </w:rPr>
              <w:t>Strategic and Actionable Approach</w:t>
            </w:r>
          </w:p>
          <w:p w14:paraId="5B80B7CD"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u w:val="single"/>
                <w:lang w:bidi="en-US"/>
              </w:rPr>
              <w:t>Scoring Criteria</w:t>
            </w:r>
            <w:r w:rsidRPr="00692FB4">
              <w:rPr>
                <w:sz w:val="20"/>
                <w:lang w:bidi="en-US"/>
              </w:rPr>
              <w:t xml:space="preserve">: </w:t>
            </w:r>
            <w:r w:rsidRPr="00F81A1A">
              <w:rPr>
                <w:rFonts w:cs="Palatino-Roman"/>
                <w:sz w:val="20"/>
                <w:lang w:bidi="en-US"/>
              </w:rPr>
              <w:t>The extent to which the turnaround plan displays a strategic and well-thought out approach that will lead to rapid and sustainable improvement in targeted schools. A strategic and actionable plan includes, but is not limited to: (1) a theory of action or logic model, (2) key strategies and action steps that together affect each turnaround practice, and (3) specific benchmarks to track progress and a strategy for monitoring progress.</w:t>
            </w:r>
          </w:p>
        </w:tc>
      </w:tr>
      <w:tr w:rsidR="004B4C34" w:rsidRPr="00692FB4" w14:paraId="5DAFE5C9" w14:textId="77777777" w:rsidTr="005408B9">
        <w:tblPrEx>
          <w:tblBorders>
            <w:top w:val="none" w:sz="0" w:space="0" w:color="auto"/>
          </w:tblBorders>
        </w:tblPrEx>
        <w:trPr>
          <w:gridAfter w:val="2"/>
          <w:wAfter w:w="314" w:type="dxa"/>
          <w:trHeight w:val="277"/>
          <w:jc w:val="center"/>
        </w:trPr>
        <w:tc>
          <w:tcPr>
            <w:tcW w:w="1221" w:type="dxa"/>
            <w:gridSpan w:val="3"/>
            <w:tcBorders>
              <w:top w:val="single" w:sz="8" w:space="0" w:color="auto"/>
              <w:left w:val="single" w:sz="4" w:space="0" w:color="auto"/>
              <w:bottom w:val="single" w:sz="8" w:space="0" w:color="auto"/>
              <w:right w:val="single" w:sz="8" w:space="0" w:color="auto"/>
            </w:tcBorders>
          </w:tcPr>
          <w:p w14:paraId="5D21E0EF"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49"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7BF2808"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9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B6FBABB"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85B93A5"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C3BD039"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4B4C34" w:rsidRPr="00692FB4" w14:paraId="0938DA4D" w14:textId="77777777" w:rsidTr="005408B9">
        <w:tblPrEx>
          <w:tblBorders>
            <w:top w:val="none" w:sz="0" w:space="0" w:color="auto"/>
          </w:tblBorders>
        </w:tblPrEx>
        <w:trPr>
          <w:gridAfter w:val="2"/>
          <w:wAfter w:w="314" w:type="dxa"/>
          <w:trHeight w:val="1474"/>
          <w:jc w:val="center"/>
        </w:trPr>
        <w:tc>
          <w:tcPr>
            <w:tcW w:w="1221" w:type="dxa"/>
            <w:gridSpan w:val="3"/>
            <w:tcBorders>
              <w:top w:val="single" w:sz="8" w:space="0" w:color="auto"/>
              <w:left w:val="single" w:sz="4" w:space="0" w:color="auto"/>
              <w:bottom w:val="single" w:sz="8" w:space="0" w:color="auto"/>
              <w:right w:val="single" w:sz="8" w:space="0" w:color="auto"/>
            </w:tcBorders>
            <w:vAlign w:val="center"/>
          </w:tcPr>
          <w:p w14:paraId="400F2A02" w14:textId="77777777" w:rsidR="004B4C34" w:rsidRPr="000F4F07" w:rsidRDefault="004B4C34" w:rsidP="005408B9">
            <w:pPr>
              <w:widowControl w:val="0"/>
              <w:autoSpaceDE w:val="0"/>
              <w:autoSpaceDN w:val="0"/>
              <w:adjustRightInd w:val="0"/>
              <w:jc w:val="center"/>
              <w:rPr>
                <w:kern w:val="1"/>
                <w:sz w:val="20"/>
                <w:lang w:bidi="en-US"/>
              </w:rPr>
            </w:pPr>
            <w:r>
              <w:rPr>
                <w:kern w:val="1"/>
                <w:sz w:val="20"/>
                <w:lang w:bidi="en-US"/>
              </w:rPr>
              <w:t>16</w:t>
            </w:r>
            <w:r w:rsidRPr="000F4F07">
              <w:rPr>
                <w:kern w:val="1"/>
                <w:sz w:val="20"/>
                <w:lang w:bidi="en-US"/>
              </w:rPr>
              <w:t xml:space="preserve">: </w:t>
            </w:r>
          </w:p>
          <w:p w14:paraId="20CB6E56"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Theory of Action</w:t>
            </w:r>
          </w:p>
          <w:p w14:paraId="3754AA64" w14:textId="77777777" w:rsidR="004B4C34" w:rsidRPr="000F4F07" w:rsidRDefault="004B4C34" w:rsidP="005408B9">
            <w:pPr>
              <w:widowControl w:val="0"/>
              <w:autoSpaceDE w:val="0"/>
              <w:autoSpaceDN w:val="0"/>
              <w:adjustRightInd w:val="0"/>
              <w:jc w:val="center"/>
              <w:rPr>
                <w:kern w:val="1"/>
                <w:sz w:val="20"/>
                <w:lang w:bidi="en-US"/>
              </w:rPr>
            </w:pPr>
          </w:p>
        </w:tc>
        <w:tc>
          <w:tcPr>
            <w:tcW w:w="3449"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6198D4D"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0F4F07">
              <w:rPr>
                <w:sz w:val="20"/>
                <w:lang w:bidi="en-US"/>
              </w:rPr>
              <w:t xml:space="preserve">The plan describes a </w:t>
            </w:r>
            <w:r w:rsidRPr="00FD46D7">
              <w:rPr>
                <w:i/>
                <w:sz w:val="20"/>
                <w:lang w:bidi="en-US"/>
              </w:rPr>
              <w:t>detailed</w:t>
            </w:r>
            <w:r w:rsidRPr="000F4F07">
              <w:rPr>
                <w:sz w:val="20"/>
                <w:lang w:bidi="en-US"/>
              </w:rPr>
              <w:t xml:space="preserve"> and strategic theory of action focused on promoting rapid student achievement and building the school’s capacity to sust</w:t>
            </w:r>
            <w:r>
              <w:rPr>
                <w:sz w:val="20"/>
                <w:lang w:bidi="en-US"/>
              </w:rPr>
              <w:t>ain efforts</w:t>
            </w:r>
            <w:r w:rsidRPr="000F4F07">
              <w:rPr>
                <w:sz w:val="20"/>
                <w:lang w:bidi="en-US"/>
              </w:rPr>
              <w:t xml:space="preserve"> beyond the proposed funding schedule.  </w:t>
            </w:r>
          </w:p>
        </w:tc>
        <w:tc>
          <w:tcPr>
            <w:tcW w:w="339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D4EAE0B"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0F4F07">
              <w:rPr>
                <w:sz w:val="20"/>
                <w:lang w:bidi="en-US"/>
              </w:rPr>
              <w:t xml:space="preserve">The plan describes a </w:t>
            </w:r>
            <w:r w:rsidRPr="00FD46D7">
              <w:rPr>
                <w:i/>
                <w:sz w:val="20"/>
                <w:lang w:bidi="en-US"/>
              </w:rPr>
              <w:t>general</w:t>
            </w:r>
            <w:r w:rsidRPr="000F4F07">
              <w:rPr>
                <w:sz w:val="20"/>
                <w:lang w:bidi="en-US"/>
              </w:rPr>
              <w:t xml:space="preserve"> theory of action focused on promoting rapid student achievement and building the school’s capacity to sustain efforts beyond the proposed funding schedule.  </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E77CB7E"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0F4F07">
              <w:rPr>
                <w:sz w:val="20"/>
                <w:lang w:bidi="en-US"/>
              </w:rPr>
              <w:t>The plan’s theory of action is marginally focused on promoting rapid student achievement and building the school’s capacity to sustain efforts</w:t>
            </w:r>
            <w:r>
              <w:rPr>
                <w:sz w:val="20"/>
                <w:lang w:bidi="en-US"/>
              </w:rPr>
              <w:t xml:space="preserve"> </w:t>
            </w:r>
            <w:r w:rsidRPr="000F4F07">
              <w:rPr>
                <w:sz w:val="20"/>
                <w:lang w:bidi="en-US"/>
              </w:rPr>
              <w:t xml:space="preserve">beyond the proposed funding schedule. </w:t>
            </w:r>
          </w:p>
        </w:tc>
        <w:tc>
          <w:tcPr>
            <w:tcW w:w="338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44C65F0A" w14:textId="77777777" w:rsidR="004B4C34" w:rsidRPr="000F4F0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0F4F07">
              <w:rPr>
                <w:sz w:val="20"/>
                <w:lang w:bidi="en-US"/>
              </w:rPr>
              <w:t xml:space="preserve">The plan’s theory of action is not clearly focused on promoting rapid student achievement and building the school’s capacity to sustain efforts beyond the proposed funding schedule. </w:t>
            </w:r>
          </w:p>
        </w:tc>
      </w:tr>
      <w:tr w:rsidR="004B4C34" w:rsidRPr="00692FB4" w14:paraId="0B4090F7" w14:textId="77777777" w:rsidTr="005408B9">
        <w:tblPrEx>
          <w:tblBorders>
            <w:top w:val="none" w:sz="0" w:space="0" w:color="auto"/>
          </w:tblBorders>
        </w:tblPrEx>
        <w:trPr>
          <w:gridAfter w:val="2"/>
          <w:wAfter w:w="314" w:type="dxa"/>
          <w:trHeight w:val="5407"/>
          <w:jc w:val="center"/>
        </w:trPr>
        <w:tc>
          <w:tcPr>
            <w:tcW w:w="1221" w:type="dxa"/>
            <w:gridSpan w:val="3"/>
            <w:tcBorders>
              <w:top w:val="single" w:sz="8" w:space="0" w:color="auto"/>
              <w:left w:val="single" w:sz="4" w:space="0" w:color="auto"/>
              <w:bottom w:val="single" w:sz="8" w:space="0" w:color="auto"/>
              <w:right w:val="single" w:sz="8" w:space="0" w:color="auto"/>
            </w:tcBorders>
            <w:vAlign w:val="center"/>
          </w:tcPr>
          <w:p w14:paraId="651B8361" w14:textId="77777777" w:rsidR="004B4C34" w:rsidRPr="004B3A52" w:rsidRDefault="004B4C34" w:rsidP="005408B9">
            <w:pPr>
              <w:widowControl w:val="0"/>
              <w:autoSpaceDE w:val="0"/>
              <w:autoSpaceDN w:val="0"/>
              <w:adjustRightInd w:val="0"/>
              <w:jc w:val="center"/>
              <w:rPr>
                <w:kern w:val="1"/>
                <w:sz w:val="20"/>
                <w:lang w:bidi="en-US"/>
              </w:rPr>
            </w:pPr>
            <w:r>
              <w:rPr>
                <w:kern w:val="1"/>
                <w:sz w:val="20"/>
                <w:lang w:bidi="en-US"/>
              </w:rPr>
              <w:t>17</w:t>
            </w:r>
            <w:r w:rsidRPr="003439FF">
              <w:rPr>
                <w:kern w:val="1"/>
                <w:sz w:val="20"/>
                <w:lang w:bidi="en-US"/>
              </w:rPr>
              <w:t xml:space="preserve">: </w:t>
            </w:r>
          </w:p>
          <w:p w14:paraId="6B8BFE0C" w14:textId="77777777" w:rsidR="004B4C34" w:rsidRPr="004B3A52" w:rsidRDefault="004B4C34" w:rsidP="005408B9">
            <w:pPr>
              <w:widowControl w:val="0"/>
              <w:autoSpaceDE w:val="0"/>
              <w:autoSpaceDN w:val="0"/>
              <w:adjustRightInd w:val="0"/>
              <w:jc w:val="center"/>
              <w:rPr>
                <w:kern w:val="1"/>
                <w:sz w:val="20"/>
                <w:lang w:bidi="en-US"/>
              </w:rPr>
            </w:pPr>
            <w:r w:rsidRPr="003439FF">
              <w:rPr>
                <w:kern w:val="1"/>
                <w:sz w:val="20"/>
                <w:lang w:bidi="en-US"/>
              </w:rPr>
              <w:t>Intentional Practices for Improving Instruction</w:t>
            </w:r>
          </w:p>
          <w:p w14:paraId="749DFC15" w14:textId="77777777" w:rsidR="004B4C34" w:rsidRPr="004B3A52" w:rsidRDefault="004B4C34" w:rsidP="005408B9">
            <w:pPr>
              <w:widowControl w:val="0"/>
              <w:autoSpaceDE w:val="0"/>
              <w:autoSpaceDN w:val="0"/>
              <w:adjustRightInd w:val="0"/>
              <w:jc w:val="center"/>
              <w:rPr>
                <w:kern w:val="1"/>
                <w:sz w:val="20"/>
                <w:lang w:bidi="en-US"/>
              </w:rPr>
            </w:pPr>
          </w:p>
        </w:tc>
        <w:tc>
          <w:tcPr>
            <w:tcW w:w="3449"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BDC96DB" w14:textId="77777777" w:rsidR="004B4C34" w:rsidRPr="00AA039A" w:rsidRDefault="004B4C34" w:rsidP="005408B9">
            <w:pPr>
              <w:pStyle w:val="ListParagraph"/>
              <w:spacing w:before="40" w:after="40"/>
              <w:ind w:left="0"/>
              <w:rPr>
                <w:lang w:bidi="en-US"/>
              </w:rPr>
            </w:pPr>
            <w:r>
              <w:rPr>
                <w:lang w:bidi="en-US"/>
              </w:rPr>
              <w:t xml:space="preserve">The </w:t>
            </w:r>
            <w:r w:rsidRPr="00AA039A">
              <w:rPr>
                <w:lang w:bidi="en-US"/>
              </w:rPr>
              <w:t xml:space="preserve">application clearly describes how school leadership has defined a clear instructional focus and shared expectations for instructional practice, and that directly address </w:t>
            </w:r>
            <w:r w:rsidRPr="00AA039A">
              <w:rPr>
                <w:b/>
                <w:lang w:bidi="en-US"/>
              </w:rPr>
              <w:t xml:space="preserve">each </w:t>
            </w:r>
            <w:r w:rsidRPr="00AA039A">
              <w:rPr>
                <w:lang w:bidi="en-US"/>
              </w:rPr>
              <w:t>of the following:</w:t>
            </w:r>
          </w:p>
          <w:p w14:paraId="089438B0" w14:textId="77777777" w:rsidR="004B4C34" w:rsidRPr="00AA039A" w:rsidRDefault="004B4C34" w:rsidP="004B4C34">
            <w:pPr>
              <w:pStyle w:val="ListParagraph"/>
              <w:numPr>
                <w:ilvl w:val="0"/>
                <w:numId w:val="13"/>
              </w:numPr>
              <w:spacing w:before="40" w:after="40"/>
              <w:ind w:left="256" w:hanging="256"/>
              <w:contextualSpacing/>
              <w:rPr>
                <w:lang w:bidi="en-US"/>
              </w:rPr>
            </w:pPr>
            <w:r w:rsidRPr="00AA039A">
              <w:rPr>
                <w:lang w:bidi="en-US"/>
              </w:rPr>
              <w:t>The student need the focus addresses</w:t>
            </w:r>
          </w:p>
          <w:p w14:paraId="394F656B" w14:textId="77777777" w:rsidR="004B4C34" w:rsidRPr="00AA039A" w:rsidRDefault="004B4C34" w:rsidP="004B4C34">
            <w:pPr>
              <w:pStyle w:val="ListParagraph"/>
              <w:numPr>
                <w:ilvl w:val="0"/>
                <w:numId w:val="13"/>
              </w:numPr>
              <w:spacing w:before="40" w:after="40"/>
              <w:ind w:left="256" w:hanging="256"/>
              <w:contextualSpacing/>
              <w:rPr>
                <w:lang w:bidi="en-US"/>
              </w:rPr>
            </w:pPr>
            <w:r w:rsidRPr="00AA039A">
              <w:rPr>
                <w:lang w:bidi="en-US"/>
              </w:rPr>
              <w:t>The data used to identify and monitor goals in a way that promotes rigor and maintains high expectations for adults and students.</w:t>
            </w:r>
          </w:p>
          <w:p w14:paraId="35F29D87" w14:textId="77777777" w:rsidR="004B4C34" w:rsidRPr="00AA039A" w:rsidRDefault="004B4C34" w:rsidP="004B4C34">
            <w:pPr>
              <w:pStyle w:val="ListParagraph"/>
              <w:numPr>
                <w:ilvl w:val="0"/>
                <w:numId w:val="13"/>
              </w:numPr>
              <w:spacing w:before="40" w:after="40"/>
              <w:ind w:left="256" w:hanging="256"/>
              <w:contextualSpacing/>
              <w:rPr>
                <w:lang w:bidi="en-US"/>
              </w:rPr>
            </w:pPr>
            <w:r w:rsidRPr="00AA039A">
              <w:rPr>
                <w:lang w:bidi="en-US"/>
              </w:rPr>
              <w:t>How the school ensures that all staff understand and can apply instructional practices</w:t>
            </w:r>
          </w:p>
          <w:p w14:paraId="37920DD9" w14:textId="77777777" w:rsidR="004B4C34" w:rsidRPr="00AA039A" w:rsidRDefault="004B4C34" w:rsidP="004B4C34">
            <w:pPr>
              <w:pStyle w:val="ListParagraph"/>
              <w:numPr>
                <w:ilvl w:val="0"/>
                <w:numId w:val="13"/>
              </w:numPr>
              <w:spacing w:before="40" w:after="40"/>
              <w:ind w:left="256" w:hanging="256"/>
              <w:contextualSpacing/>
              <w:rPr>
                <w:lang w:bidi="en-US"/>
              </w:rPr>
            </w:pPr>
            <w:r w:rsidRPr="00AA039A">
              <w:rPr>
                <w:lang w:bidi="en-US"/>
              </w:rPr>
              <w:t>How instruction will be aligned to state standards (MA Curriculum Frameworks) and delivered in a way that is rigorous, differentiated, engaging, and relevant to students</w:t>
            </w:r>
          </w:p>
          <w:p w14:paraId="792A1472" w14:textId="77777777" w:rsidR="004B4C34" w:rsidRPr="00FD46D7" w:rsidRDefault="004B4C34" w:rsidP="004B4C34">
            <w:pPr>
              <w:pStyle w:val="ListParagraph"/>
              <w:numPr>
                <w:ilvl w:val="0"/>
                <w:numId w:val="13"/>
              </w:numPr>
              <w:spacing w:before="40" w:after="40"/>
              <w:ind w:left="256" w:hanging="256"/>
              <w:contextualSpacing/>
              <w:rPr>
                <w:lang w:bidi="en-US"/>
              </w:rPr>
            </w:pPr>
            <w:r w:rsidRPr="00AA039A">
              <w:rPr>
                <w:lang w:bidi="en-US"/>
              </w:rPr>
              <w:t>How the school schedule is maximized to ensure all students receive a well-rounded course of studies</w:t>
            </w:r>
          </w:p>
        </w:tc>
        <w:tc>
          <w:tcPr>
            <w:tcW w:w="339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E5F58B7" w14:textId="77777777" w:rsidR="004B4C34" w:rsidRPr="00AA039A" w:rsidRDefault="004B4C34" w:rsidP="005408B9">
            <w:pPr>
              <w:pStyle w:val="ListParagraph"/>
              <w:spacing w:before="40" w:after="40"/>
              <w:ind w:left="0"/>
              <w:rPr>
                <w:lang w:bidi="en-US"/>
              </w:rPr>
            </w:pPr>
            <w:r>
              <w:rPr>
                <w:lang w:bidi="en-US"/>
              </w:rPr>
              <w:t xml:space="preserve">The </w:t>
            </w:r>
            <w:r w:rsidRPr="00AA039A">
              <w:rPr>
                <w:lang w:bidi="en-US"/>
              </w:rPr>
              <w:t xml:space="preserve">application generally describes how school leadership has defined a clear instructional focus and shared expectations for instructional practice, and that generally address </w:t>
            </w:r>
            <w:r w:rsidRPr="00AA039A">
              <w:rPr>
                <w:b/>
                <w:lang w:bidi="en-US"/>
              </w:rPr>
              <w:t>each</w:t>
            </w:r>
            <w:r w:rsidRPr="00AA039A">
              <w:rPr>
                <w:lang w:bidi="en-US"/>
              </w:rPr>
              <w:t xml:space="preserve"> of the following:</w:t>
            </w:r>
          </w:p>
          <w:p w14:paraId="0ADB55B3"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The student need the focus addresses</w:t>
            </w:r>
          </w:p>
          <w:p w14:paraId="1B73791D"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The data used to identify and monitor goals in a way that promotes rigor and maintains high expectations for adults and students.</w:t>
            </w:r>
          </w:p>
          <w:p w14:paraId="37FA1325"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How the school ensures that all staff understand and can apply instructional practices</w:t>
            </w:r>
          </w:p>
          <w:p w14:paraId="0FBD4278"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How instruction will be aligned to state standards (MA Curriculum Frameworks) and delivered in a way that is rigorous, differentiated, engaging, and relevant to students</w:t>
            </w:r>
          </w:p>
          <w:p w14:paraId="6AABA8C4"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How the school schedule is maximized to ensure all students receive a well-rounded course of studies</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67669BA" w14:textId="77777777" w:rsidR="004B4C34" w:rsidRPr="00AA039A" w:rsidRDefault="004B4C34" w:rsidP="005408B9">
            <w:pPr>
              <w:pStyle w:val="ListParagraph"/>
              <w:spacing w:before="40" w:after="40"/>
              <w:ind w:left="0"/>
              <w:rPr>
                <w:lang w:bidi="en-US"/>
              </w:rPr>
            </w:pPr>
            <w:r>
              <w:rPr>
                <w:lang w:bidi="en-US"/>
              </w:rPr>
              <w:t xml:space="preserve">The </w:t>
            </w:r>
            <w:r w:rsidRPr="00AA039A">
              <w:rPr>
                <w:lang w:bidi="en-US"/>
              </w:rPr>
              <w:t xml:space="preserve">application generally describes how school leadership has defined a clear instructional focus and shared expectations for instructional practice, and that generally addressed </w:t>
            </w:r>
            <w:r w:rsidRPr="00AA039A">
              <w:rPr>
                <w:b/>
                <w:lang w:bidi="en-US"/>
              </w:rPr>
              <w:t xml:space="preserve">some but not all (at least 3) </w:t>
            </w:r>
            <w:r w:rsidRPr="00AA039A">
              <w:rPr>
                <w:lang w:bidi="en-US"/>
              </w:rPr>
              <w:t>of the following:</w:t>
            </w:r>
          </w:p>
          <w:p w14:paraId="17C2EE72"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The student need the focus addresses</w:t>
            </w:r>
          </w:p>
          <w:p w14:paraId="2C425824"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The data used to identify and monitor goals in a way that promotes rigor and maintains high expectations for adults and students.</w:t>
            </w:r>
          </w:p>
          <w:p w14:paraId="083C36EC"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How the school ensures that all staff understand and can apply instructional practices</w:t>
            </w:r>
          </w:p>
          <w:p w14:paraId="0913A70C"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How instruction will be aligned to state standards (MA Curriculum Frameworks) and delivered in a way that is rigorous, differentiated, engaging, and relevant to students</w:t>
            </w:r>
          </w:p>
          <w:p w14:paraId="51FC2A63" w14:textId="77777777" w:rsidR="004B4C34" w:rsidRPr="00AA039A" w:rsidRDefault="004B4C34" w:rsidP="004B4C34">
            <w:pPr>
              <w:pStyle w:val="ListParagraph"/>
              <w:numPr>
                <w:ilvl w:val="0"/>
                <w:numId w:val="13"/>
              </w:numPr>
              <w:spacing w:before="40" w:after="40"/>
              <w:ind w:left="196" w:hanging="196"/>
              <w:contextualSpacing/>
              <w:rPr>
                <w:lang w:bidi="en-US"/>
              </w:rPr>
            </w:pPr>
            <w:r w:rsidRPr="00AA039A">
              <w:rPr>
                <w:lang w:bidi="en-US"/>
              </w:rPr>
              <w:t>How the school schedule is maximized to ensure all students receive a well-rounded course of studies</w:t>
            </w:r>
          </w:p>
        </w:tc>
        <w:tc>
          <w:tcPr>
            <w:tcW w:w="338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1F2E630" w14:textId="77777777" w:rsidR="004B4C34" w:rsidRPr="00AA039A" w:rsidRDefault="004B4C34" w:rsidP="005408B9">
            <w:pPr>
              <w:pStyle w:val="ListParagraph"/>
              <w:spacing w:before="40" w:after="40"/>
              <w:ind w:left="0"/>
              <w:rPr>
                <w:lang w:bidi="en-US"/>
              </w:rPr>
            </w:pPr>
            <w:r>
              <w:rPr>
                <w:lang w:bidi="en-US"/>
              </w:rPr>
              <w:t xml:space="preserve">The </w:t>
            </w:r>
            <w:r w:rsidRPr="00AA039A">
              <w:rPr>
                <w:lang w:bidi="en-US"/>
              </w:rPr>
              <w:t xml:space="preserve">application provides a limited description of how school leadership has defined a clear instructional focus and shared expectations for instructional practice, </w:t>
            </w:r>
            <w:r w:rsidRPr="00AA039A">
              <w:rPr>
                <w:b/>
                <w:lang w:bidi="en-US"/>
              </w:rPr>
              <w:t xml:space="preserve">or only address two (2) of the </w:t>
            </w:r>
            <w:r w:rsidRPr="00AA039A">
              <w:rPr>
                <w:lang w:bidi="en-US"/>
              </w:rPr>
              <w:t>following:</w:t>
            </w:r>
            <w:r w:rsidRPr="00AA039A">
              <w:rPr>
                <w:b/>
                <w:lang w:bidi="en-US"/>
              </w:rPr>
              <w:t xml:space="preserve"> </w:t>
            </w:r>
          </w:p>
          <w:p w14:paraId="6E75B18D" w14:textId="77777777" w:rsidR="004B4C34" w:rsidRPr="00AA039A" w:rsidRDefault="004B4C34" w:rsidP="004B4C34">
            <w:pPr>
              <w:pStyle w:val="ListParagraph"/>
              <w:numPr>
                <w:ilvl w:val="0"/>
                <w:numId w:val="13"/>
              </w:numPr>
              <w:tabs>
                <w:tab w:val="center" w:pos="4320"/>
                <w:tab w:val="right" w:pos="8640"/>
              </w:tabs>
              <w:spacing w:before="40" w:after="40"/>
              <w:ind w:left="256" w:hanging="256"/>
              <w:contextualSpacing/>
              <w:rPr>
                <w:lang w:bidi="en-US"/>
              </w:rPr>
            </w:pPr>
            <w:r w:rsidRPr="00AA039A">
              <w:rPr>
                <w:lang w:bidi="en-US"/>
              </w:rPr>
              <w:t>The student need the focus addresses</w:t>
            </w:r>
          </w:p>
          <w:p w14:paraId="34296090" w14:textId="77777777" w:rsidR="004B4C34" w:rsidRPr="00AA039A" w:rsidRDefault="004B4C34" w:rsidP="004B4C34">
            <w:pPr>
              <w:pStyle w:val="ListParagraph"/>
              <w:numPr>
                <w:ilvl w:val="0"/>
                <w:numId w:val="13"/>
              </w:numPr>
              <w:tabs>
                <w:tab w:val="center" w:pos="4320"/>
                <w:tab w:val="right" w:pos="8640"/>
              </w:tabs>
              <w:spacing w:before="40" w:after="40"/>
              <w:ind w:left="256" w:hanging="256"/>
              <w:contextualSpacing/>
              <w:rPr>
                <w:lang w:bidi="en-US"/>
              </w:rPr>
            </w:pPr>
            <w:r w:rsidRPr="00AA039A">
              <w:rPr>
                <w:lang w:bidi="en-US"/>
              </w:rPr>
              <w:t>The data used to identify and monitor goals in a way that promotes rigor and maintains high expectations for adults and students.</w:t>
            </w:r>
          </w:p>
          <w:p w14:paraId="326A5559" w14:textId="77777777" w:rsidR="004B4C34" w:rsidRPr="00AA039A" w:rsidRDefault="004B4C34" w:rsidP="004B4C34">
            <w:pPr>
              <w:pStyle w:val="ListParagraph"/>
              <w:numPr>
                <w:ilvl w:val="0"/>
                <w:numId w:val="13"/>
              </w:numPr>
              <w:tabs>
                <w:tab w:val="center" w:pos="4320"/>
                <w:tab w:val="right" w:pos="8640"/>
              </w:tabs>
              <w:spacing w:before="40" w:after="40"/>
              <w:ind w:left="256" w:hanging="256"/>
              <w:contextualSpacing/>
              <w:rPr>
                <w:lang w:bidi="en-US"/>
              </w:rPr>
            </w:pPr>
            <w:r w:rsidRPr="00AA039A">
              <w:rPr>
                <w:lang w:bidi="en-US"/>
              </w:rPr>
              <w:t>How the school ensures that all staff understand and can apply instructional practices</w:t>
            </w:r>
          </w:p>
          <w:p w14:paraId="3458F36D" w14:textId="77777777" w:rsidR="004B4C34" w:rsidRPr="00AA039A" w:rsidRDefault="004B4C34" w:rsidP="004B4C34">
            <w:pPr>
              <w:pStyle w:val="ListParagraph"/>
              <w:numPr>
                <w:ilvl w:val="0"/>
                <w:numId w:val="13"/>
              </w:numPr>
              <w:tabs>
                <w:tab w:val="center" w:pos="4320"/>
                <w:tab w:val="right" w:pos="8640"/>
              </w:tabs>
              <w:spacing w:before="40" w:after="40"/>
              <w:ind w:left="256" w:hanging="256"/>
              <w:contextualSpacing/>
              <w:rPr>
                <w:lang w:bidi="en-US"/>
              </w:rPr>
            </w:pPr>
            <w:r w:rsidRPr="00AA039A">
              <w:rPr>
                <w:lang w:bidi="en-US"/>
              </w:rPr>
              <w:t>How instruction will be aligned to state standards (MA Curriculum Frameworks) and delivered in a way that is rigorous, differentiated, engaging, and relevant to students</w:t>
            </w:r>
          </w:p>
          <w:p w14:paraId="537F69FF" w14:textId="77777777" w:rsidR="004B4C34" w:rsidRDefault="004B4C34" w:rsidP="004B4C34">
            <w:pPr>
              <w:pStyle w:val="ListParagraph"/>
              <w:numPr>
                <w:ilvl w:val="0"/>
                <w:numId w:val="13"/>
              </w:numPr>
              <w:tabs>
                <w:tab w:val="center" w:pos="4320"/>
                <w:tab w:val="right" w:pos="8640"/>
              </w:tabs>
              <w:spacing w:before="40" w:after="40"/>
              <w:ind w:left="256" w:hanging="256"/>
              <w:contextualSpacing/>
              <w:rPr>
                <w:lang w:bidi="en-US"/>
              </w:rPr>
            </w:pPr>
            <w:r w:rsidRPr="00AA039A">
              <w:rPr>
                <w:lang w:bidi="en-US"/>
              </w:rPr>
              <w:t>How the school schedule is maximized to ensure all students receive a well-rounded course of studies</w:t>
            </w:r>
          </w:p>
          <w:p w14:paraId="5D958697" w14:textId="77777777" w:rsidR="004B4C34" w:rsidRDefault="004B4C34" w:rsidP="005408B9">
            <w:pPr>
              <w:pStyle w:val="ListParagraph"/>
              <w:tabs>
                <w:tab w:val="center" w:pos="4320"/>
                <w:tab w:val="right" w:pos="8640"/>
              </w:tabs>
              <w:spacing w:before="40" w:after="40"/>
              <w:ind w:left="256"/>
              <w:rPr>
                <w:lang w:bidi="en-US"/>
              </w:rPr>
            </w:pPr>
          </w:p>
          <w:p w14:paraId="5582D269" w14:textId="77777777" w:rsidR="00862692" w:rsidRDefault="00862692" w:rsidP="005408B9">
            <w:pPr>
              <w:pStyle w:val="ListParagraph"/>
              <w:tabs>
                <w:tab w:val="center" w:pos="4320"/>
                <w:tab w:val="right" w:pos="8640"/>
              </w:tabs>
              <w:spacing w:before="40" w:after="40"/>
              <w:ind w:left="256"/>
              <w:rPr>
                <w:lang w:bidi="en-US"/>
              </w:rPr>
            </w:pPr>
          </w:p>
          <w:p w14:paraId="12873791" w14:textId="77777777" w:rsidR="00862692" w:rsidRDefault="00862692" w:rsidP="005408B9">
            <w:pPr>
              <w:pStyle w:val="ListParagraph"/>
              <w:tabs>
                <w:tab w:val="center" w:pos="4320"/>
                <w:tab w:val="right" w:pos="8640"/>
              </w:tabs>
              <w:spacing w:before="40" w:after="40"/>
              <w:ind w:left="256"/>
              <w:rPr>
                <w:lang w:bidi="en-US"/>
              </w:rPr>
            </w:pPr>
          </w:p>
          <w:p w14:paraId="1D319058" w14:textId="77777777" w:rsidR="00862692" w:rsidRDefault="00862692" w:rsidP="005408B9">
            <w:pPr>
              <w:pStyle w:val="ListParagraph"/>
              <w:tabs>
                <w:tab w:val="center" w:pos="4320"/>
                <w:tab w:val="right" w:pos="8640"/>
              </w:tabs>
              <w:spacing w:before="40" w:after="40"/>
              <w:ind w:left="256"/>
              <w:rPr>
                <w:lang w:bidi="en-US"/>
              </w:rPr>
            </w:pPr>
          </w:p>
          <w:p w14:paraId="5A124DD3" w14:textId="372B8F9F" w:rsidR="00862692" w:rsidRPr="00AA039A" w:rsidRDefault="00862692" w:rsidP="005408B9">
            <w:pPr>
              <w:pStyle w:val="ListParagraph"/>
              <w:tabs>
                <w:tab w:val="center" w:pos="4320"/>
                <w:tab w:val="right" w:pos="8640"/>
              </w:tabs>
              <w:spacing w:before="40" w:after="40"/>
              <w:ind w:left="256"/>
              <w:rPr>
                <w:lang w:bidi="en-US"/>
              </w:rPr>
            </w:pPr>
          </w:p>
        </w:tc>
      </w:tr>
      <w:tr w:rsidR="004B4C34" w:rsidRPr="00692FB4" w14:paraId="6DD5BE6B" w14:textId="77777777" w:rsidTr="005408B9">
        <w:tblPrEx>
          <w:tblBorders>
            <w:top w:val="none" w:sz="0" w:space="0" w:color="auto"/>
          </w:tblBorders>
        </w:tblPrEx>
        <w:trPr>
          <w:gridAfter w:val="2"/>
          <w:wAfter w:w="314" w:type="dxa"/>
          <w:trHeight w:val="223"/>
          <w:jc w:val="center"/>
        </w:trPr>
        <w:tc>
          <w:tcPr>
            <w:tcW w:w="1221" w:type="dxa"/>
            <w:gridSpan w:val="3"/>
            <w:tcBorders>
              <w:top w:val="single" w:sz="8" w:space="0" w:color="auto"/>
              <w:left w:val="single" w:sz="4" w:space="0" w:color="auto"/>
              <w:bottom w:val="single" w:sz="8" w:space="0" w:color="auto"/>
              <w:right w:val="single" w:sz="8" w:space="0" w:color="auto"/>
            </w:tcBorders>
            <w:shd w:val="clear" w:color="auto" w:fill="auto"/>
          </w:tcPr>
          <w:p w14:paraId="47060A21"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49"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DBF68E2"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9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3277839"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C3BFF8B"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4C7535D"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4B4C34" w:rsidRPr="00AA039A" w14:paraId="01654515" w14:textId="77777777" w:rsidTr="005408B9">
        <w:tblPrEx>
          <w:tblBorders>
            <w:top w:val="none" w:sz="0" w:space="0" w:color="auto"/>
          </w:tblBorders>
        </w:tblPrEx>
        <w:trPr>
          <w:gridAfter w:val="2"/>
          <w:wAfter w:w="314" w:type="dxa"/>
          <w:trHeight w:val="1078"/>
          <w:jc w:val="center"/>
        </w:trPr>
        <w:tc>
          <w:tcPr>
            <w:tcW w:w="1221" w:type="dxa"/>
            <w:gridSpan w:val="3"/>
            <w:tcBorders>
              <w:top w:val="single" w:sz="8" w:space="0" w:color="auto"/>
              <w:left w:val="single" w:sz="4" w:space="0" w:color="auto"/>
              <w:bottom w:val="single" w:sz="8" w:space="0" w:color="auto"/>
              <w:right w:val="single" w:sz="8" w:space="0" w:color="auto"/>
            </w:tcBorders>
            <w:shd w:val="clear" w:color="auto" w:fill="auto"/>
            <w:vAlign w:val="center"/>
          </w:tcPr>
          <w:p w14:paraId="3BF71272" w14:textId="77777777" w:rsidR="004B4C34" w:rsidRPr="004B3A52" w:rsidRDefault="004B4C34" w:rsidP="005408B9">
            <w:pPr>
              <w:widowControl w:val="0"/>
              <w:autoSpaceDE w:val="0"/>
              <w:autoSpaceDN w:val="0"/>
              <w:adjustRightInd w:val="0"/>
              <w:jc w:val="center"/>
              <w:rPr>
                <w:kern w:val="1"/>
                <w:sz w:val="20"/>
                <w:lang w:bidi="en-US"/>
              </w:rPr>
            </w:pPr>
            <w:r>
              <w:rPr>
                <w:kern w:val="1"/>
                <w:sz w:val="20"/>
                <w:lang w:bidi="en-US"/>
              </w:rPr>
              <w:t>18</w:t>
            </w:r>
            <w:r w:rsidRPr="003439FF">
              <w:rPr>
                <w:kern w:val="1"/>
                <w:sz w:val="20"/>
                <w:lang w:bidi="en-US"/>
              </w:rPr>
              <w:t xml:space="preserve">: </w:t>
            </w:r>
          </w:p>
          <w:p w14:paraId="108B77C2" w14:textId="77777777" w:rsidR="004B4C34" w:rsidRPr="004B3A52" w:rsidRDefault="004B4C34" w:rsidP="005408B9">
            <w:pPr>
              <w:widowControl w:val="0"/>
              <w:autoSpaceDE w:val="0"/>
              <w:autoSpaceDN w:val="0"/>
              <w:adjustRightInd w:val="0"/>
              <w:jc w:val="center"/>
              <w:rPr>
                <w:kern w:val="1"/>
                <w:sz w:val="20"/>
                <w:lang w:bidi="en-US"/>
              </w:rPr>
            </w:pPr>
            <w:r w:rsidRPr="003439FF">
              <w:rPr>
                <w:kern w:val="1"/>
                <w:sz w:val="20"/>
                <w:lang w:bidi="en-US"/>
              </w:rPr>
              <w:t>Tiered Academic and Non-Academic Supports</w:t>
            </w:r>
          </w:p>
        </w:tc>
        <w:tc>
          <w:tcPr>
            <w:tcW w:w="3449"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17E06DF" w14:textId="77777777" w:rsidR="004B4C34" w:rsidRPr="00AA039A" w:rsidRDefault="004B4C34" w:rsidP="005408B9">
            <w:pPr>
              <w:spacing w:before="40" w:after="40"/>
              <w:ind w:left="-14"/>
              <w:rPr>
                <w:sz w:val="20"/>
                <w:lang w:bidi="en-US"/>
              </w:rPr>
            </w:pPr>
            <w:r w:rsidRPr="00AA039A">
              <w:rPr>
                <w:sz w:val="20"/>
                <w:lang w:bidi="en-US"/>
              </w:rPr>
              <w:t xml:space="preserve">The application provides </w:t>
            </w:r>
            <w:r w:rsidRPr="00FD46D7">
              <w:rPr>
                <w:i/>
                <w:sz w:val="20"/>
                <w:lang w:bidi="en-US"/>
              </w:rPr>
              <w:t>detailed</w:t>
            </w:r>
            <w:r w:rsidRPr="00AA039A">
              <w:rPr>
                <w:sz w:val="20"/>
                <w:lang w:bidi="en-US"/>
              </w:rPr>
              <w:t xml:space="preserve"> evidence that the school has developed and is improving its system to identify and provide targeted supports for students’ academic and non-academi</w:t>
            </w:r>
            <w:r>
              <w:rPr>
                <w:sz w:val="20"/>
                <w:lang w:bidi="en-US"/>
              </w:rPr>
              <w:t>c needs, and directly improving</w:t>
            </w:r>
            <w:r w:rsidRPr="00AA039A">
              <w:rPr>
                <w:sz w:val="20"/>
                <w:lang w:bidi="en-US"/>
              </w:rPr>
              <w:t xml:space="preserve"> </w:t>
            </w:r>
            <w:r w:rsidRPr="00AA039A">
              <w:rPr>
                <w:b/>
                <w:sz w:val="20"/>
                <w:lang w:bidi="en-US"/>
              </w:rPr>
              <w:t>each</w:t>
            </w:r>
            <w:r w:rsidRPr="00AA039A">
              <w:rPr>
                <w:sz w:val="20"/>
                <w:lang w:bidi="en-US"/>
              </w:rPr>
              <w:t xml:space="preserve"> of the following:</w:t>
            </w:r>
          </w:p>
          <w:p w14:paraId="6ADA7818" w14:textId="77777777" w:rsidR="004B4C34" w:rsidRPr="00AA039A" w:rsidRDefault="004B4C34" w:rsidP="004B4C34">
            <w:pPr>
              <w:pStyle w:val="ListParagraph"/>
              <w:numPr>
                <w:ilvl w:val="0"/>
                <w:numId w:val="14"/>
              </w:numPr>
              <w:spacing w:before="40" w:after="40"/>
              <w:ind w:left="256" w:hanging="198"/>
              <w:contextualSpacing/>
              <w:rPr>
                <w:lang w:bidi="en-US"/>
              </w:rPr>
            </w:pPr>
            <w:r w:rsidRPr="00AA039A">
              <w:rPr>
                <w:lang w:bidi="en-US"/>
              </w:rPr>
              <w:t>using a variety of ongoing assessments to identify student needs</w:t>
            </w:r>
          </w:p>
          <w:p w14:paraId="5A3E1DD0" w14:textId="77777777" w:rsidR="004B4C34" w:rsidRPr="00AA039A" w:rsidRDefault="004B4C34" w:rsidP="004B4C34">
            <w:pPr>
              <w:pStyle w:val="ListParagraph"/>
              <w:numPr>
                <w:ilvl w:val="0"/>
                <w:numId w:val="14"/>
              </w:numPr>
              <w:spacing w:before="40" w:after="40"/>
              <w:ind w:left="256" w:hanging="198"/>
              <w:contextualSpacing/>
              <w:rPr>
                <w:lang w:bidi="en-US"/>
              </w:rPr>
            </w:pPr>
            <w:r w:rsidRPr="00AA039A">
              <w:rPr>
                <w:lang w:bidi="en-US"/>
              </w:rPr>
              <w:t>providing student-specific interventions, enrichments, and supports</w:t>
            </w:r>
          </w:p>
          <w:p w14:paraId="1C0AA063" w14:textId="77777777" w:rsidR="004B4C34" w:rsidRPr="00AA039A" w:rsidRDefault="004B4C34" w:rsidP="004B4C34">
            <w:pPr>
              <w:pStyle w:val="ListParagraph"/>
              <w:numPr>
                <w:ilvl w:val="0"/>
                <w:numId w:val="14"/>
              </w:numPr>
              <w:spacing w:before="40" w:after="40"/>
              <w:ind w:left="256" w:hanging="198"/>
              <w:contextualSpacing/>
              <w:rPr>
                <w:lang w:bidi="en-US"/>
              </w:rPr>
            </w:pPr>
            <w:r w:rsidRPr="00AA039A">
              <w:rPr>
                <w:lang w:bidi="en-US"/>
              </w:rPr>
              <w:t>monitoring the impact of both academic and social/emotional interventions</w:t>
            </w:r>
          </w:p>
          <w:p w14:paraId="5EB7B80D" w14:textId="77777777" w:rsidR="004B4C34" w:rsidRPr="00AA039A" w:rsidRDefault="004B4C34" w:rsidP="004B4C34">
            <w:pPr>
              <w:pStyle w:val="ListParagraph"/>
              <w:numPr>
                <w:ilvl w:val="0"/>
                <w:numId w:val="14"/>
              </w:numPr>
              <w:spacing w:before="40" w:after="40"/>
              <w:ind w:left="256" w:hanging="198"/>
              <w:contextualSpacing/>
              <w:rPr>
                <w:lang w:bidi="en-US"/>
              </w:rPr>
            </w:pPr>
            <w:r w:rsidRPr="00AA039A">
              <w:rPr>
                <w:lang w:bidi="en-US"/>
              </w:rPr>
              <w:t>adapting and modifying structures and resources to improve both core and targeted supports</w:t>
            </w:r>
          </w:p>
        </w:tc>
        <w:tc>
          <w:tcPr>
            <w:tcW w:w="339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91CAC81" w14:textId="77777777" w:rsidR="004B4C34" w:rsidRPr="00AA039A" w:rsidRDefault="004B4C34" w:rsidP="005408B9">
            <w:pPr>
              <w:spacing w:before="40" w:after="40"/>
              <w:rPr>
                <w:sz w:val="20"/>
                <w:lang w:bidi="en-US"/>
              </w:rPr>
            </w:pPr>
            <w:r w:rsidRPr="00AA039A">
              <w:rPr>
                <w:sz w:val="20"/>
                <w:lang w:bidi="en-US"/>
              </w:rPr>
              <w:t xml:space="preserve">The application </w:t>
            </w:r>
            <w:r w:rsidRPr="00FD46D7">
              <w:rPr>
                <w:i/>
                <w:sz w:val="20"/>
                <w:lang w:bidi="en-US"/>
              </w:rPr>
              <w:t>generally</w:t>
            </w:r>
            <w:r w:rsidRPr="00AA039A">
              <w:rPr>
                <w:sz w:val="20"/>
                <w:lang w:bidi="en-US"/>
              </w:rPr>
              <w:t xml:space="preserve"> describes how the school has developed and is improving its system to identify and provide targeted supports for students’ academic and non-academic needs, including at least general descriptions of </w:t>
            </w:r>
            <w:r w:rsidRPr="00AA039A">
              <w:rPr>
                <w:b/>
                <w:sz w:val="20"/>
                <w:lang w:bidi="en-US"/>
              </w:rPr>
              <w:t xml:space="preserve">each </w:t>
            </w:r>
            <w:r w:rsidRPr="00AA039A">
              <w:rPr>
                <w:sz w:val="20"/>
                <w:lang w:bidi="en-US"/>
              </w:rPr>
              <w:t>of the following:</w:t>
            </w:r>
          </w:p>
          <w:p w14:paraId="6C12AC46"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using a variety of ongoing assessments to identify student needs</w:t>
            </w:r>
          </w:p>
          <w:p w14:paraId="2367EA59"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providing student-specific interventions, enrichments, and supports</w:t>
            </w:r>
          </w:p>
          <w:p w14:paraId="649627FB"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monitoring the impact of both academic and social/emotional interventions</w:t>
            </w:r>
          </w:p>
          <w:p w14:paraId="6F88A53E"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adapting and modifying structures and resources to improve both core and targeted supports</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8382C4A" w14:textId="77777777" w:rsidR="004B4C34" w:rsidRPr="00AA039A" w:rsidRDefault="004B4C34" w:rsidP="005408B9">
            <w:pPr>
              <w:spacing w:before="40" w:after="40"/>
              <w:rPr>
                <w:sz w:val="20"/>
                <w:lang w:bidi="en-US"/>
              </w:rPr>
            </w:pPr>
            <w:r>
              <w:rPr>
                <w:sz w:val="20"/>
                <w:lang w:bidi="en-US"/>
              </w:rPr>
              <w:t>The</w:t>
            </w:r>
            <w:r w:rsidRPr="00AA039A">
              <w:rPr>
                <w:sz w:val="20"/>
                <w:lang w:bidi="en-US"/>
              </w:rPr>
              <w:t xml:space="preserve"> application generally describes a clear system to identify and provide targeted supports for students’ academic and non-academic needs, including at </w:t>
            </w:r>
            <w:r w:rsidRPr="00AA039A">
              <w:rPr>
                <w:b/>
                <w:sz w:val="20"/>
                <w:lang w:bidi="en-US"/>
              </w:rPr>
              <w:t>least ge</w:t>
            </w:r>
            <w:r>
              <w:rPr>
                <w:b/>
                <w:sz w:val="20"/>
                <w:lang w:bidi="en-US"/>
              </w:rPr>
              <w:t>neral descriptions of some</w:t>
            </w:r>
            <w:r w:rsidRPr="00AA039A">
              <w:rPr>
                <w:b/>
                <w:sz w:val="20"/>
                <w:lang w:bidi="en-US"/>
              </w:rPr>
              <w:t xml:space="preserve"> of the following:</w:t>
            </w:r>
          </w:p>
          <w:p w14:paraId="4E07FAF5"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using a variety of ongoing assessments to identify student needs</w:t>
            </w:r>
          </w:p>
          <w:p w14:paraId="23336E4F"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providing student-specific interventions, enrichments, and supports</w:t>
            </w:r>
          </w:p>
          <w:p w14:paraId="071B965C"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monitoring the impact of both academic and social/emotional interventions</w:t>
            </w:r>
          </w:p>
          <w:p w14:paraId="4863E9BD" w14:textId="77777777" w:rsidR="004B4C34" w:rsidRPr="00AA039A" w:rsidRDefault="004B4C34" w:rsidP="004B4C34">
            <w:pPr>
              <w:pStyle w:val="ListParagraph"/>
              <w:numPr>
                <w:ilvl w:val="0"/>
                <w:numId w:val="14"/>
              </w:numPr>
              <w:spacing w:before="40" w:after="40"/>
              <w:ind w:left="196" w:hanging="228"/>
              <w:contextualSpacing/>
              <w:rPr>
                <w:lang w:bidi="en-US"/>
              </w:rPr>
            </w:pPr>
            <w:r w:rsidRPr="00AA039A">
              <w:rPr>
                <w:lang w:bidi="en-US"/>
              </w:rPr>
              <w:t>adapting and modifying structures and resources to improve both core and targeted supports</w:t>
            </w:r>
          </w:p>
        </w:tc>
        <w:tc>
          <w:tcPr>
            <w:tcW w:w="338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C0AD8D8" w14:textId="77777777" w:rsidR="004B4C34" w:rsidRPr="00AA039A" w:rsidRDefault="004B4C34" w:rsidP="005408B9">
            <w:pPr>
              <w:spacing w:before="40" w:after="40"/>
              <w:rPr>
                <w:sz w:val="20"/>
                <w:lang w:bidi="en-US"/>
              </w:rPr>
            </w:pPr>
            <w:r>
              <w:rPr>
                <w:sz w:val="20"/>
                <w:lang w:bidi="en-US"/>
              </w:rPr>
              <w:t xml:space="preserve">The </w:t>
            </w:r>
            <w:r w:rsidRPr="00AA039A">
              <w:rPr>
                <w:sz w:val="20"/>
                <w:lang w:bidi="en-US"/>
              </w:rPr>
              <w:t xml:space="preserve">application provides a limited description of a clear system to identify and provide targeted supports for students’ academic and non-academic needs, </w:t>
            </w:r>
            <w:r w:rsidRPr="00AA039A">
              <w:rPr>
                <w:b/>
                <w:sz w:val="20"/>
                <w:lang w:bidi="en-US"/>
              </w:rPr>
              <w:t>OR</w:t>
            </w:r>
            <w:r w:rsidRPr="00AA039A">
              <w:rPr>
                <w:sz w:val="20"/>
                <w:lang w:bidi="en-US"/>
              </w:rPr>
              <w:t xml:space="preserve"> provides limited descriptions of </w:t>
            </w:r>
            <w:r w:rsidRPr="00AA039A">
              <w:rPr>
                <w:b/>
                <w:sz w:val="20"/>
                <w:lang w:bidi="en-US"/>
              </w:rPr>
              <w:t>m</w:t>
            </w:r>
            <w:r>
              <w:rPr>
                <w:b/>
                <w:sz w:val="20"/>
                <w:lang w:bidi="en-US"/>
              </w:rPr>
              <w:t>ost of the following</w:t>
            </w:r>
            <w:r w:rsidRPr="00AA039A">
              <w:rPr>
                <w:sz w:val="20"/>
                <w:lang w:bidi="en-US"/>
              </w:rPr>
              <w:t>:</w:t>
            </w:r>
          </w:p>
          <w:p w14:paraId="072DA080" w14:textId="77777777" w:rsidR="004B4C34" w:rsidRPr="00AA039A" w:rsidRDefault="004B4C34" w:rsidP="004B4C34">
            <w:pPr>
              <w:pStyle w:val="ListParagraph"/>
              <w:numPr>
                <w:ilvl w:val="0"/>
                <w:numId w:val="14"/>
              </w:numPr>
              <w:spacing w:before="40" w:after="40"/>
              <w:ind w:left="166" w:hanging="198"/>
              <w:contextualSpacing/>
              <w:rPr>
                <w:lang w:bidi="en-US"/>
              </w:rPr>
            </w:pPr>
            <w:r w:rsidRPr="00AA039A">
              <w:rPr>
                <w:lang w:bidi="en-US"/>
              </w:rPr>
              <w:t>using a variety of ongoing assessments to identify student needs</w:t>
            </w:r>
          </w:p>
          <w:p w14:paraId="7C7313A8" w14:textId="77777777" w:rsidR="004B4C34" w:rsidRPr="00AA039A" w:rsidRDefault="004B4C34" w:rsidP="004B4C34">
            <w:pPr>
              <w:pStyle w:val="ListParagraph"/>
              <w:numPr>
                <w:ilvl w:val="0"/>
                <w:numId w:val="14"/>
              </w:numPr>
              <w:spacing w:before="40" w:after="40"/>
              <w:ind w:left="166" w:hanging="198"/>
              <w:contextualSpacing/>
              <w:rPr>
                <w:lang w:bidi="en-US"/>
              </w:rPr>
            </w:pPr>
            <w:r w:rsidRPr="00AA039A">
              <w:rPr>
                <w:lang w:bidi="en-US"/>
              </w:rPr>
              <w:t>providing student-specific interventions, enrichments, and supports</w:t>
            </w:r>
          </w:p>
          <w:p w14:paraId="65C606F8" w14:textId="77777777" w:rsidR="004B4C34" w:rsidRPr="00AA039A" w:rsidRDefault="004B4C34" w:rsidP="004B4C34">
            <w:pPr>
              <w:pStyle w:val="ListParagraph"/>
              <w:numPr>
                <w:ilvl w:val="0"/>
                <w:numId w:val="14"/>
              </w:numPr>
              <w:spacing w:before="40" w:after="40"/>
              <w:ind w:left="166" w:hanging="198"/>
              <w:contextualSpacing/>
              <w:rPr>
                <w:lang w:bidi="en-US"/>
              </w:rPr>
            </w:pPr>
            <w:r w:rsidRPr="00AA039A">
              <w:rPr>
                <w:lang w:bidi="en-US"/>
              </w:rPr>
              <w:t>monitoring the impact of both academic and social/emotional interventions</w:t>
            </w:r>
          </w:p>
          <w:p w14:paraId="79064A82" w14:textId="77777777" w:rsidR="004B4C34" w:rsidRPr="00AA039A" w:rsidRDefault="004B4C34" w:rsidP="004B4C34">
            <w:pPr>
              <w:pStyle w:val="ListParagraph"/>
              <w:numPr>
                <w:ilvl w:val="0"/>
                <w:numId w:val="14"/>
              </w:numPr>
              <w:spacing w:before="40" w:after="40"/>
              <w:ind w:left="166" w:hanging="198"/>
              <w:contextualSpacing/>
              <w:rPr>
                <w:lang w:bidi="en-US"/>
              </w:rPr>
            </w:pPr>
            <w:r w:rsidRPr="00AA039A">
              <w:rPr>
                <w:lang w:bidi="en-US"/>
              </w:rPr>
              <w:t>adapting and modifying structures and resources to improve both core and targeted supports</w:t>
            </w:r>
          </w:p>
        </w:tc>
      </w:tr>
      <w:tr w:rsidR="004B4C34" w:rsidRPr="003439FF" w14:paraId="4F5AD860" w14:textId="77777777" w:rsidTr="005408B9">
        <w:tblPrEx>
          <w:tblBorders>
            <w:top w:val="none" w:sz="0" w:space="0" w:color="auto"/>
          </w:tblBorders>
        </w:tblPrEx>
        <w:trPr>
          <w:gridAfter w:val="2"/>
          <w:wAfter w:w="314" w:type="dxa"/>
          <w:trHeight w:val="4543"/>
          <w:jc w:val="center"/>
        </w:trPr>
        <w:tc>
          <w:tcPr>
            <w:tcW w:w="1221" w:type="dxa"/>
            <w:gridSpan w:val="3"/>
            <w:tcBorders>
              <w:top w:val="single" w:sz="8" w:space="0" w:color="auto"/>
              <w:left w:val="single" w:sz="4" w:space="0" w:color="auto"/>
              <w:bottom w:val="single" w:sz="8" w:space="0" w:color="auto"/>
              <w:right w:val="single" w:sz="8" w:space="0" w:color="auto"/>
            </w:tcBorders>
            <w:shd w:val="clear" w:color="auto" w:fill="auto"/>
            <w:vAlign w:val="center"/>
          </w:tcPr>
          <w:p w14:paraId="2517E0D1" w14:textId="77777777" w:rsidR="004B4C34" w:rsidRPr="000F4F07" w:rsidRDefault="004B4C34" w:rsidP="005408B9">
            <w:pPr>
              <w:widowControl w:val="0"/>
              <w:autoSpaceDE w:val="0"/>
              <w:autoSpaceDN w:val="0"/>
              <w:adjustRightInd w:val="0"/>
              <w:jc w:val="center"/>
              <w:rPr>
                <w:kern w:val="1"/>
                <w:sz w:val="20"/>
                <w:lang w:bidi="en-US"/>
              </w:rPr>
            </w:pPr>
            <w:r>
              <w:rPr>
                <w:kern w:val="1"/>
                <w:sz w:val="20"/>
                <w:lang w:bidi="en-US"/>
              </w:rPr>
              <w:lastRenderedPageBreak/>
              <w:t>19</w:t>
            </w:r>
            <w:r w:rsidRPr="000F4F07">
              <w:rPr>
                <w:kern w:val="1"/>
                <w:sz w:val="20"/>
                <w:lang w:bidi="en-US"/>
              </w:rPr>
              <w:t>:</w:t>
            </w:r>
          </w:p>
          <w:p w14:paraId="20186F85" w14:textId="77777777" w:rsidR="004B4C34" w:rsidRPr="000F4F07" w:rsidRDefault="004B4C34" w:rsidP="005408B9">
            <w:pPr>
              <w:widowControl w:val="0"/>
              <w:autoSpaceDE w:val="0"/>
              <w:autoSpaceDN w:val="0"/>
              <w:adjustRightInd w:val="0"/>
              <w:jc w:val="center"/>
              <w:rPr>
                <w:kern w:val="1"/>
                <w:sz w:val="20"/>
                <w:lang w:bidi="en-US"/>
              </w:rPr>
            </w:pPr>
            <w:r w:rsidRPr="000F4F07">
              <w:rPr>
                <w:kern w:val="1"/>
                <w:sz w:val="20"/>
                <w:lang w:bidi="en-US"/>
              </w:rPr>
              <w:t>School Culture and Climate</w:t>
            </w:r>
          </w:p>
        </w:tc>
        <w:tc>
          <w:tcPr>
            <w:tcW w:w="3449"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47B0C21" w14:textId="77777777" w:rsidR="004B4C34" w:rsidRPr="000F4F07" w:rsidRDefault="004B4C34" w:rsidP="005408B9">
            <w:pPr>
              <w:tabs>
                <w:tab w:val="center" w:pos="4320"/>
                <w:tab w:val="right" w:pos="8640"/>
              </w:tabs>
              <w:spacing w:before="40" w:after="40"/>
              <w:rPr>
                <w:sz w:val="20"/>
                <w:lang w:bidi="en-US"/>
              </w:rPr>
            </w:pPr>
            <w:r>
              <w:rPr>
                <w:sz w:val="20"/>
                <w:lang w:bidi="en-US"/>
              </w:rPr>
              <w:t xml:space="preserve">The </w:t>
            </w:r>
            <w:r w:rsidRPr="000F4F07">
              <w:rPr>
                <w:sz w:val="20"/>
                <w:lang w:bidi="en-US"/>
              </w:rPr>
              <w:t xml:space="preserve">application provides </w:t>
            </w:r>
            <w:r w:rsidRPr="00FD46D7">
              <w:rPr>
                <w:i/>
                <w:sz w:val="20"/>
                <w:lang w:bidi="en-US"/>
              </w:rPr>
              <w:t>detailed</w:t>
            </w:r>
            <w:r w:rsidRPr="000F4F07">
              <w:rPr>
                <w:sz w:val="20"/>
                <w:lang w:bidi="en-US"/>
              </w:rPr>
              <w:t xml:space="preserve"> evidence that the school has developed and is improving its approach to ensuring a safe, orderly</w:t>
            </w:r>
            <w:r>
              <w:rPr>
                <w:sz w:val="20"/>
                <w:lang w:bidi="en-US"/>
              </w:rPr>
              <w:t>,</w:t>
            </w:r>
            <w:r w:rsidRPr="000F4F07">
              <w:rPr>
                <w:sz w:val="20"/>
                <w:lang w:bidi="en-US"/>
              </w:rPr>
              <w:t xml:space="preserve"> and respectful environment, and that directly includes:</w:t>
            </w:r>
          </w:p>
          <w:p w14:paraId="5F8D4922" w14:textId="77777777" w:rsidR="004B4C34" w:rsidRPr="000F4F07" w:rsidRDefault="004B4C34" w:rsidP="004B4C34">
            <w:pPr>
              <w:pStyle w:val="ListParagraph"/>
              <w:numPr>
                <w:ilvl w:val="0"/>
                <w:numId w:val="15"/>
              </w:numPr>
              <w:tabs>
                <w:tab w:val="center" w:pos="4320"/>
                <w:tab w:val="right" w:pos="8640"/>
              </w:tabs>
              <w:spacing w:before="40" w:after="40"/>
              <w:ind w:left="256" w:hanging="256"/>
              <w:contextualSpacing/>
              <w:rPr>
                <w:lang w:bidi="en-US"/>
              </w:rPr>
            </w:pPr>
            <w:r w:rsidRPr="000F4F07">
              <w:rPr>
                <w:lang w:bidi="en-US"/>
              </w:rPr>
              <w:t>a clear set of shared behavioral expectations and practices that support students’ learning</w:t>
            </w:r>
          </w:p>
          <w:p w14:paraId="4A3B782A" w14:textId="77777777" w:rsidR="004B4C34" w:rsidRPr="000F4F07" w:rsidRDefault="004B4C34" w:rsidP="004B4C34">
            <w:pPr>
              <w:pStyle w:val="ListParagraph"/>
              <w:numPr>
                <w:ilvl w:val="0"/>
                <w:numId w:val="15"/>
              </w:numPr>
              <w:tabs>
                <w:tab w:val="center" w:pos="4320"/>
                <w:tab w:val="right" w:pos="8640"/>
              </w:tabs>
              <w:spacing w:before="40" w:after="40"/>
              <w:ind w:left="256" w:hanging="256"/>
              <w:contextualSpacing/>
              <w:rPr>
                <w:lang w:bidi="en-US"/>
              </w:rPr>
            </w:pPr>
            <w:r w:rsidRPr="000F4F07">
              <w:rPr>
                <w:lang w:bidi="en-US"/>
              </w:rPr>
              <w:t>proactive approaches to develop the intra-personal and inter-personal social and emotional skills of students and adults</w:t>
            </w:r>
          </w:p>
          <w:p w14:paraId="667DC2CA" w14:textId="77777777" w:rsidR="004B4C34" w:rsidRPr="000F4F07" w:rsidRDefault="004B4C34" w:rsidP="004B4C34">
            <w:pPr>
              <w:pStyle w:val="ListParagraph"/>
              <w:numPr>
                <w:ilvl w:val="0"/>
                <w:numId w:val="15"/>
              </w:numPr>
              <w:tabs>
                <w:tab w:val="center" w:pos="4320"/>
                <w:tab w:val="right" w:pos="8640"/>
              </w:tabs>
              <w:spacing w:before="40" w:after="40"/>
              <w:ind w:left="256" w:hanging="256"/>
              <w:contextualSpacing/>
              <w:rPr>
                <w:lang w:bidi="en-US"/>
              </w:rPr>
            </w:pPr>
            <w:r w:rsidRPr="000F4F07">
              <w:rPr>
                <w:lang w:bidi="en-US"/>
              </w:rPr>
              <w:t>strategies to build staff capacity to deliver culturally relevant instruction to students</w:t>
            </w:r>
          </w:p>
          <w:p w14:paraId="01A6AFEE" w14:textId="77777777" w:rsidR="004B4C34" w:rsidRPr="000F4F07" w:rsidRDefault="004B4C34" w:rsidP="004B4C34">
            <w:pPr>
              <w:pStyle w:val="ListParagraph"/>
              <w:numPr>
                <w:ilvl w:val="0"/>
                <w:numId w:val="15"/>
              </w:numPr>
              <w:spacing w:before="40" w:after="40"/>
              <w:ind w:left="256" w:hanging="256"/>
              <w:contextualSpacing/>
              <w:rPr>
                <w:lang w:bidi="en-US"/>
              </w:rPr>
            </w:pPr>
            <w:r w:rsidRPr="000F4F07">
              <w:rPr>
                <w:lang w:bidi="en-US"/>
              </w:rPr>
              <w:t>strategies to encourage student expression, autonomy and leadership</w:t>
            </w:r>
          </w:p>
        </w:tc>
        <w:tc>
          <w:tcPr>
            <w:tcW w:w="339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2B7EA31" w14:textId="77777777" w:rsidR="004B4C34" w:rsidRPr="000F4F07" w:rsidRDefault="004B4C34" w:rsidP="005408B9">
            <w:pPr>
              <w:spacing w:before="40" w:after="40"/>
              <w:rPr>
                <w:sz w:val="20"/>
                <w:lang w:bidi="en-US"/>
              </w:rPr>
            </w:pPr>
            <w:r>
              <w:rPr>
                <w:sz w:val="20"/>
                <w:lang w:bidi="en-US"/>
              </w:rPr>
              <w:t xml:space="preserve">The </w:t>
            </w:r>
            <w:r w:rsidRPr="000F4F07">
              <w:rPr>
                <w:sz w:val="20"/>
                <w:lang w:bidi="en-US"/>
              </w:rPr>
              <w:t xml:space="preserve">application </w:t>
            </w:r>
            <w:r w:rsidRPr="00FD46D7">
              <w:rPr>
                <w:i/>
                <w:sz w:val="20"/>
                <w:lang w:bidi="en-US"/>
              </w:rPr>
              <w:t>generally</w:t>
            </w:r>
            <w:r w:rsidRPr="000F4F07">
              <w:rPr>
                <w:sz w:val="20"/>
                <w:lang w:bidi="en-US"/>
              </w:rPr>
              <w:t xml:space="preserve"> describes how the school has developed and is improving its approach to ensuring a safe, orderly</w:t>
            </w:r>
            <w:r>
              <w:rPr>
                <w:sz w:val="20"/>
                <w:lang w:bidi="en-US"/>
              </w:rPr>
              <w:t>,</w:t>
            </w:r>
            <w:r w:rsidRPr="000F4F07">
              <w:rPr>
                <w:sz w:val="20"/>
                <w:lang w:bidi="en-US"/>
              </w:rPr>
              <w:t xml:space="preserve"> and r</w:t>
            </w:r>
            <w:r>
              <w:rPr>
                <w:sz w:val="20"/>
                <w:lang w:bidi="en-US"/>
              </w:rPr>
              <w:t>espectful environment, and that</w:t>
            </w:r>
            <w:r w:rsidRPr="000F4F07">
              <w:rPr>
                <w:sz w:val="20"/>
                <w:lang w:bidi="en-US"/>
              </w:rPr>
              <w:t xml:space="preserve"> includes:</w:t>
            </w:r>
          </w:p>
          <w:p w14:paraId="14A04481"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a clear set of shared behavioral expectations and practices that support students’ learning</w:t>
            </w:r>
          </w:p>
          <w:p w14:paraId="6370BAB0"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proactive approaches to develop the intra-personal and inter-personal social and emotional skills of students and adults</w:t>
            </w:r>
          </w:p>
          <w:p w14:paraId="76B6EA1F"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strategies to build staff capacity to deliver culturally relevant instruction to students</w:t>
            </w:r>
          </w:p>
          <w:p w14:paraId="62408E96"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strategies to encourage student expression, autonomy and leadership</w:t>
            </w:r>
          </w:p>
        </w:tc>
        <w:tc>
          <w:tcPr>
            <w:tcW w:w="3420"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1AAFCE9" w14:textId="77777777" w:rsidR="004B4C34" w:rsidRPr="000F4F07" w:rsidRDefault="004B4C34" w:rsidP="005408B9">
            <w:pPr>
              <w:spacing w:before="40" w:after="40"/>
              <w:rPr>
                <w:sz w:val="20"/>
                <w:lang w:bidi="en-US"/>
              </w:rPr>
            </w:pPr>
            <w:r>
              <w:rPr>
                <w:sz w:val="20"/>
                <w:lang w:bidi="en-US"/>
              </w:rPr>
              <w:t>The</w:t>
            </w:r>
            <w:r w:rsidRPr="000F4F07">
              <w:rPr>
                <w:sz w:val="20"/>
                <w:lang w:bidi="en-US"/>
              </w:rPr>
              <w:t xml:space="preserve"> application generally describes how the school has developed and is improving its approach to ensuring a safe, orderly</w:t>
            </w:r>
            <w:r>
              <w:rPr>
                <w:sz w:val="20"/>
                <w:lang w:bidi="en-US"/>
              </w:rPr>
              <w:t>,</w:t>
            </w:r>
            <w:r w:rsidRPr="000F4F07">
              <w:rPr>
                <w:sz w:val="20"/>
                <w:lang w:bidi="en-US"/>
              </w:rPr>
              <w:t xml:space="preserve"> and respectful environment, and that addresses </w:t>
            </w:r>
            <w:r>
              <w:rPr>
                <w:b/>
                <w:sz w:val="20"/>
                <w:lang w:bidi="en-US"/>
              </w:rPr>
              <w:t>some</w:t>
            </w:r>
            <w:r w:rsidRPr="000F4F07">
              <w:rPr>
                <w:b/>
                <w:sz w:val="20"/>
                <w:lang w:bidi="en-US"/>
              </w:rPr>
              <w:t xml:space="preserve"> of the following:</w:t>
            </w:r>
          </w:p>
          <w:p w14:paraId="77B5707A"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a clear set of shared behavioral expectations and practices that support students’ learning</w:t>
            </w:r>
          </w:p>
          <w:p w14:paraId="06A8DF80"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proactive approaches to develop the intra-personal and inter-personal social and emotional skills of students and adults</w:t>
            </w:r>
          </w:p>
          <w:p w14:paraId="1792E9A0"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strategies to build staff capacity to deliver culturally relevant instruction to students</w:t>
            </w:r>
          </w:p>
          <w:p w14:paraId="7A195479" w14:textId="77777777" w:rsidR="004B4C34" w:rsidRPr="000F4F07" w:rsidRDefault="004B4C34" w:rsidP="004B4C34">
            <w:pPr>
              <w:pStyle w:val="ListParagraph"/>
              <w:numPr>
                <w:ilvl w:val="0"/>
                <w:numId w:val="15"/>
              </w:numPr>
              <w:spacing w:before="40" w:after="40"/>
              <w:ind w:left="196" w:hanging="196"/>
              <w:contextualSpacing/>
              <w:rPr>
                <w:lang w:bidi="en-US"/>
              </w:rPr>
            </w:pPr>
            <w:r w:rsidRPr="000F4F07">
              <w:rPr>
                <w:lang w:bidi="en-US"/>
              </w:rPr>
              <w:t>strategies to encourage student expression, autonomy and leadership</w:t>
            </w:r>
          </w:p>
        </w:tc>
        <w:tc>
          <w:tcPr>
            <w:tcW w:w="3381" w:type="dxa"/>
            <w:gridSpan w:val="3"/>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8CA8C63" w14:textId="77777777" w:rsidR="004B4C34" w:rsidRPr="000F4F07" w:rsidRDefault="004B4C34" w:rsidP="005408B9">
            <w:pPr>
              <w:spacing w:before="40" w:after="40"/>
              <w:rPr>
                <w:sz w:val="20"/>
                <w:lang w:bidi="en-US"/>
              </w:rPr>
            </w:pPr>
            <w:r>
              <w:rPr>
                <w:sz w:val="20"/>
                <w:lang w:bidi="en-US"/>
              </w:rPr>
              <w:t>The</w:t>
            </w:r>
            <w:r w:rsidRPr="000F4F07">
              <w:rPr>
                <w:sz w:val="20"/>
                <w:lang w:bidi="en-US"/>
              </w:rPr>
              <w:t xml:space="preserve"> application provides a limited description of how the school has developed and is improving its approach to ensuring a safe, orderly</w:t>
            </w:r>
            <w:r>
              <w:rPr>
                <w:sz w:val="20"/>
                <w:lang w:bidi="en-US"/>
              </w:rPr>
              <w:t>,</w:t>
            </w:r>
            <w:r w:rsidRPr="000F4F07">
              <w:rPr>
                <w:sz w:val="20"/>
                <w:lang w:bidi="en-US"/>
              </w:rPr>
              <w:t xml:space="preserve"> and respectful environment, </w:t>
            </w:r>
            <w:r>
              <w:rPr>
                <w:b/>
                <w:sz w:val="20"/>
                <w:lang w:bidi="en-US"/>
              </w:rPr>
              <w:t>addressing few to none</w:t>
            </w:r>
            <w:r w:rsidRPr="000F4F07">
              <w:rPr>
                <w:b/>
                <w:sz w:val="20"/>
                <w:lang w:bidi="en-US"/>
              </w:rPr>
              <w:t xml:space="preserve"> of the following:</w:t>
            </w:r>
          </w:p>
          <w:p w14:paraId="4D787121" w14:textId="77777777" w:rsidR="004B4C34" w:rsidRPr="000F4F07" w:rsidRDefault="004B4C34" w:rsidP="004B4C34">
            <w:pPr>
              <w:pStyle w:val="ListParagraph"/>
              <w:numPr>
                <w:ilvl w:val="0"/>
                <w:numId w:val="15"/>
              </w:numPr>
              <w:spacing w:before="40" w:after="40"/>
              <w:ind w:left="166" w:hanging="166"/>
              <w:contextualSpacing/>
              <w:rPr>
                <w:lang w:bidi="en-US"/>
              </w:rPr>
            </w:pPr>
            <w:r w:rsidRPr="000F4F07">
              <w:rPr>
                <w:lang w:bidi="en-US"/>
              </w:rPr>
              <w:t>a clear set of shared behavioral expectations and practices that support students’ learning</w:t>
            </w:r>
          </w:p>
          <w:p w14:paraId="2098DD8D" w14:textId="77777777" w:rsidR="004B4C34" w:rsidRPr="000F4F07" w:rsidRDefault="004B4C34" w:rsidP="004B4C34">
            <w:pPr>
              <w:pStyle w:val="ListParagraph"/>
              <w:numPr>
                <w:ilvl w:val="0"/>
                <w:numId w:val="15"/>
              </w:numPr>
              <w:spacing w:before="40" w:after="40"/>
              <w:ind w:left="166" w:hanging="166"/>
              <w:contextualSpacing/>
              <w:rPr>
                <w:lang w:bidi="en-US"/>
              </w:rPr>
            </w:pPr>
            <w:r w:rsidRPr="000F4F07">
              <w:rPr>
                <w:lang w:bidi="en-US"/>
              </w:rPr>
              <w:t>proactive approaches to develop the intra-personal and inter-personal social and emotional skills of students and adults</w:t>
            </w:r>
          </w:p>
          <w:p w14:paraId="2378268B" w14:textId="77777777" w:rsidR="004B4C34" w:rsidRPr="000F4F07" w:rsidRDefault="004B4C34" w:rsidP="004B4C34">
            <w:pPr>
              <w:pStyle w:val="ListParagraph"/>
              <w:numPr>
                <w:ilvl w:val="0"/>
                <w:numId w:val="15"/>
              </w:numPr>
              <w:spacing w:before="40" w:after="40"/>
              <w:ind w:left="166" w:hanging="166"/>
              <w:contextualSpacing/>
              <w:rPr>
                <w:lang w:bidi="en-US"/>
              </w:rPr>
            </w:pPr>
            <w:r w:rsidRPr="000F4F07">
              <w:rPr>
                <w:lang w:bidi="en-US"/>
              </w:rPr>
              <w:t>strategies to build staff capacity to deliver culturally relevant instruction to students</w:t>
            </w:r>
          </w:p>
          <w:p w14:paraId="6167845A" w14:textId="1109F906" w:rsidR="00704122" w:rsidRDefault="004B4C34" w:rsidP="00D2051F">
            <w:pPr>
              <w:pStyle w:val="ListParagraph"/>
              <w:numPr>
                <w:ilvl w:val="0"/>
                <w:numId w:val="15"/>
              </w:numPr>
              <w:spacing w:before="40" w:after="40"/>
              <w:ind w:left="166" w:hanging="166"/>
              <w:contextualSpacing/>
              <w:rPr>
                <w:lang w:bidi="en-US"/>
              </w:rPr>
            </w:pPr>
            <w:r w:rsidRPr="000F4F07">
              <w:rPr>
                <w:lang w:bidi="en-US"/>
              </w:rPr>
              <w:t>strategies to encourage student exp</w:t>
            </w:r>
            <w:r w:rsidR="00704122">
              <w:rPr>
                <w:lang w:bidi="en-US"/>
              </w:rPr>
              <w:t>ression, autonomy and leadership</w:t>
            </w:r>
          </w:p>
          <w:p w14:paraId="46A31609" w14:textId="77777777" w:rsidR="00A80CA0" w:rsidRPr="00A80CA0" w:rsidRDefault="00A80CA0" w:rsidP="00A80CA0">
            <w:pPr>
              <w:spacing w:before="40" w:after="40"/>
              <w:contextualSpacing/>
              <w:rPr>
                <w:lang w:bidi="en-US"/>
              </w:rPr>
            </w:pPr>
          </w:p>
          <w:p w14:paraId="426FA006" w14:textId="53CFAE88" w:rsidR="00704122" w:rsidRPr="00A200EC" w:rsidRDefault="00704122" w:rsidP="005408B9">
            <w:pPr>
              <w:spacing w:before="40" w:after="40"/>
              <w:rPr>
                <w:sz w:val="20"/>
                <w:lang w:bidi="en-US"/>
              </w:rPr>
            </w:pPr>
          </w:p>
        </w:tc>
      </w:tr>
    </w:tbl>
    <w:p w14:paraId="27114655" w14:textId="77777777" w:rsidR="008B2336" w:rsidRDefault="008B2336">
      <w:r>
        <w:br w:type="page"/>
      </w:r>
    </w:p>
    <w:tbl>
      <w:tblPr>
        <w:tblW w:w="14862" w:type="dxa"/>
        <w:jc w:val="center"/>
        <w:tblBorders>
          <w:left w:val="nil"/>
          <w:right w:val="nil"/>
        </w:tblBorders>
        <w:tblLayout w:type="fixed"/>
        <w:tblLook w:val="0000" w:firstRow="0" w:lastRow="0" w:firstColumn="0" w:lastColumn="0" w:noHBand="0" w:noVBand="0"/>
      </w:tblPr>
      <w:tblGrid>
        <w:gridCol w:w="1221"/>
        <w:gridCol w:w="3449"/>
        <w:gridCol w:w="3391"/>
        <w:gridCol w:w="3420"/>
        <w:gridCol w:w="3381"/>
      </w:tblGrid>
      <w:tr w:rsidR="004B4C34" w:rsidRPr="00692FB4" w14:paraId="195D78ED" w14:textId="77777777" w:rsidTr="008B2336">
        <w:trPr>
          <w:trHeight w:val="223"/>
          <w:jc w:val="center"/>
        </w:trPr>
        <w:tc>
          <w:tcPr>
            <w:tcW w:w="1221" w:type="dxa"/>
            <w:tcBorders>
              <w:top w:val="single" w:sz="8" w:space="0" w:color="auto"/>
              <w:left w:val="single" w:sz="4" w:space="0" w:color="auto"/>
              <w:bottom w:val="single" w:sz="8" w:space="0" w:color="auto"/>
              <w:right w:val="single" w:sz="8" w:space="0" w:color="auto"/>
            </w:tcBorders>
            <w:shd w:val="clear" w:color="auto" w:fill="auto"/>
          </w:tcPr>
          <w:p w14:paraId="6B2BBEAD" w14:textId="214D21AA"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4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83EF0F5"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9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1AE8F16"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0B44603"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EEEC738"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4B4C34" w14:paraId="30D85201" w14:textId="77777777" w:rsidTr="008B2336">
        <w:trPr>
          <w:trHeight w:val="4552"/>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14:paraId="31F4DDD0" w14:textId="77777777" w:rsidR="004B4C34" w:rsidRPr="00B6520A" w:rsidRDefault="004B4C34" w:rsidP="005408B9">
            <w:pPr>
              <w:widowControl w:val="0"/>
              <w:autoSpaceDE w:val="0"/>
              <w:autoSpaceDN w:val="0"/>
              <w:adjustRightInd w:val="0"/>
              <w:jc w:val="center"/>
              <w:rPr>
                <w:kern w:val="1"/>
                <w:sz w:val="20"/>
                <w:lang w:bidi="en-US"/>
              </w:rPr>
            </w:pPr>
            <w:r>
              <w:rPr>
                <w:kern w:val="1"/>
                <w:sz w:val="20"/>
                <w:lang w:bidi="en-US"/>
              </w:rPr>
              <w:t>20</w:t>
            </w:r>
            <w:r w:rsidRPr="00B6520A">
              <w:rPr>
                <w:kern w:val="1"/>
                <w:sz w:val="20"/>
                <w:lang w:bidi="en-US"/>
              </w:rPr>
              <w:t>:</w:t>
            </w:r>
          </w:p>
          <w:p w14:paraId="19EE3381" w14:textId="77777777" w:rsidR="004B4C34" w:rsidRDefault="004B4C34" w:rsidP="005408B9">
            <w:pPr>
              <w:widowControl w:val="0"/>
              <w:autoSpaceDE w:val="0"/>
              <w:autoSpaceDN w:val="0"/>
              <w:adjustRightInd w:val="0"/>
              <w:jc w:val="center"/>
              <w:rPr>
                <w:kern w:val="1"/>
                <w:sz w:val="18"/>
                <w:szCs w:val="18"/>
                <w:lang w:bidi="en-US"/>
              </w:rPr>
            </w:pPr>
            <w:r w:rsidRPr="00B6520A">
              <w:rPr>
                <w:kern w:val="1"/>
                <w:sz w:val="20"/>
                <w:lang w:bidi="en-US"/>
              </w:rPr>
              <w:t>Family Engagement</w:t>
            </w:r>
          </w:p>
        </w:tc>
        <w:tc>
          <w:tcPr>
            <w:tcW w:w="344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23AA584" w14:textId="77777777" w:rsidR="004B4C34" w:rsidRPr="00AA039A" w:rsidRDefault="004B4C34" w:rsidP="005408B9">
            <w:pPr>
              <w:spacing w:before="40" w:after="40"/>
              <w:rPr>
                <w:sz w:val="20"/>
                <w:lang w:bidi="en-US"/>
              </w:rPr>
            </w:pPr>
            <w:r>
              <w:rPr>
                <w:sz w:val="20"/>
                <w:lang w:bidi="en-US"/>
              </w:rPr>
              <w:t>The</w:t>
            </w:r>
            <w:r w:rsidRPr="00AA039A">
              <w:rPr>
                <w:sz w:val="20"/>
                <w:lang w:bidi="en-US"/>
              </w:rPr>
              <w:t xml:space="preserve"> application provides a </w:t>
            </w:r>
            <w:r w:rsidRPr="00A77CFF">
              <w:rPr>
                <w:i/>
                <w:sz w:val="20"/>
                <w:lang w:bidi="en-US"/>
              </w:rPr>
              <w:t>detailed</w:t>
            </w:r>
            <w:r w:rsidRPr="00AA039A">
              <w:rPr>
                <w:sz w:val="20"/>
                <w:lang w:bidi="en-US"/>
              </w:rPr>
              <w:t xml:space="preserve"> description of how the school engages families as respected partners in the learning of their children, including </w:t>
            </w:r>
            <w:r w:rsidRPr="00A77CFF">
              <w:rPr>
                <w:i/>
                <w:sz w:val="20"/>
                <w:lang w:bidi="en-US"/>
              </w:rPr>
              <w:t>detailed</w:t>
            </w:r>
            <w:r w:rsidRPr="00AA039A">
              <w:rPr>
                <w:sz w:val="20"/>
                <w:lang w:bidi="en-US"/>
              </w:rPr>
              <w:t xml:space="preserve"> descriptions of </w:t>
            </w:r>
            <w:r w:rsidRPr="00AA039A">
              <w:rPr>
                <w:b/>
                <w:sz w:val="20"/>
                <w:lang w:bidi="en-US"/>
              </w:rPr>
              <w:t>each</w:t>
            </w:r>
            <w:r w:rsidRPr="00AA039A">
              <w:rPr>
                <w:sz w:val="20"/>
                <w:lang w:bidi="en-US"/>
              </w:rPr>
              <w:t xml:space="preserve"> of the following:</w:t>
            </w:r>
          </w:p>
          <w:p w14:paraId="7EECA7FE"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Frequent positive communication around student progress and families’ goals for their children</w:t>
            </w:r>
          </w:p>
          <w:p w14:paraId="57F5C2D1"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Opportunities for teachers and families to learn from and with each other in culturally relevant ways that support the work of the school</w:t>
            </w:r>
          </w:p>
          <w:p w14:paraId="0A3FBC66"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Communications with families in multiple languages, as needed.</w:t>
            </w:r>
          </w:p>
          <w:p w14:paraId="4A2B3AD1"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Strategies that involve all staff in this effort rather than relying on one designee</w:t>
            </w:r>
          </w:p>
        </w:tc>
        <w:tc>
          <w:tcPr>
            <w:tcW w:w="339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77C52BE" w14:textId="77777777" w:rsidR="004B4C34" w:rsidRPr="00AA039A" w:rsidRDefault="004B4C34" w:rsidP="005408B9">
            <w:pPr>
              <w:spacing w:before="40" w:after="40"/>
              <w:rPr>
                <w:sz w:val="20"/>
                <w:lang w:bidi="en-US"/>
              </w:rPr>
            </w:pPr>
            <w:r>
              <w:rPr>
                <w:sz w:val="20"/>
                <w:lang w:bidi="en-US"/>
              </w:rPr>
              <w:t>The</w:t>
            </w:r>
            <w:r w:rsidRPr="00AA039A">
              <w:rPr>
                <w:sz w:val="20"/>
                <w:lang w:bidi="en-US"/>
              </w:rPr>
              <w:t xml:space="preserve"> application </w:t>
            </w:r>
            <w:r w:rsidRPr="00A77CFF">
              <w:rPr>
                <w:i/>
                <w:sz w:val="20"/>
                <w:lang w:bidi="en-US"/>
              </w:rPr>
              <w:t>generally</w:t>
            </w:r>
            <w:r w:rsidRPr="00AA039A">
              <w:rPr>
                <w:sz w:val="20"/>
                <w:lang w:bidi="en-US"/>
              </w:rPr>
              <w:t xml:space="preserve"> describes how the school engages families as respected partners in the learning of their children, including at least </w:t>
            </w:r>
            <w:r w:rsidRPr="00A77CFF">
              <w:rPr>
                <w:i/>
                <w:sz w:val="20"/>
                <w:lang w:bidi="en-US"/>
              </w:rPr>
              <w:t>general</w:t>
            </w:r>
            <w:r w:rsidRPr="00AA039A">
              <w:rPr>
                <w:sz w:val="20"/>
                <w:lang w:bidi="en-US"/>
              </w:rPr>
              <w:t xml:space="preserve"> descriptions of </w:t>
            </w:r>
            <w:r w:rsidRPr="00AA039A">
              <w:rPr>
                <w:b/>
                <w:sz w:val="20"/>
                <w:lang w:bidi="en-US"/>
              </w:rPr>
              <w:t>each</w:t>
            </w:r>
            <w:r w:rsidRPr="00AA039A">
              <w:rPr>
                <w:sz w:val="20"/>
                <w:lang w:bidi="en-US"/>
              </w:rPr>
              <w:t xml:space="preserve"> of the following:</w:t>
            </w:r>
          </w:p>
          <w:p w14:paraId="777F35A9"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Frequent positive communication around student progress and families’ goals for their children</w:t>
            </w:r>
          </w:p>
          <w:p w14:paraId="663A914C"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Opportunities for teachers and families to learn from and with each other in culturally relevant ways that support the work of the school</w:t>
            </w:r>
          </w:p>
          <w:p w14:paraId="6FE50904"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Communications with families in multiple languages, as needed.</w:t>
            </w:r>
          </w:p>
          <w:p w14:paraId="4097DAAF"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Strategies that involve all staff in this effort rather than relying on one designee</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CAD4BB6" w14:textId="77777777" w:rsidR="004B4C34" w:rsidRPr="00AA039A" w:rsidRDefault="004B4C34" w:rsidP="005408B9">
            <w:pPr>
              <w:spacing w:before="40" w:after="40"/>
              <w:rPr>
                <w:sz w:val="20"/>
                <w:lang w:bidi="en-US"/>
              </w:rPr>
            </w:pPr>
            <w:r>
              <w:rPr>
                <w:sz w:val="20"/>
                <w:lang w:bidi="en-US"/>
              </w:rPr>
              <w:t xml:space="preserve">The </w:t>
            </w:r>
            <w:r w:rsidRPr="00AA039A">
              <w:rPr>
                <w:sz w:val="20"/>
                <w:lang w:bidi="en-US"/>
              </w:rPr>
              <w:t xml:space="preserve">application generally describes how the school will engage families as respected partners in the learning of their children, including at least </w:t>
            </w:r>
            <w:r w:rsidRPr="009C198C">
              <w:rPr>
                <w:i/>
                <w:sz w:val="20"/>
                <w:lang w:bidi="en-US"/>
              </w:rPr>
              <w:t>general</w:t>
            </w:r>
            <w:r w:rsidRPr="00AA039A">
              <w:rPr>
                <w:sz w:val="20"/>
                <w:lang w:bidi="en-US"/>
              </w:rPr>
              <w:t xml:space="preserve"> descriptions of </w:t>
            </w:r>
            <w:r>
              <w:rPr>
                <w:b/>
                <w:sz w:val="20"/>
                <w:lang w:bidi="en-US"/>
              </w:rPr>
              <w:t>some</w:t>
            </w:r>
            <w:r w:rsidRPr="00AA039A">
              <w:rPr>
                <w:b/>
                <w:sz w:val="20"/>
                <w:lang w:bidi="en-US"/>
              </w:rPr>
              <w:t xml:space="preserve"> </w:t>
            </w:r>
            <w:r w:rsidRPr="00AA039A">
              <w:rPr>
                <w:sz w:val="20"/>
                <w:lang w:bidi="en-US"/>
              </w:rPr>
              <w:t>of the following:</w:t>
            </w:r>
          </w:p>
          <w:p w14:paraId="3F3E3A51"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Frequent positive communication around student progress and families’ goals for their children</w:t>
            </w:r>
          </w:p>
          <w:p w14:paraId="51500DEA"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Opportunities for teachers and families to learn from and with each other in culturally relevant ways that support the work of the school</w:t>
            </w:r>
          </w:p>
          <w:p w14:paraId="0732B7B5"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Communications with families in multiple languages, as needed.</w:t>
            </w:r>
          </w:p>
          <w:p w14:paraId="3FBE4B3C"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Strategies that involve all staff in this effort rather than relying on one designee</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2590448" w14:textId="77777777" w:rsidR="004B4C34" w:rsidRPr="00AA039A" w:rsidRDefault="004B4C34" w:rsidP="005408B9">
            <w:pPr>
              <w:spacing w:before="40" w:after="40"/>
              <w:rPr>
                <w:sz w:val="20"/>
                <w:lang w:bidi="en-US"/>
              </w:rPr>
            </w:pPr>
            <w:r>
              <w:rPr>
                <w:sz w:val="20"/>
                <w:lang w:bidi="en-US"/>
              </w:rPr>
              <w:t>The</w:t>
            </w:r>
            <w:r w:rsidRPr="00AA039A">
              <w:rPr>
                <w:sz w:val="20"/>
                <w:lang w:bidi="en-US"/>
              </w:rPr>
              <w:t xml:space="preserve"> application provides a limited description of how the school will engage families as respected partners in the learning of their children, </w:t>
            </w:r>
            <w:r w:rsidRPr="00AA039A">
              <w:rPr>
                <w:b/>
                <w:sz w:val="20"/>
                <w:lang w:bidi="en-US"/>
              </w:rPr>
              <w:t>OR</w:t>
            </w:r>
            <w:r w:rsidRPr="00AA039A">
              <w:rPr>
                <w:sz w:val="20"/>
                <w:lang w:bidi="en-US"/>
              </w:rPr>
              <w:t xml:space="preserve"> provide</w:t>
            </w:r>
            <w:r>
              <w:rPr>
                <w:sz w:val="20"/>
                <w:lang w:bidi="en-US"/>
              </w:rPr>
              <w:t xml:space="preserve">s </w:t>
            </w:r>
            <w:r w:rsidRPr="009C198C">
              <w:rPr>
                <w:i/>
                <w:sz w:val="20"/>
                <w:lang w:bidi="en-US"/>
              </w:rPr>
              <w:t>limited</w:t>
            </w:r>
            <w:r>
              <w:rPr>
                <w:sz w:val="20"/>
                <w:lang w:bidi="en-US"/>
              </w:rPr>
              <w:t xml:space="preserve"> descriptions</w:t>
            </w:r>
            <w:r>
              <w:rPr>
                <w:b/>
                <w:sz w:val="20"/>
                <w:lang w:bidi="en-US"/>
              </w:rPr>
              <w:t xml:space="preserve"> of some of the following</w:t>
            </w:r>
            <w:r w:rsidRPr="00AA039A">
              <w:rPr>
                <w:b/>
                <w:sz w:val="20"/>
                <w:lang w:bidi="en-US"/>
              </w:rPr>
              <w:t>:</w:t>
            </w:r>
          </w:p>
          <w:p w14:paraId="2C05FC93"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Frequent positive communication around student progress and families’ goals for their children</w:t>
            </w:r>
          </w:p>
          <w:p w14:paraId="7CB752A4"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Opportunities for teachers and families to learn from and with each other in culturally relevant ways that support the work of the school</w:t>
            </w:r>
          </w:p>
          <w:p w14:paraId="1FEA5A1C"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Communications with families in multiple languages, as needed.</w:t>
            </w:r>
          </w:p>
          <w:p w14:paraId="7C8FB9D0" w14:textId="77777777" w:rsidR="004B4C34" w:rsidRPr="00AA039A" w:rsidRDefault="004B4C34" w:rsidP="004B4C34">
            <w:pPr>
              <w:pStyle w:val="ListParagraph"/>
              <w:numPr>
                <w:ilvl w:val="0"/>
                <w:numId w:val="16"/>
              </w:numPr>
              <w:spacing w:before="40" w:after="40"/>
              <w:contextualSpacing/>
              <w:rPr>
                <w:lang w:bidi="en-US"/>
              </w:rPr>
            </w:pPr>
            <w:r w:rsidRPr="00AA039A">
              <w:rPr>
                <w:lang w:bidi="en-US"/>
              </w:rPr>
              <w:t>Strategies that involve all staff in this effort rather than relying on one designee</w:t>
            </w:r>
          </w:p>
        </w:tc>
      </w:tr>
      <w:tr w:rsidR="004B4C34" w14:paraId="27E7B6AE" w14:textId="77777777" w:rsidTr="008B2336">
        <w:trPr>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14:paraId="75CECA80"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21</w:t>
            </w:r>
            <w:r w:rsidRPr="00692FB4">
              <w:rPr>
                <w:kern w:val="1"/>
                <w:sz w:val="20"/>
                <w:lang w:bidi="en-US"/>
              </w:rPr>
              <w:t xml:space="preserve">: </w:t>
            </w:r>
          </w:p>
          <w:p w14:paraId="193B7E0C"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District Monitoring</w:t>
            </w:r>
          </w:p>
        </w:tc>
        <w:tc>
          <w:tcPr>
            <w:tcW w:w="344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A5F5B6B"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The application</w:t>
            </w:r>
            <w:r w:rsidRPr="00692FB4">
              <w:rPr>
                <w:sz w:val="20"/>
                <w:lang w:bidi="en-US"/>
              </w:rPr>
              <w:t xml:space="preserve"> includes a </w:t>
            </w:r>
            <w:r w:rsidRPr="00605EEF">
              <w:rPr>
                <w:i/>
                <w:sz w:val="20"/>
                <w:lang w:bidi="en-US"/>
              </w:rPr>
              <w:t>detailed</w:t>
            </w:r>
            <w:r>
              <w:rPr>
                <w:sz w:val="20"/>
                <w:lang w:bidi="en-US"/>
              </w:rPr>
              <w:t xml:space="preserve"> description of district system to </w:t>
            </w:r>
            <w:r w:rsidRPr="00692FB4">
              <w:rPr>
                <w:sz w:val="20"/>
                <w:lang w:bidi="en-US"/>
              </w:rPr>
              <w:t>monitor b</w:t>
            </w:r>
            <w:r>
              <w:rPr>
                <w:sz w:val="20"/>
                <w:lang w:bidi="en-US"/>
              </w:rPr>
              <w:t>enchmarks to</w:t>
            </w:r>
            <w:r w:rsidRPr="00692FB4">
              <w:rPr>
                <w:sz w:val="20"/>
                <w:lang w:bidi="en-US"/>
              </w:rPr>
              <w:t xml:space="preserve"> evaluate the effectiveness of </w:t>
            </w:r>
            <w:r>
              <w:rPr>
                <w:sz w:val="20"/>
                <w:lang w:bidi="en-US"/>
              </w:rPr>
              <w:t>turnaround implementation efforts</w:t>
            </w:r>
            <w:r w:rsidRPr="00692FB4">
              <w:rPr>
                <w:sz w:val="20"/>
                <w:lang w:bidi="en-US"/>
              </w:rPr>
              <w:t xml:space="preserve"> at the school</w:t>
            </w:r>
            <w:r>
              <w:rPr>
                <w:sz w:val="20"/>
                <w:lang w:bidi="en-US"/>
              </w:rPr>
              <w:t xml:space="preserve"> and district level AND a description of explicit shifts in district actions or policies needed to support successful turnaround efforts. </w:t>
            </w:r>
          </w:p>
        </w:tc>
        <w:tc>
          <w:tcPr>
            <w:tcW w:w="339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742CF2B"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 xml:space="preserve">The application includes a </w:t>
            </w:r>
            <w:r w:rsidRPr="00605EEF">
              <w:rPr>
                <w:i/>
                <w:sz w:val="20"/>
                <w:lang w:bidi="en-US"/>
              </w:rPr>
              <w:t xml:space="preserve">general </w:t>
            </w:r>
            <w:r>
              <w:rPr>
                <w:sz w:val="20"/>
                <w:lang w:bidi="en-US"/>
              </w:rPr>
              <w:t xml:space="preserve">description of </w:t>
            </w:r>
            <w:r w:rsidRPr="00692FB4">
              <w:rPr>
                <w:sz w:val="20"/>
                <w:lang w:bidi="en-US"/>
              </w:rPr>
              <w:t>district systems</w:t>
            </w:r>
            <w:r>
              <w:rPr>
                <w:sz w:val="20"/>
                <w:lang w:bidi="en-US"/>
              </w:rPr>
              <w:t xml:space="preserve"> </w:t>
            </w:r>
            <w:r w:rsidRPr="00692FB4">
              <w:rPr>
                <w:sz w:val="20"/>
                <w:lang w:bidi="en-US"/>
              </w:rPr>
              <w:t xml:space="preserve">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AND a general description of shifts in district actions or policies needed to support successful turnaround efforts.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9128069"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highlight w:val="yellow"/>
                <w:lang w:bidi="en-US"/>
              </w:rPr>
            </w:pPr>
            <w:r>
              <w:rPr>
                <w:sz w:val="20"/>
                <w:lang w:bidi="en-US"/>
              </w:rPr>
              <w:t>The application</w:t>
            </w:r>
            <w:r w:rsidRPr="00692FB4">
              <w:rPr>
                <w:sz w:val="20"/>
                <w:lang w:bidi="en-US"/>
              </w:rPr>
              <w:t xml:space="preserve"> </w:t>
            </w:r>
            <w:r>
              <w:rPr>
                <w:sz w:val="20"/>
                <w:lang w:bidi="en-US"/>
              </w:rPr>
              <w:t xml:space="preserve">provides a </w:t>
            </w:r>
            <w:r w:rsidRPr="00605EEF">
              <w:rPr>
                <w:i/>
                <w:sz w:val="20"/>
                <w:lang w:bidi="en-US"/>
              </w:rPr>
              <w:t>basic</w:t>
            </w:r>
            <w:r>
              <w:rPr>
                <w:sz w:val="20"/>
                <w:lang w:bidi="en-US"/>
              </w:rPr>
              <w:t xml:space="preserve"> description of</w:t>
            </w:r>
            <w:r w:rsidRPr="00692FB4">
              <w:rPr>
                <w:sz w:val="20"/>
                <w:lang w:bidi="en-US"/>
              </w:rPr>
              <w:t xml:space="preserve">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and does not describe shifts in district actions or policies that may be needed to support turnaround efforts.</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5D5032E" w14:textId="77777777"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highlight w:val="yellow"/>
                <w:lang w:bidi="en-US"/>
              </w:rPr>
            </w:pPr>
            <w:r>
              <w:rPr>
                <w:sz w:val="20"/>
                <w:lang w:bidi="en-US"/>
              </w:rPr>
              <w:t>The application’s</w:t>
            </w:r>
            <w:r w:rsidRPr="00692FB4">
              <w:rPr>
                <w:sz w:val="20"/>
                <w:lang w:bidi="en-US"/>
              </w:rPr>
              <w:t xml:space="preserve"> </w:t>
            </w:r>
            <w:r>
              <w:rPr>
                <w:sz w:val="20"/>
                <w:lang w:bidi="en-US"/>
              </w:rPr>
              <w:t>description of</w:t>
            </w:r>
            <w:r w:rsidRPr="00692FB4">
              <w:rPr>
                <w:sz w:val="20"/>
                <w:lang w:bidi="en-US"/>
              </w:rPr>
              <w:t xml:space="preserve">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is lacking and there is minimal to no description of shifts in district actions or policies.  </w:t>
            </w:r>
          </w:p>
        </w:tc>
      </w:tr>
      <w:tr w:rsidR="004B4C34" w:rsidRPr="00692FB4" w14:paraId="430E1BD7" w14:textId="77777777" w:rsidTr="008B2336">
        <w:trPr>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14:paraId="7F58092C"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22</w:t>
            </w:r>
            <w:r w:rsidRPr="00692FB4">
              <w:rPr>
                <w:kern w:val="1"/>
                <w:sz w:val="20"/>
                <w:lang w:bidi="en-US"/>
              </w:rPr>
              <w:t xml:space="preserve">: </w:t>
            </w:r>
          </w:p>
          <w:p w14:paraId="6F64E6A0"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School Monitoring</w:t>
            </w:r>
          </w:p>
        </w:tc>
        <w:tc>
          <w:tcPr>
            <w:tcW w:w="344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CF07BE5" w14:textId="77777777" w:rsidR="004B4C34" w:rsidRPr="00867B9E"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It is clear throughout the</w:t>
            </w:r>
            <w:r w:rsidRPr="00692FB4">
              <w:rPr>
                <w:sz w:val="20"/>
                <w:lang w:bidi="en-US"/>
              </w:rPr>
              <w:t xml:space="preserve"> </w:t>
            </w:r>
            <w:r>
              <w:rPr>
                <w:sz w:val="20"/>
                <w:lang w:bidi="en-US"/>
              </w:rPr>
              <w:t>application that the</w:t>
            </w:r>
            <w:r w:rsidRPr="00692FB4">
              <w:rPr>
                <w:sz w:val="20"/>
                <w:lang w:bidi="en-US"/>
              </w:rPr>
              <w:t xml:space="preserve"> school </w:t>
            </w:r>
            <w:r>
              <w:rPr>
                <w:sz w:val="20"/>
                <w:lang w:bidi="en-US"/>
              </w:rPr>
              <w:t xml:space="preserve">is actively </w:t>
            </w:r>
            <w:r w:rsidRPr="00692FB4">
              <w:rPr>
                <w:sz w:val="20"/>
                <w:lang w:bidi="en-US"/>
              </w:rPr>
              <w:t>collect</w:t>
            </w:r>
            <w:r>
              <w:rPr>
                <w:sz w:val="20"/>
                <w:lang w:bidi="en-US"/>
              </w:rPr>
              <w:t>ing</w:t>
            </w:r>
            <w:r w:rsidRPr="00692FB4">
              <w:rPr>
                <w:sz w:val="20"/>
                <w:lang w:bidi="en-US"/>
              </w:rPr>
              <w:t xml:space="preserve"> data</w:t>
            </w:r>
            <w:r>
              <w:rPr>
                <w:sz w:val="20"/>
                <w:lang w:bidi="en-US"/>
              </w:rPr>
              <w:t>,</w:t>
            </w:r>
            <w:r w:rsidRPr="00692FB4">
              <w:rPr>
                <w:sz w:val="20"/>
                <w:lang w:bidi="en-US"/>
              </w:rPr>
              <w:t xml:space="preserve"> monitor</w:t>
            </w:r>
            <w:r>
              <w:rPr>
                <w:sz w:val="20"/>
                <w:lang w:bidi="en-US"/>
              </w:rPr>
              <w:t>ing</w:t>
            </w:r>
            <w:r w:rsidRPr="00692FB4">
              <w:rPr>
                <w:sz w:val="20"/>
                <w:lang w:bidi="en-US"/>
              </w:rPr>
              <w:t xml:space="preserve"> progress towards turnaround goals and benchmarks</w:t>
            </w:r>
            <w:r>
              <w:rPr>
                <w:sz w:val="20"/>
                <w:lang w:bidi="en-US"/>
              </w:rPr>
              <w:t xml:space="preserve">, and using that </w:t>
            </w:r>
            <w:r w:rsidRPr="00692FB4">
              <w:rPr>
                <w:sz w:val="20"/>
                <w:lang w:bidi="en-US"/>
              </w:rPr>
              <w:t xml:space="preserve">information to modify strategies and initiatives. </w:t>
            </w:r>
          </w:p>
        </w:tc>
        <w:tc>
          <w:tcPr>
            <w:tcW w:w="339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0CDA5BC" w14:textId="77777777" w:rsidR="004B4C34" w:rsidRPr="00867B9E"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It is present throughout the application that the</w:t>
            </w:r>
            <w:r w:rsidRPr="00692FB4">
              <w:rPr>
                <w:sz w:val="20"/>
                <w:lang w:bidi="en-US"/>
              </w:rPr>
              <w:t xml:space="preserve"> school </w:t>
            </w:r>
            <w:r>
              <w:rPr>
                <w:sz w:val="20"/>
                <w:lang w:bidi="en-US"/>
              </w:rPr>
              <w:t xml:space="preserve">is using an adequate system to </w:t>
            </w:r>
            <w:r w:rsidRPr="00692FB4">
              <w:rPr>
                <w:sz w:val="20"/>
                <w:lang w:bidi="en-US"/>
              </w:rPr>
              <w:t>collect data</w:t>
            </w:r>
            <w:r>
              <w:rPr>
                <w:sz w:val="20"/>
                <w:lang w:bidi="en-US"/>
              </w:rPr>
              <w:t>,</w:t>
            </w:r>
            <w:r w:rsidRPr="00692FB4">
              <w:rPr>
                <w:sz w:val="20"/>
                <w:lang w:bidi="en-US"/>
              </w:rPr>
              <w:t xml:space="preserve"> monitor progress towards turnaround goals and benchmarks</w:t>
            </w:r>
            <w:r>
              <w:rPr>
                <w:sz w:val="20"/>
                <w:lang w:bidi="en-US"/>
              </w:rPr>
              <w:t xml:space="preserve">, and uses that </w:t>
            </w:r>
            <w:r w:rsidRPr="00692FB4">
              <w:rPr>
                <w:sz w:val="20"/>
                <w:lang w:bidi="en-US"/>
              </w:rPr>
              <w:t xml:space="preserve">information to modify strategies and initiatives. </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6C5BD0D8" w14:textId="473E7E04" w:rsidR="00704122" w:rsidRPr="00867B9E"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The</w:t>
            </w:r>
            <w:r w:rsidRPr="00692FB4">
              <w:rPr>
                <w:sz w:val="20"/>
                <w:lang w:bidi="en-US"/>
              </w:rPr>
              <w:t xml:space="preserve"> </w:t>
            </w:r>
            <w:r>
              <w:rPr>
                <w:sz w:val="20"/>
                <w:lang w:bidi="en-US"/>
              </w:rPr>
              <w:t xml:space="preserve">system to </w:t>
            </w:r>
            <w:r w:rsidRPr="00692FB4">
              <w:rPr>
                <w:sz w:val="20"/>
                <w:lang w:bidi="en-US"/>
              </w:rPr>
              <w:t>collect data</w:t>
            </w:r>
            <w:r>
              <w:rPr>
                <w:sz w:val="20"/>
                <w:lang w:bidi="en-US"/>
              </w:rPr>
              <w:t>,</w:t>
            </w:r>
            <w:r w:rsidRPr="00692FB4">
              <w:rPr>
                <w:sz w:val="20"/>
                <w:lang w:bidi="en-US"/>
              </w:rPr>
              <w:t xml:space="preserve"> monitor progress towards turnaround goals and benchmarks</w:t>
            </w:r>
            <w:r>
              <w:rPr>
                <w:sz w:val="20"/>
                <w:lang w:bidi="en-US"/>
              </w:rPr>
              <w:t xml:space="preserve">, and use that </w:t>
            </w:r>
            <w:r w:rsidRPr="00692FB4">
              <w:rPr>
                <w:sz w:val="20"/>
                <w:lang w:bidi="en-US"/>
              </w:rPr>
              <w:t>information to modify strategies and initiatives</w:t>
            </w:r>
            <w:r>
              <w:rPr>
                <w:sz w:val="20"/>
                <w:lang w:bidi="en-US"/>
              </w:rPr>
              <w:t xml:space="preserve"> as described in the application could use some improvement to be fully effective. </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967ED7A" w14:textId="77777777" w:rsidR="004B4C34" w:rsidRPr="00692FB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 xml:space="preserve">It is unclear throughout the application if the school has an effective system to </w:t>
            </w:r>
            <w:r w:rsidRPr="00692FB4">
              <w:rPr>
                <w:sz w:val="20"/>
                <w:lang w:bidi="en-US"/>
              </w:rPr>
              <w:t>monitor progress towards turnaround goals and benchmarks</w:t>
            </w:r>
            <w:r>
              <w:rPr>
                <w:sz w:val="20"/>
                <w:lang w:bidi="en-US"/>
              </w:rPr>
              <w:t xml:space="preserve">, and use that </w:t>
            </w:r>
            <w:r w:rsidRPr="00692FB4">
              <w:rPr>
                <w:sz w:val="20"/>
                <w:lang w:bidi="en-US"/>
              </w:rPr>
              <w:t>information to modify strategies and initiatives</w:t>
            </w:r>
            <w:r>
              <w:rPr>
                <w:sz w:val="20"/>
                <w:lang w:bidi="en-US"/>
              </w:rPr>
              <w:t>.</w:t>
            </w:r>
          </w:p>
        </w:tc>
      </w:tr>
      <w:tr w:rsidR="00862692" w:rsidRPr="00692FB4" w14:paraId="657DFED3" w14:textId="77777777" w:rsidTr="008B2336">
        <w:trPr>
          <w:trHeight w:val="223"/>
          <w:jc w:val="center"/>
        </w:trPr>
        <w:tc>
          <w:tcPr>
            <w:tcW w:w="1221" w:type="dxa"/>
            <w:tcBorders>
              <w:top w:val="single" w:sz="8" w:space="0" w:color="auto"/>
              <w:left w:val="single" w:sz="4" w:space="0" w:color="auto"/>
              <w:bottom w:val="single" w:sz="8" w:space="0" w:color="auto"/>
              <w:right w:val="single" w:sz="8" w:space="0" w:color="auto"/>
            </w:tcBorders>
            <w:shd w:val="clear" w:color="auto" w:fill="auto"/>
          </w:tcPr>
          <w:p w14:paraId="35984D07" w14:textId="77777777" w:rsidR="00862692" w:rsidRPr="00692FB4" w:rsidRDefault="00862692" w:rsidP="00862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4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ECFCFCC" w14:textId="63DF95EA" w:rsidR="00862692" w:rsidRPr="00692FB4" w:rsidRDefault="00862692" w:rsidP="00862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9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5639F2C" w14:textId="13870C73" w:rsidR="00862692" w:rsidRPr="00692FB4" w:rsidRDefault="00862692" w:rsidP="00862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9DE4191" w14:textId="3EF55478" w:rsidR="00862692" w:rsidRPr="00692FB4" w:rsidRDefault="00862692" w:rsidP="00862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E85FE6A" w14:textId="64B65E60" w:rsidR="00862692" w:rsidRPr="00692FB4" w:rsidRDefault="00862692" w:rsidP="00862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4B4C34" w:rsidRPr="00692FB4" w14:paraId="0949503F" w14:textId="77777777" w:rsidTr="008B2336">
        <w:trPr>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14:paraId="0F4EDBA1" w14:textId="77777777" w:rsidR="004B4C34" w:rsidRPr="00B6520A" w:rsidRDefault="004B4C34" w:rsidP="005408B9">
            <w:pPr>
              <w:widowControl w:val="0"/>
              <w:autoSpaceDE w:val="0"/>
              <w:autoSpaceDN w:val="0"/>
              <w:adjustRightInd w:val="0"/>
              <w:jc w:val="center"/>
              <w:rPr>
                <w:kern w:val="1"/>
                <w:sz w:val="20"/>
                <w:lang w:bidi="en-US"/>
              </w:rPr>
            </w:pPr>
            <w:r>
              <w:rPr>
                <w:kern w:val="1"/>
                <w:sz w:val="20"/>
                <w:lang w:bidi="en-US"/>
              </w:rPr>
              <w:t>23</w:t>
            </w:r>
            <w:r w:rsidRPr="00B6520A">
              <w:rPr>
                <w:kern w:val="1"/>
                <w:sz w:val="20"/>
                <w:lang w:bidi="en-US"/>
              </w:rPr>
              <w:t>:</w:t>
            </w:r>
          </w:p>
          <w:p w14:paraId="5F4C5EC4" w14:textId="77777777" w:rsidR="004B4C34" w:rsidRPr="00B6520A" w:rsidRDefault="004B4C34" w:rsidP="005408B9">
            <w:pPr>
              <w:widowControl w:val="0"/>
              <w:autoSpaceDE w:val="0"/>
              <w:autoSpaceDN w:val="0"/>
              <w:adjustRightInd w:val="0"/>
              <w:jc w:val="center"/>
              <w:rPr>
                <w:kern w:val="1"/>
                <w:sz w:val="20"/>
                <w:lang w:bidi="en-US"/>
              </w:rPr>
            </w:pPr>
            <w:r w:rsidRPr="00B6520A">
              <w:rPr>
                <w:kern w:val="1"/>
                <w:sz w:val="20"/>
                <w:lang w:bidi="en-US"/>
              </w:rPr>
              <w:t>Multi-Year Financial Plan</w:t>
            </w:r>
          </w:p>
        </w:tc>
        <w:tc>
          <w:tcPr>
            <w:tcW w:w="3449"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FDC76A6" w14:textId="77777777" w:rsidR="004B4C34" w:rsidRPr="00B6520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B6520A">
              <w:rPr>
                <w:sz w:val="20"/>
                <w:lang w:bidi="en-US"/>
              </w:rPr>
              <w:t xml:space="preserve">The multi-year financial plan provides </w:t>
            </w:r>
            <w:r w:rsidRPr="00CB6302">
              <w:rPr>
                <w:i/>
                <w:sz w:val="20"/>
                <w:lang w:bidi="en-US"/>
              </w:rPr>
              <w:t>strong</w:t>
            </w:r>
            <w:r w:rsidRPr="00CB6302">
              <w:rPr>
                <w:sz w:val="20"/>
                <w:lang w:bidi="en-US"/>
              </w:rPr>
              <w:t xml:space="preserve"> evidence</w:t>
            </w:r>
            <w:r w:rsidRPr="00B6520A">
              <w:rPr>
                <w:sz w:val="20"/>
                <w:lang w:bidi="en-US"/>
              </w:rPr>
              <w:t xml:space="preserve"> that the principal has the necessary budget autonomy to strategically use and align resources to implement the turnaround plan by: </w:t>
            </w:r>
          </w:p>
          <w:p w14:paraId="17C071EF"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specifically identifying sources and amounts (either new or repurposed) of funds that will complement the grant funds to support timely implementation, </w:t>
            </w:r>
          </w:p>
          <w:p w14:paraId="4CDF9712"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clearly describing how the school will use data to target or refine supports and inform funding decisions and sustainability,</w:t>
            </w:r>
          </w:p>
          <w:p w14:paraId="38B35EB0"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and provides </w:t>
            </w:r>
            <w:r w:rsidRPr="00B6520A">
              <w:rPr>
                <w:rFonts w:cs="Palatino-Roman"/>
                <w:lang w:bidi="en-US"/>
              </w:rPr>
              <w:t>evidence that district and school leadership has considered the cost implications of the selected strategies and how each can be sustained after the grant has ended.</w:t>
            </w:r>
          </w:p>
        </w:tc>
        <w:tc>
          <w:tcPr>
            <w:tcW w:w="339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544454E9" w14:textId="77777777" w:rsidR="004B4C34" w:rsidRPr="00B6520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B6520A">
              <w:rPr>
                <w:sz w:val="20"/>
                <w:lang w:bidi="en-US"/>
              </w:rPr>
              <w:t xml:space="preserve">The multi-year financial plan provides </w:t>
            </w:r>
            <w:r w:rsidRPr="00CB6302">
              <w:rPr>
                <w:i/>
                <w:sz w:val="20"/>
                <w:lang w:bidi="en-US"/>
              </w:rPr>
              <w:t>adequate</w:t>
            </w:r>
            <w:r w:rsidRPr="00CB6302">
              <w:rPr>
                <w:sz w:val="20"/>
                <w:lang w:bidi="en-US"/>
              </w:rPr>
              <w:t xml:space="preserve"> evidence</w:t>
            </w:r>
            <w:r w:rsidRPr="00B6520A">
              <w:rPr>
                <w:sz w:val="20"/>
                <w:lang w:bidi="en-US"/>
              </w:rPr>
              <w:t xml:space="preserve"> that the principal has the necessary budget autonomy to strategically use and align resources to implement the turnaround plan by: </w:t>
            </w:r>
          </w:p>
          <w:p w14:paraId="5C7A59B7"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specifically identifying sources and amounts (either new or repurposed) of funds that will complement the grant funds to support timely implementation, </w:t>
            </w:r>
          </w:p>
          <w:p w14:paraId="5CD0B0F9"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clearly describing how the school will use data to target or refine supports and inform funding decisions and sustainability,</w:t>
            </w:r>
          </w:p>
          <w:p w14:paraId="4D222516"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and provides </w:t>
            </w:r>
            <w:r w:rsidRPr="00B6520A">
              <w:rPr>
                <w:rFonts w:cs="Palatino-Roman"/>
                <w:lang w:bidi="en-US"/>
              </w:rPr>
              <w:t>evidence that district and school leadership has considered the cost implications of the selected strategies and how each can be sustained after the grant has ended.</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1F594A9" w14:textId="77777777" w:rsidR="004B4C34" w:rsidRPr="00B6520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B6520A">
              <w:rPr>
                <w:sz w:val="20"/>
                <w:lang w:bidi="en-US"/>
              </w:rPr>
              <w:t xml:space="preserve">The multi-year financial plan provides </w:t>
            </w:r>
            <w:r w:rsidRPr="00CB6302">
              <w:rPr>
                <w:i/>
                <w:sz w:val="20"/>
                <w:lang w:bidi="en-US"/>
              </w:rPr>
              <w:t>marginal</w:t>
            </w:r>
            <w:r w:rsidRPr="00CB6302">
              <w:rPr>
                <w:sz w:val="20"/>
                <w:lang w:bidi="en-US"/>
              </w:rPr>
              <w:t xml:space="preserve"> evidence</w:t>
            </w:r>
            <w:r w:rsidRPr="00B6520A">
              <w:rPr>
                <w:sz w:val="20"/>
                <w:lang w:bidi="en-US"/>
              </w:rPr>
              <w:t xml:space="preserve"> that the principal has the necessary budget autonomy to strategically use and align resources to implement the turnaround plan by: </w:t>
            </w:r>
          </w:p>
          <w:p w14:paraId="3554DECD"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specifically identifying sources and amounts (either new or repurposed) of funds that will complement the grant funds to support timely implementation, </w:t>
            </w:r>
          </w:p>
          <w:p w14:paraId="13F43C49"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clearly describing how the school will use data to target or refine supports and inform funding decisions and sustainability,</w:t>
            </w:r>
          </w:p>
          <w:p w14:paraId="1BB97FE2"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and provides </w:t>
            </w:r>
            <w:r w:rsidRPr="00B6520A">
              <w:rPr>
                <w:rFonts w:cs="Palatino-Roman"/>
                <w:lang w:bidi="en-US"/>
              </w:rPr>
              <w:t>evidence that district and school leadership has considered the cost implications of the selected strategies and how each can be sustained after the grant has ended.</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66BBFE4" w14:textId="77777777" w:rsidR="004B4C34" w:rsidRPr="00B6520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B6520A">
              <w:rPr>
                <w:sz w:val="20"/>
                <w:lang w:bidi="en-US"/>
              </w:rPr>
              <w:t xml:space="preserve">The multi-year financial plan provides </w:t>
            </w:r>
            <w:r w:rsidRPr="00CB6302">
              <w:rPr>
                <w:i/>
                <w:sz w:val="20"/>
                <w:lang w:bidi="en-US"/>
              </w:rPr>
              <w:t>limited</w:t>
            </w:r>
            <w:r w:rsidRPr="00CB6302">
              <w:rPr>
                <w:sz w:val="20"/>
                <w:lang w:bidi="en-US"/>
              </w:rPr>
              <w:t xml:space="preserve"> to no evidence</w:t>
            </w:r>
            <w:r w:rsidRPr="00B6520A">
              <w:rPr>
                <w:sz w:val="20"/>
                <w:lang w:bidi="en-US"/>
              </w:rPr>
              <w:t xml:space="preserve"> that the principal has the necessary budget autonomy to strategically use and align resources to implement the turnaround plan by: </w:t>
            </w:r>
          </w:p>
          <w:p w14:paraId="5EAD6FE8"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specifically identifying sources and amounts (either new or repurposed) of funds that will complement the grant funds to support timely implementation, </w:t>
            </w:r>
          </w:p>
          <w:p w14:paraId="3EAB0E91"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clearly describing how the school will use data to target or refine supports and inform funding decisions and sustainability,</w:t>
            </w:r>
          </w:p>
          <w:p w14:paraId="435AB11C" w14:textId="77777777" w:rsidR="004B4C34" w:rsidRPr="00B6520A" w:rsidRDefault="004B4C34" w:rsidP="004B4C34">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lang w:bidi="en-US"/>
              </w:rPr>
            </w:pPr>
            <w:r w:rsidRPr="00B6520A">
              <w:rPr>
                <w:lang w:bidi="en-US"/>
              </w:rPr>
              <w:t xml:space="preserve">and provides </w:t>
            </w:r>
            <w:r w:rsidRPr="00B6520A">
              <w:rPr>
                <w:rFonts w:cs="Palatino-Roman"/>
                <w:lang w:bidi="en-US"/>
              </w:rPr>
              <w:t>evidence that district and school leadership has considered the cost implications of the selected strategies and how each can be sustained after the grant has ended.</w:t>
            </w:r>
          </w:p>
        </w:tc>
      </w:tr>
    </w:tbl>
    <w:p w14:paraId="5C9848E4" w14:textId="77777777" w:rsidR="004B4C34" w:rsidRDefault="004B4C34" w:rsidP="004B4C34">
      <w:pPr>
        <w:outlineLvl w:val="0"/>
        <w:rPr>
          <w:b/>
        </w:rPr>
      </w:pPr>
    </w:p>
    <w:p w14:paraId="0A684459" w14:textId="77777777" w:rsidR="00862692" w:rsidRDefault="00862692" w:rsidP="004B4C34">
      <w:pPr>
        <w:outlineLvl w:val="0"/>
        <w:rPr>
          <w:b/>
        </w:rPr>
      </w:pPr>
    </w:p>
    <w:p w14:paraId="2AF1A078" w14:textId="77777777" w:rsidR="00862692" w:rsidRDefault="00862692" w:rsidP="004B4C34">
      <w:pPr>
        <w:outlineLvl w:val="0"/>
        <w:rPr>
          <w:b/>
        </w:rPr>
      </w:pPr>
    </w:p>
    <w:p w14:paraId="3C1475D9" w14:textId="77777777" w:rsidR="00862692" w:rsidRDefault="00862692" w:rsidP="004B4C34">
      <w:pPr>
        <w:outlineLvl w:val="0"/>
        <w:rPr>
          <w:b/>
        </w:rPr>
      </w:pPr>
    </w:p>
    <w:p w14:paraId="762E42A9" w14:textId="77777777" w:rsidR="00862692" w:rsidRDefault="00862692" w:rsidP="004B4C34">
      <w:pPr>
        <w:outlineLvl w:val="0"/>
        <w:rPr>
          <w:b/>
        </w:rPr>
      </w:pPr>
    </w:p>
    <w:p w14:paraId="554D0A81" w14:textId="77777777" w:rsidR="00862692" w:rsidRDefault="00862692" w:rsidP="004B4C34">
      <w:pPr>
        <w:outlineLvl w:val="0"/>
        <w:rPr>
          <w:b/>
        </w:rPr>
      </w:pPr>
    </w:p>
    <w:p w14:paraId="293EB934" w14:textId="77777777" w:rsidR="00862692" w:rsidRDefault="00862692" w:rsidP="004B4C34">
      <w:pPr>
        <w:outlineLvl w:val="0"/>
        <w:rPr>
          <w:b/>
        </w:rPr>
      </w:pPr>
    </w:p>
    <w:p w14:paraId="0410DC68" w14:textId="77777777" w:rsidR="00862692" w:rsidRDefault="00862692" w:rsidP="004B4C34">
      <w:pPr>
        <w:outlineLvl w:val="0"/>
        <w:rPr>
          <w:b/>
        </w:rPr>
      </w:pPr>
    </w:p>
    <w:p w14:paraId="580CEA22" w14:textId="77777777" w:rsidR="00862692" w:rsidRDefault="00862692" w:rsidP="004B4C34">
      <w:pPr>
        <w:outlineLvl w:val="0"/>
        <w:rPr>
          <w:b/>
        </w:rPr>
      </w:pPr>
    </w:p>
    <w:p w14:paraId="4318EE73" w14:textId="77777777" w:rsidR="00862692" w:rsidRDefault="00862692" w:rsidP="004B4C34">
      <w:pPr>
        <w:outlineLvl w:val="0"/>
        <w:rPr>
          <w:b/>
        </w:rPr>
      </w:pPr>
    </w:p>
    <w:p w14:paraId="2927A672" w14:textId="77777777" w:rsidR="00862692" w:rsidRDefault="00862692" w:rsidP="004B4C34">
      <w:pPr>
        <w:outlineLvl w:val="0"/>
        <w:rPr>
          <w:b/>
        </w:rPr>
      </w:pPr>
    </w:p>
    <w:p w14:paraId="26DCFD33" w14:textId="77777777" w:rsidR="00862692" w:rsidRDefault="00862692" w:rsidP="004B4C34">
      <w:pPr>
        <w:outlineLvl w:val="0"/>
        <w:rPr>
          <w:b/>
        </w:rPr>
      </w:pPr>
    </w:p>
    <w:p w14:paraId="1E954AF4" w14:textId="77777777" w:rsidR="00862692" w:rsidRDefault="00862692" w:rsidP="004B4C34">
      <w:pPr>
        <w:outlineLvl w:val="0"/>
        <w:rPr>
          <w:b/>
        </w:rPr>
      </w:pPr>
    </w:p>
    <w:p w14:paraId="7F79D3FC" w14:textId="77777777" w:rsidR="00862692" w:rsidRDefault="00862692" w:rsidP="004B4C34">
      <w:pPr>
        <w:outlineLvl w:val="0"/>
        <w:rPr>
          <w:b/>
        </w:rPr>
      </w:pPr>
    </w:p>
    <w:p w14:paraId="59314205" w14:textId="2257057A" w:rsidR="004B4C34" w:rsidRPr="00032F17" w:rsidRDefault="004B4C34" w:rsidP="004B4C34">
      <w:pPr>
        <w:outlineLvl w:val="0"/>
        <w:rPr>
          <w:b/>
        </w:rPr>
      </w:pPr>
      <w:r w:rsidRPr="00507AA6">
        <w:rPr>
          <w:b/>
        </w:rPr>
        <w:t xml:space="preserve">Budget Review </w:t>
      </w:r>
      <w:r>
        <w:rPr>
          <w:b/>
        </w:rPr>
        <w:t>Items:</w:t>
      </w:r>
    </w:p>
    <w:p w14:paraId="51BEA8EF" w14:textId="77777777" w:rsidR="004B4C34" w:rsidRDefault="004B4C34" w:rsidP="004B4C34">
      <w:pPr>
        <w:jc w:val="center"/>
        <w:rPr>
          <w:rFonts w:cs="Palatino-Roman"/>
          <w:szCs w:val="24"/>
          <w:lang w:bidi="en-US"/>
        </w:rPr>
      </w:pPr>
    </w:p>
    <w:tbl>
      <w:tblPr>
        <w:tblW w:w="14670" w:type="dxa"/>
        <w:jc w:val="center"/>
        <w:tblBorders>
          <w:top w:val="nil"/>
          <w:left w:val="nil"/>
          <w:right w:val="nil"/>
        </w:tblBorders>
        <w:tblLayout w:type="fixed"/>
        <w:tblLook w:val="0000" w:firstRow="0" w:lastRow="0" w:firstColumn="0" w:lastColumn="0" w:noHBand="0" w:noVBand="0"/>
      </w:tblPr>
      <w:tblGrid>
        <w:gridCol w:w="1395"/>
        <w:gridCol w:w="3330"/>
        <w:gridCol w:w="3330"/>
        <w:gridCol w:w="3240"/>
        <w:gridCol w:w="3375"/>
      </w:tblGrid>
      <w:tr w:rsidR="004B4C34" w:rsidRPr="0071250C" w14:paraId="20B51FAB" w14:textId="77777777" w:rsidTr="005408B9">
        <w:trPr>
          <w:jc w:val="center"/>
        </w:trPr>
        <w:tc>
          <w:tcPr>
            <w:tcW w:w="1395" w:type="dxa"/>
            <w:tcBorders>
              <w:top w:val="single" w:sz="8" w:space="0" w:color="auto"/>
              <w:left w:val="single" w:sz="12" w:space="0" w:color="auto"/>
              <w:bottom w:val="single" w:sz="8" w:space="0" w:color="auto"/>
              <w:right w:val="single" w:sz="12" w:space="0" w:color="auto"/>
            </w:tcBorders>
          </w:tcPr>
          <w:p w14:paraId="1A63C0FA"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p>
        </w:tc>
        <w:tc>
          <w:tcPr>
            <w:tcW w:w="3330" w:type="dxa"/>
            <w:tcBorders>
              <w:top w:val="single" w:sz="8" w:space="0" w:color="auto"/>
              <w:left w:val="single" w:sz="12" w:space="0" w:color="auto"/>
              <w:bottom w:val="single" w:sz="8" w:space="0" w:color="auto"/>
              <w:right w:val="single" w:sz="12" w:space="0" w:color="auto"/>
            </w:tcBorders>
          </w:tcPr>
          <w:p w14:paraId="7FEEFCBA"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 w:val="20"/>
                <w:lang w:bidi="en-US"/>
              </w:rPr>
            </w:pPr>
            <w:r w:rsidRPr="0071250C">
              <w:rPr>
                <w:rFonts w:cs="Palatino-Roman"/>
                <w:b/>
                <w:bCs/>
                <w:sz w:val="20"/>
                <w:lang w:bidi="en-US"/>
              </w:rPr>
              <w:t>Strong - 4</w:t>
            </w:r>
          </w:p>
        </w:tc>
        <w:tc>
          <w:tcPr>
            <w:tcW w:w="3330" w:type="dxa"/>
            <w:tcBorders>
              <w:top w:val="single" w:sz="8" w:space="0" w:color="auto"/>
              <w:left w:val="single" w:sz="12" w:space="0" w:color="auto"/>
              <w:bottom w:val="single" w:sz="8" w:space="0" w:color="auto"/>
              <w:right w:val="single" w:sz="12" w:space="0" w:color="auto"/>
            </w:tcBorders>
          </w:tcPr>
          <w:p w14:paraId="0E625778"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 w:val="20"/>
                <w:lang w:bidi="en-US"/>
              </w:rPr>
            </w:pPr>
            <w:r w:rsidRPr="0071250C">
              <w:rPr>
                <w:rFonts w:cs="Palatino-Roman"/>
                <w:b/>
                <w:bCs/>
                <w:sz w:val="20"/>
                <w:lang w:bidi="en-US"/>
              </w:rPr>
              <w:t>Adequate - 3</w:t>
            </w:r>
          </w:p>
        </w:tc>
        <w:tc>
          <w:tcPr>
            <w:tcW w:w="3240" w:type="dxa"/>
            <w:tcBorders>
              <w:top w:val="single" w:sz="8" w:space="0" w:color="auto"/>
              <w:left w:val="single" w:sz="12" w:space="0" w:color="auto"/>
              <w:bottom w:val="single" w:sz="8" w:space="0" w:color="auto"/>
              <w:right w:val="single" w:sz="12" w:space="0" w:color="auto"/>
            </w:tcBorders>
            <w:tcMar>
              <w:top w:w="40" w:type="nil"/>
              <w:left w:w="40" w:type="nil"/>
              <w:bottom w:w="40" w:type="nil"/>
              <w:right w:w="40" w:type="nil"/>
            </w:tcMar>
          </w:tcPr>
          <w:p w14:paraId="6DC25FA5"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 w:val="20"/>
                <w:lang w:bidi="en-US"/>
              </w:rPr>
            </w:pPr>
            <w:r w:rsidRPr="0071250C">
              <w:rPr>
                <w:rFonts w:cs="Palatino-Roman"/>
                <w:b/>
                <w:bCs/>
                <w:sz w:val="20"/>
                <w:lang w:bidi="en-US"/>
              </w:rPr>
              <w:t>Marginal - 2</w:t>
            </w:r>
          </w:p>
        </w:tc>
        <w:tc>
          <w:tcPr>
            <w:tcW w:w="3375" w:type="dxa"/>
            <w:tcBorders>
              <w:top w:val="single" w:sz="8" w:space="0" w:color="auto"/>
              <w:left w:val="single" w:sz="12" w:space="0" w:color="auto"/>
              <w:bottom w:val="single" w:sz="8" w:space="0" w:color="auto"/>
              <w:right w:val="single" w:sz="8" w:space="0" w:color="auto"/>
            </w:tcBorders>
            <w:tcMar>
              <w:top w:w="100" w:type="nil"/>
              <w:left w:w="100" w:type="nil"/>
              <w:bottom w:w="100" w:type="nil"/>
              <w:right w:w="100" w:type="nil"/>
            </w:tcMar>
          </w:tcPr>
          <w:p w14:paraId="54DC40F7"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 w:val="20"/>
                <w:lang w:bidi="en-US"/>
              </w:rPr>
            </w:pPr>
            <w:r w:rsidRPr="0071250C">
              <w:rPr>
                <w:rFonts w:cs="Palatino-Roman"/>
                <w:b/>
                <w:bCs/>
                <w:sz w:val="20"/>
                <w:lang w:bidi="en-US"/>
              </w:rPr>
              <w:t>Weak - 1</w:t>
            </w:r>
          </w:p>
        </w:tc>
      </w:tr>
      <w:tr w:rsidR="004B4C34" w:rsidRPr="0071250C" w14:paraId="70D0AF95" w14:textId="77777777" w:rsidTr="005408B9">
        <w:trPr>
          <w:jc w:val="center"/>
        </w:trPr>
        <w:tc>
          <w:tcPr>
            <w:tcW w:w="1395" w:type="dxa"/>
            <w:tcBorders>
              <w:top w:val="single" w:sz="8" w:space="0" w:color="auto"/>
              <w:left w:val="single" w:sz="8" w:space="0" w:color="auto"/>
              <w:bottom w:val="single" w:sz="8" w:space="0" w:color="auto"/>
              <w:right w:val="single" w:sz="8" w:space="0" w:color="auto"/>
            </w:tcBorders>
          </w:tcPr>
          <w:p w14:paraId="5F8CB817"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p>
          <w:p w14:paraId="347F2372"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71250C">
              <w:rPr>
                <w:rFonts w:cs="Palatino-Roman"/>
                <w:bCs/>
                <w:sz w:val="20"/>
                <w:lang w:bidi="en-US"/>
              </w:rPr>
              <w:t xml:space="preserve">24: </w:t>
            </w:r>
          </w:p>
          <w:p w14:paraId="0C7FA522"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71250C">
              <w:rPr>
                <w:rFonts w:cs="Palatino-Roman"/>
                <w:bCs/>
                <w:sz w:val="20"/>
                <w:lang w:bidi="en-US"/>
              </w:rPr>
              <w:t>Quality of Budget Proposal</w:t>
            </w:r>
          </w:p>
        </w:tc>
        <w:tc>
          <w:tcPr>
            <w:tcW w:w="3330" w:type="dxa"/>
            <w:tcBorders>
              <w:top w:val="single" w:sz="8" w:space="0" w:color="auto"/>
              <w:left w:val="single" w:sz="8" w:space="0" w:color="auto"/>
              <w:bottom w:val="single" w:sz="8" w:space="0" w:color="auto"/>
              <w:right w:val="single" w:sz="8" w:space="0" w:color="auto"/>
            </w:tcBorders>
            <w:vAlign w:val="center"/>
          </w:tcPr>
          <w:p w14:paraId="17EEBF3A"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71250C">
              <w:rPr>
                <w:rFonts w:cs="Palatino-Roman"/>
                <w:bCs/>
                <w:sz w:val="20"/>
                <w:lang w:bidi="en-US"/>
              </w:rPr>
              <w:t xml:space="preserve">The budget narrative </w:t>
            </w:r>
            <w:r w:rsidRPr="00EA33B6">
              <w:rPr>
                <w:rFonts w:cs="Palatino-Roman"/>
                <w:bCs/>
                <w:i/>
                <w:sz w:val="20"/>
                <w:lang w:bidi="en-US"/>
              </w:rPr>
              <w:t>clearly</w:t>
            </w:r>
            <w:r w:rsidRPr="0071250C">
              <w:rPr>
                <w:rFonts w:cs="Palatino-Roman"/>
                <w:bCs/>
                <w:sz w:val="20"/>
                <w:lang w:bidi="en-US"/>
              </w:rPr>
              <w:t xml:space="preserve"> justifies how </w:t>
            </w:r>
            <w:r w:rsidRPr="00EA33B6">
              <w:rPr>
                <w:rFonts w:cs="Palatino-Roman"/>
                <w:bCs/>
                <w:i/>
                <w:sz w:val="20"/>
                <w:lang w:bidi="en-US"/>
              </w:rPr>
              <w:t>all</w:t>
            </w:r>
            <w:r w:rsidRPr="0071250C">
              <w:rPr>
                <w:rFonts w:cs="Palatino-Roman"/>
                <w:bCs/>
                <w:sz w:val="20"/>
                <w:lang w:bidi="en-US"/>
              </w:rPr>
              <w:t xml:space="preserve"> proposed grant expenditures are aligned, reasonable, necessary, and allowable </w:t>
            </w:r>
            <w:r w:rsidRPr="0071250C">
              <w:rPr>
                <w:rFonts w:cs="Palatino-Roman"/>
                <w:sz w:val="20"/>
                <w:lang w:bidi="en-US"/>
              </w:rPr>
              <w:t xml:space="preserve">to support the key strategies as proposed in the turnaround plan.  </w:t>
            </w:r>
          </w:p>
        </w:tc>
        <w:tc>
          <w:tcPr>
            <w:tcW w:w="3330" w:type="dxa"/>
            <w:tcBorders>
              <w:top w:val="single" w:sz="8" w:space="0" w:color="auto"/>
              <w:left w:val="single" w:sz="8" w:space="0" w:color="auto"/>
              <w:bottom w:val="single" w:sz="8" w:space="0" w:color="auto"/>
              <w:right w:val="single" w:sz="8" w:space="0" w:color="auto"/>
            </w:tcBorders>
            <w:vAlign w:val="center"/>
          </w:tcPr>
          <w:p w14:paraId="3D2ADE8D"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71250C">
              <w:rPr>
                <w:rFonts w:cs="Palatino-Roman"/>
                <w:bCs/>
                <w:sz w:val="20"/>
                <w:lang w:bidi="en-US"/>
              </w:rPr>
              <w:t xml:space="preserve">The budget narrative </w:t>
            </w:r>
            <w:r w:rsidRPr="00EA33B6">
              <w:rPr>
                <w:rFonts w:cs="Palatino-Roman"/>
                <w:bCs/>
                <w:i/>
                <w:sz w:val="20"/>
                <w:lang w:bidi="en-US"/>
              </w:rPr>
              <w:t>adequately</w:t>
            </w:r>
            <w:r w:rsidRPr="0071250C">
              <w:rPr>
                <w:rFonts w:cs="Palatino-Roman"/>
                <w:bCs/>
                <w:sz w:val="20"/>
                <w:lang w:bidi="en-US"/>
              </w:rPr>
              <w:t xml:space="preserve"> justifies how </w:t>
            </w:r>
            <w:r w:rsidRPr="00EA33B6">
              <w:rPr>
                <w:rFonts w:cs="Palatino-Roman"/>
                <w:bCs/>
                <w:i/>
                <w:sz w:val="20"/>
                <w:lang w:bidi="en-US"/>
              </w:rPr>
              <w:t>most</w:t>
            </w:r>
            <w:r w:rsidRPr="0071250C">
              <w:rPr>
                <w:rFonts w:cs="Palatino-Roman"/>
                <w:bCs/>
                <w:sz w:val="20"/>
                <w:lang w:bidi="en-US"/>
              </w:rPr>
              <w:t xml:space="preserve"> proposed grant expenditures are aligned, reasonable, necessary, and allowable </w:t>
            </w:r>
            <w:r w:rsidRPr="0071250C">
              <w:rPr>
                <w:rFonts w:cs="Palatino-Roman"/>
                <w:sz w:val="20"/>
                <w:lang w:bidi="en-US"/>
              </w:rPr>
              <w:t xml:space="preserve">to support the key strategies as proposed in the turnaround plan.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0A88FD4"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71250C">
              <w:rPr>
                <w:rFonts w:cs="Palatino-Roman"/>
                <w:bCs/>
                <w:sz w:val="20"/>
                <w:lang w:bidi="en-US"/>
              </w:rPr>
              <w:t xml:space="preserve">The budget narrative justifies how </w:t>
            </w:r>
            <w:r w:rsidRPr="00EA33B6">
              <w:rPr>
                <w:rFonts w:cs="Palatino-Roman"/>
                <w:bCs/>
                <w:i/>
                <w:sz w:val="20"/>
                <w:lang w:bidi="en-US"/>
              </w:rPr>
              <w:t>some</w:t>
            </w:r>
            <w:r w:rsidRPr="0071250C">
              <w:rPr>
                <w:rFonts w:cs="Palatino-Roman"/>
                <w:bCs/>
                <w:sz w:val="20"/>
                <w:lang w:bidi="en-US"/>
              </w:rPr>
              <w:t xml:space="preserve"> proposed grant expenditures are aligned, reasonable, necessary, and allowable </w:t>
            </w:r>
            <w:r w:rsidRPr="0071250C">
              <w:rPr>
                <w:rFonts w:cs="Palatino-Roman"/>
                <w:sz w:val="20"/>
                <w:lang w:bidi="en-US"/>
              </w:rPr>
              <w:t xml:space="preserve">to support the key strategies as proposed in the turnaround plan.  </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4DA2923B" w14:textId="77777777" w:rsidR="004B4C34" w:rsidRPr="0071250C"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71250C">
              <w:rPr>
                <w:rFonts w:cs="Palatino-Roman"/>
                <w:bCs/>
                <w:sz w:val="20"/>
                <w:lang w:bidi="en-US"/>
              </w:rPr>
              <w:t xml:space="preserve">The budget narrative does not clearly justify how most proposed grant expenditures are aligned, reasonable, necessary, and allowable </w:t>
            </w:r>
            <w:r w:rsidRPr="0071250C">
              <w:rPr>
                <w:rFonts w:cs="Palatino-Roman"/>
                <w:sz w:val="20"/>
                <w:lang w:bidi="en-US"/>
              </w:rPr>
              <w:t xml:space="preserve">to support the key strategies as proposed in the turnaround plan.  </w:t>
            </w:r>
          </w:p>
        </w:tc>
      </w:tr>
      <w:tr w:rsidR="004B4C34" w:rsidRPr="0071250C" w14:paraId="0B36C1EE" w14:textId="77777777" w:rsidTr="00704122">
        <w:trPr>
          <w:trHeight w:val="1744"/>
          <w:jc w:val="center"/>
        </w:trPr>
        <w:tc>
          <w:tcPr>
            <w:tcW w:w="1395" w:type="dxa"/>
            <w:tcBorders>
              <w:top w:val="single" w:sz="8" w:space="0" w:color="auto"/>
              <w:left w:val="single" w:sz="8" w:space="0" w:color="auto"/>
              <w:bottom w:val="single" w:sz="8" w:space="0" w:color="auto"/>
              <w:right w:val="single" w:sz="8" w:space="0" w:color="auto"/>
            </w:tcBorders>
          </w:tcPr>
          <w:p w14:paraId="3CC67414" w14:textId="0D7D02E4" w:rsidR="004B4C34"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14:paraId="0FE4A5F2" w14:textId="77777777" w:rsidR="00704122" w:rsidRPr="0071250C" w:rsidRDefault="00704122"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p>
          <w:p w14:paraId="245FF311" w14:textId="173E0387" w:rsidR="004B4C34" w:rsidRPr="0071250C" w:rsidRDefault="004B4C34" w:rsidP="007041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sidRPr="0071250C">
              <w:rPr>
                <w:rFonts w:cs="Palatino-Roman"/>
                <w:bCs/>
                <w:sz w:val="20"/>
                <w:szCs w:val="22"/>
                <w:lang w:bidi="en-US"/>
              </w:rPr>
              <w:t>25:</w:t>
            </w:r>
          </w:p>
          <w:p w14:paraId="0FFC97D0" w14:textId="0D1C9FA2" w:rsidR="004B4C34" w:rsidRPr="0071250C" w:rsidRDefault="00145BA6" w:rsidP="007041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szCs w:val="22"/>
                <w:lang w:bidi="en-US"/>
              </w:rPr>
            </w:pPr>
            <w:r>
              <w:rPr>
                <w:rFonts w:cs="Palatino-Roman"/>
                <w:bCs/>
                <w:sz w:val="20"/>
                <w:szCs w:val="22"/>
                <w:lang w:bidi="en-US"/>
              </w:rPr>
              <w:t>Data use and Funding Sustainability</w:t>
            </w:r>
          </w:p>
        </w:tc>
        <w:tc>
          <w:tcPr>
            <w:tcW w:w="3330" w:type="dxa"/>
            <w:tcBorders>
              <w:top w:val="single" w:sz="8" w:space="0" w:color="auto"/>
              <w:left w:val="single" w:sz="8" w:space="0" w:color="auto"/>
              <w:bottom w:val="single" w:sz="8" w:space="0" w:color="auto"/>
              <w:right w:val="single" w:sz="8" w:space="0" w:color="auto"/>
            </w:tcBorders>
            <w:vAlign w:val="center"/>
          </w:tcPr>
          <w:p w14:paraId="311949F5" w14:textId="45AA4EEB" w:rsidR="004B4C34" w:rsidRPr="00436FF8" w:rsidRDefault="00145BA6"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20"/>
                <w:lang w:bidi="en-US"/>
              </w:rPr>
            </w:pPr>
            <w:r w:rsidRPr="00145BA6">
              <w:rPr>
                <w:rFonts w:cs="Palatino-Roman"/>
                <w:sz w:val="20"/>
                <w:lang w:bidi="en-US"/>
              </w:rPr>
              <w:t>Clearly describe</w:t>
            </w:r>
            <w:r>
              <w:rPr>
                <w:rFonts w:cs="Palatino-Roman"/>
                <w:sz w:val="20"/>
                <w:lang w:bidi="en-US"/>
              </w:rPr>
              <w:t>s</w:t>
            </w:r>
            <w:r w:rsidRPr="00145BA6">
              <w:rPr>
                <w:rFonts w:cs="Palatino-Roman"/>
                <w:sz w:val="20"/>
                <w:lang w:bidi="en-US"/>
              </w:rPr>
              <w:t xml:space="preserve"> how the school uses data to target or refine supports and inform future funding decisions </w:t>
            </w:r>
            <w:r>
              <w:rPr>
                <w:rFonts w:cs="Palatino-Roman"/>
                <w:sz w:val="20"/>
                <w:lang w:bidi="en-US"/>
              </w:rPr>
              <w:t xml:space="preserve">AND clearly </w:t>
            </w:r>
            <w:r w:rsidRPr="00145BA6">
              <w:rPr>
                <w:rFonts w:cs="Palatino-Roman"/>
                <w:sz w:val="20"/>
                <w:lang w:bidi="en-US"/>
              </w:rPr>
              <w:t>not</w:t>
            </w:r>
            <w:r w:rsidR="008B5686">
              <w:rPr>
                <w:rFonts w:cs="Palatino-Roman"/>
                <w:sz w:val="20"/>
                <w:lang w:bidi="en-US"/>
              </w:rPr>
              <w:t>es</w:t>
            </w:r>
            <w:r w:rsidRPr="00145BA6">
              <w:rPr>
                <w:rFonts w:cs="Palatino-Roman"/>
                <w:sz w:val="20"/>
                <w:lang w:bidi="en-US"/>
              </w:rPr>
              <w:t xml:space="preserve"> how efforts can be </w:t>
            </w:r>
            <w:r w:rsidR="008B5686">
              <w:rPr>
                <w:rFonts w:cs="Palatino-Roman"/>
                <w:sz w:val="20"/>
                <w:lang w:bidi="en-US"/>
              </w:rPr>
              <w:t>sustained</w:t>
            </w:r>
            <w:r w:rsidRPr="00145BA6">
              <w:rPr>
                <w:rFonts w:cs="Palatino-Roman"/>
                <w:sz w:val="20"/>
                <w:lang w:bidi="en-US"/>
              </w:rPr>
              <w:t xml:space="preserve"> once grant funding has ended.</w:t>
            </w:r>
          </w:p>
        </w:tc>
        <w:tc>
          <w:tcPr>
            <w:tcW w:w="3330" w:type="dxa"/>
            <w:tcBorders>
              <w:top w:val="single" w:sz="8" w:space="0" w:color="auto"/>
              <w:left w:val="single" w:sz="8" w:space="0" w:color="auto"/>
              <w:bottom w:val="single" w:sz="8" w:space="0" w:color="auto"/>
              <w:right w:val="single" w:sz="8" w:space="0" w:color="auto"/>
            </w:tcBorders>
            <w:vAlign w:val="center"/>
          </w:tcPr>
          <w:p w14:paraId="3237134C" w14:textId="62263DB8" w:rsidR="004B4C34" w:rsidRPr="00436FF8" w:rsidRDefault="00145BA6"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Pr>
                <w:rFonts w:cs="Palatino-Roman"/>
                <w:sz w:val="20"/>
                <w:lang w:bidi="en-US"/>
              </w:rPr>
              <w:t>Generally</w:t>
            </w:r>
            <w:r w:rsidRPr="00145BA6">
              <w:rPr>
                <w:rFonts w:cs="Palatino-Roman"/>
                <w:sz w:val="20"/>
                <w:lang w:bidi="en-US"/>
              </w:rPr>
              <w:t xml:space="preserve"> describe</w:t>
            </w:r>
            <w:r>
              <w:rPr>
                <w:rFonts w:cs="Palatino-Roman"/>
                <w:sz w:val="20"/>
                <w:lang w:bidi="en-US"/>
              </w:rPr>
              <w:t>s</w:t>
            </w:r>
            <w:r w:rsidRPr="00145BA6">
              <w:rPr>
                <w:rFonts w:cs="Palatino-Roman"/>
                <w:sz w:val="20"/>
                <w:lang w:bidi="en-US"/>
              </w:rPr>
              <w:t xml:space="preserve"> how the school uses data to target or refine supports and inform future fundin</w:t>
            </w:r>
            <w:r w:rsidR="00740D21">
              <w:rPr>
                <w:rFonts w:cs="Palatino-Roman"/>
                <w:sz w:val="20"/>
                <w:lang w:bidi="en-US"/>
              </w:rPr>
              <w:t xml:space="preserve">g decisions </w:t>
            </w:r>
            <w:r>
              <w:rPr>
                <w:rFonts w:cs="Palatino-Roman"/>
                <w:sz w:val="20"/>
                <w:lang w:bidi="en-US"/>
              </w:rPr>
              <w:t xml:space="preserve">AND generally </w:t>
            </w:r>
            <w:r w:rsidR="00740D21">
              <w:rPr>
                <w:rFonts w:cs="Palatino-Roman"/>
                <w:sz w:val="20"/>
                <w:lang w:bidi="en-US"/>
              </w:rPr>
              <w:t>notes how efforts can be sustained</w:t>
            </w:r>
            <w:r w:rsidRPr="00145BA6">
              <w:rPr>
                <w:rFonts w:cs="Palatino-Roman"/>
                <w:sz w:val="20"/>
                <w:lang w:bidi="en-US"/>
              </w:rPr>
              <w:t xml:space="preserve"> once grant funding has ended.</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5EC158B" w14:textId="57795E51" w:rsidR="004B4C34" w:rsidRPr="00436FF8" w:rsidRDefault="00740D21"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Palatino-Roman"/>
                <w:sz w:val="20"/>
                <w:lang w:bidi="en-US"/>
              </w:rPr>
            </w:pPr>
            <w:r>
              <w:rPr>
                <w:rFonts w:cs="Palatino-Roman"/>
                <w:sz w:val="20"/>
                <w:lang w:bidi="en-US"/>
              </w:rPr>
              <w:t>Generally</w:t>
            </w:r>
            <w:r w:rsidRPr="00145BA6">
              <w:rPr>
                <w:rFonts w:cs="Palatino-Roman"/>
                <w:sz w:val="20"/>
                <w:lang w:bidi="en-US"/>
              </w:rPr>
              <w:t xml:space="preserve"> describe</w:t>
            </w:r>
            <w:r>
              <w:rPr>
                <w:rFonts w:cs="Palatino-Roman"/>
                <w:sz w:val="20"/>
                <w:lang w:bidi="en-US"/>
              </w:rPr>
              <w:t>s</w:t>
            </w:r>
            <w:r w:rsidRPr="00145BA6">
              <w:rPr>
                <w:rFonts w:cs="Palatino-Roman"/>
                <w:sz w:val="20"/>
                <w:lang w:bidi="en-US"/>
              </w:rPr>
              <w:t xml:space="preserve"> how the school uses data to target or refine supports and inform future fundin</w:t>
            </w:r>
            <w:r>
              <w:rPr>
                <w:rFonts w:cs="Palatino-Roman"/>
                <w:sz w:val="20"/>
                <w:lang w:bidi="en-US"/>
              </w:rPr>
              <w:t>g decisions OR generally notes how efforts can be sustained</w:t>
            </w:r>
            <w:r w:rsidRPr="00145BA6">
              <w:rPr>
                <w:rFonts w:cs="Palatino-Roman"/>
                <w:sz w:val="20"/>
                <w:lang w:bidi="en-US"/>
              </w:rPr>
              <w:t xml:space="preserve"> once grant funding has ended.</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4D031B2F" w14:textId="25D10F79" w:rsidR="004B4C34" w:rsidRPr="00436FF8" w:rsidRDefault="00145BA6"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Pr>
                <w:rFonts w:cs="Palatino-Roman"/>
                <w:sz w:val="20"/>
                <w:lang w:bidi="en-US"/>
              </w:rPr>
              <w:t xml:space="preserve">It is unclear </w:t>
            </w:r>
            <w:r w:rsidRPr="00145BA6">
              <w:rPr>
                <w:rFonts w:cs="Palatino-Roman"/>
                <w:sz w:val="20"/>
                <w:lang w:bidi="en-US"/>
              </w:rPr>
              <w:t>how the school uses data to target or refine supports and inform f</w:t>
            </w:r>
            <w:r w:rsidR="00740D21">
              <w:rPr>
                <w:rFonts w:cs="Palatino-Roman"/>
                <w:sz w:val="20"/>
                <w:lang w:bidi="en-US"/>
              </w:rPr>
              <w:t>uture funding decisions</w:t>
            </w:r>
            <w:r w:rsidRPr="00145BA6">
              <w:rPr>
                <w:rFonts w:cs="Palatino-Roman"/>
                <w:sz w:val="20"/>
                <w:lang w:bidi="en-US"/>
              </w:rPr>
              <w:t xml:space="preserve"> </w:t>
            </w:r>
            <w:r>
              <w:rPr>
                <w:rFonts w:cs="Palatino-Roman"/>
                <w:sz w:val="20"/>
                <w:lang w:bidi="en-US"/>
              </w:rPr>
              <w:t>AND unclear</w:t>
            </w:r>
            <w:r w:rsidR="00740D21">
              <w:rPr>
                <w:rFonts w:cs="Palatino-Roman"/>
                <w:sz w:val="20"/>
                <w:lang w:bidi="en-US"/>
              </w:rPr>
              <w:t xml:space="preserve"> how efforts can be sustain</w:t>
            </w:r>
            <w:r w:rsidRPr="00145BA6">
              <w:rPr>
                <w:rFonts w:cs="Palatino-Roman"/>
                <w:sz w:val="20"/>
                <w:lang w:bidi="en-US"/>
              </w:rPr>
              <w:t>ed once grant funding has ended.</w:t>
            </w:r>
          </w:p>
        </w:tc>
      </w:tr>
    </w:tbl>
    <w:p w14:paraId="4EBA717F" w14:textId="77777777" w:rsidR="004B4C34" w:rsidRDefault="004B4C34" w:rsidP="004B4C34">
      <w:pPr>
        <w:rPr>
          <w:b/>
        </w:rPr>
      </w:pPr>
    </w:p>
    <w:p w14:paraId="61A0EB27" w14:textId="77777777" w:rsidR="004B4C34" w:rsidRDefault="004B4C34" w:rsidP="004B4C34">
      <w:pPr>
        <w:rPr>
          <w:b/>
        </w:rPr>
      </w:pPr>
      <w:r>
        <w:rPr>
          <w:b/>
        </w:rPr>
        <w:br w:type="page"/>
      </w:r>
    </w:p>
    <w:p w14:paraId="756A2516" w14:textId="77777777" w:rsidR="004B4C34" w:rsidRPr="00FF50F3" w:rsidRDefault="004B4C34" w:rsidP="004B4C34">
      <w:pPr>
        <w:rPr>
          <w:b/>
        </w:rPr>
      </w:pPr>
      <w:r w:rsidRPr="00032F17">
        <w:rPr>
          <w:b/>
        </w:rPr>
        <w:lastRenderedPageBreak/>
        <w:t>Interview Scoring Rubric</w:t>
      </w:r>
      <w:bookmarkStart w:id="6" w:name="_GoBack"/>
    </w:p>
    <w:p w14:paraId="041DA8BE" w14:textId="77777777" w:rsidR="004B4C34" w:rsidRPr="00032F17" w:rsidRDefault="004B4C34" w:rsidP="004B4C34">
      <w:pPr>
        <w:rPr>
          <w:sz w:val="20"/>
        </w:rPr>
      </w:pPr>
    </w:p>
    <w:p w14:paraId="00DF3C4C" w14:textId="77777777" w:rsidR="004B4C34" w:rsidRPr="008006E2" w:rsidRDefault="004B4C34" w:rsidP="004B4C34">
      <w:pPr>
        <w:rPr>
          <w:rFonts w:asciiTheme="minorHAnsi" w:hAnsiTheme="minorHAnsi" w:cstheme="minorHAnsi"/>
          <w:szCs w:val="24"/>
        </w:rPr>
      </w:pPr>
      <w:r w:rsidRPr="008006E2">
        <w:rPr>
          <w:rFonts w:asciiTheme="minorHAnsi" w:hAnsiTheme="minorHAnsi" w:cstheme="minorHAnsi"/>
          <w:szCs w:val="24"/>
        </w:rPr>
        <w:t>Interview Process</w:t>
      </w:r>
    </w:p>
    <w:bookmarkEnd w:id="6"/>
    <w:p w14:paraId="0F18D6BA" w14:textId="1AF599CE" w:rsidR="004B4C34" w:rsidRPr="008006E2" w:rsidRDefault="004B4C34" w:rsidP="004B4C34">
      <w:pPr>
        <w:rPr>
          <w:rFonts w:asciiTheme="minorHAnsi" w:hAnsiTheme="minorHAnsi" w:cstheme="minorHAnsi"/>
          <w:szCs w:val="24"/>
        </w:rPr>
      </w:pPr>
      <w:r w:rsidRPr="008006E2">
        <w:rPr>
          <w:rFonts w:asciiTheme="minorHAnsi" w:hAnsiTheme="minorHAnsi" w:cstheme="minorHAnsi"/>
          <w:szCs w:val="24"/>
        </w:rPr>
        <w:t>All applicants will participate in a two</w:t>
      </w:r>
      <w:r w:rsidR="008B5686">
        <w:rPr>
          <w:rFonts w:asciiTheme="minorHAnsi" w:hAnsiTheme="minorHAnsi" w:cstheme="minorHAnsi"/>
          <w:szCs w:val="24"/>
        </w:rPr>
        <w:t>-</w:t>
      </w:r>
      <w:r w:rsidRPr="008006E2">
        <w:rPr>
          <w:rFonts w:asciiTheme="minorHAnsi" w:hAnsiTheme="minorHAnsi" w:cstheme="minorHAnsi"/>
          <w:szCs w:val="24"/>
        </w:rPr>
        <w:t>hour interview that addresses the rubric items below, as well as any rubric items that received a score of “2” or less. Rubric items will be re</w:t>
      </w:r>
      <w:r w:rsidR="000E0766">
        <w:rPr>
          <w:rFonts w:asciiTheme="minorHAnsi" w:hAnsiTheme="minorHAnsi" w:cstheme="minorHAnsi"/>
          <w:szCs w:val="24"/>
        </w:rPr>
        <w:t>-</w:t>
      </w:r>
      <w:r w:rsidRPr="008006E2">
        <w:rPr>
          <w:rFonts w:asciiTheme="minorHAnsi" w:hAnsiTheme="minorHAnsi" w:cstheme="minorHAnsi"/>
          <w:szCs w:val="24"/>
        </w:rPr>
        <w:t>scored based on the interview team’s response and evidence within the written application.</w:t>
      </w:r>
    </w:p>
    <w:p w14:paraId="46F24A01" w14:textId="77777777" w:rsidR="004B4C34" w:rsidRPr="008006E2" w:rsidRDefault="004B4C34" w:rsidP="004B4C34">
      <w:pPr>
        <w:rPr>
          <w:rFonts w:asciiTheme="minorHAnsi" w:hAnsiTheme="minorHAnsi" w:cstheme="minorHAnsi"/>
          <w:szCs w:val="24"/>
        </w:rPr>
      </w:pPr>
      <w:r w:rsidRPr="008006E2">
        <w:rPr>
          <w:rFonts w:asciiTheme="minorHAnsi" w:hAnsiTheme="minorHAnsi" w:cstheme="minorHAnsi"/>
          <w:szCs w:val="24"/>
        </w:rPr>
        <w:t xml:space="preserve"> </w:t>
      </w:r>
    </w:p>
    <w:p w14:paraId="580DE2B0" w14:textId="77777777" w:rsidR="004B4C34" w:rsidRPr="008006E2" w:rsidRDefault="004B4C34" w:rsidP="004B4C34">
      <w:pPr>
        <w:rPr>
          <w:rFonts w:asciiTheme="minorHAnsi" w:hAnsiTheme="minorHAnsi" w:cstheme="minorHAnsi"/>
          <w:szCs w:val="24"/>
        </w:rPr>
      </w:pPr>
      <w:r w:rsidRPr="008006E2">
        <w:rPr>
          <w:rFonts w:asciiTheme="minorHAnsi" w:hAnsiTheme="minorHAnsi" w:cstheme="minorHAnsi"/>
          <w:szCs w:val="24"/>
        </w:rPr>
        <w:t>During the interview, the interview team will be asked to provide a 15-20 minute presentation of the proposed turnaround plan. After the presentation, district and school team members will be jointly asked to respond to a set of standard questions and to address areas in the proposal that the review team identified as needing clarification or additional detail. The following interview scoring rubric will be used during the interview process as well as the rubric for items that initially received a “2” or less.</w:t>
      </w:r>
    </w:p>
    <w:p w14:paraId="27BE65B0" w14:textId="77777777" w:rsidR="004B4C34" w:rsidRPr="008006E2" w:rsidRDefault="004B4C34" w:rsidP="004B4C34">
      <w:pPr>
        <w:rPr>
          <w:rFonts w:asciiTheme="minorHAnsi" w:hAnsiTheme="minorHAnsi" w:cstheme="minorHAnsi"/>
          <w:szCs w:val="24"/>
        </w:rPr>
      </w:pPr>
    </w:p>
    <w:p w14:paraId="4E4FCC0E" w14:textId="77777777" w:rsidR="004B4C34" w:rsidRPr="008006E2" w:rsidRDefault="004B4C34" w:rsidP="004B4C34">
      <w:pPr>
        <w:rPr>
          <w:rFonts w:asciiTheme="minorHAnsi" w:hAnsiTheme="minorHAnsi" w:cstheme="minorHAnsi"/>
          <w:szCs w:val="24"/>
        </w:rPr>
      </w:pPr>
      <w:r w:rsidRPr="008006E2">
        <w:rPr>
          <w:rFonts w:asciiTheme="minorHAnsi" w:hAnsiTheme="minorHAnsi" w:cstheme="minorHAnsi"/>
          <w:szCs w:val="24"/>
        </w:rPr>
        <w:t xml:space="preserve">The interview team for each application should include: </w:t>
      </w:r>
    </w:p>
    <w:p w14:paraId="66541AFD" w14:textId="77777777" w:rsidR="004B4C34" w:rsidRPr="008006E2" w:rsidRDefault="004B4C34" w:rsidP="004B4C34">
      <w:pPr>
        <w:pStyle w:val="ListParagraph"/>
        <w:numPr>
          <w:ilvl w:val="0"/>
          <w:numId w:val="27"/>
        </w:numPr>
        <w:contextualSpacing/>
        <w:rPr>
          <w:rFonts w:asciiTheme="minorHAnsi" w:hAnsiTheme="minorHAnsi" w:cstheme="minorHAnsi"/>
          <w:sz w:val="24"/>
          <w:szCs w:val="24"/>
        </w:rPr>
      </w:pPr>
      <w:r w:rsidRPr="008006E2">
        <w:rPr>
          <w:rFonts w:asciiTheme="minorHAnsi" w:hAnsiTheme="minorHAnsi" w:cstheme="minorHAnsi"/>
          <w:sz w:val="24"/>
          <w:szCs w:val="24"/>
        </w:rPr>
        <w:t xml:space="preserve">From the </w:t>
      </w:r>
      <w:r w:rsidRPr="008006E2">
        <w:rPr>
          <w:rFonts w:asciiTheme="minorHAnsi" w:hAnsiTheme="minorHAnsi" w:cstheme="minorHAnsi"/>
          <w:b/>
          <w:sz w:val="24"/>
          <w:szCs w:val="24"/>
        </w:rPr>
        <w:t>district</w:t>
      </w:r>
      <w:r w:rsidRPr="008006E2">
        <w:rPr>
          <w:rFonts w:asciiTheme="minorHAnsi" w:hAnsiTheme="minorHAnsi" w:cstheme="minorHAnsi"/>
          <w:sz w:val="24"/>
          <w:szCs w:val="24"/>
        </w:rPr>
        <w:t xml:space="preserve">: (1) the Superintendent (or designee); (2) a member of the School Committee; (3) the district leader responsible for coordinating the implementation of school turnaround efforts; (4) and a member of the managing or lead partner team (if applicable);  and </w:t>
      </w:r>
    </w:p>
    <w:p w14:paraId="439C36F3" w14:textId="77777777" w:rsidR="004B4C34" w:rsidRPr="008006E2" w:rsidRDefault="004B4C34" w:rsidP="004B4C34">
      <w:pPr>
        <w:pStyle w:val="ListParagraph"/>
        <w:numPr>
          <w:ilvl w:val="0"/>
          <w:numId w:val="27"/>
        </w:numPr>
        <w:contextualSpacing/>
        <w:rPr>
          <w:rFonts w:asciiTheme="minorHAnsi" w:hAnsiTheme="minorHAnsi" w:cstheme="minorHAnsi"/>
          <w:sz w:val="24"/>
          <w:szCs w:val="24"/>
        </w:rPr>
      </w:pPr>
      <w:r w:rsidRPr="008006E2">
        <w:rPr>
          <w:rFonts w:asciiTheme="minorHAnsi" w:hAnsiTheme="minorHAnsi" w:cstheme="minorHAnsi"/>
          <w:sz w:val="24"/>
          <w:szCs w:val="24"/>
        </w:rPr>
        <w:t xml:space="preserve">Up to five individuals from the </w:t>
      </w:r>
      <w:r w:rsidRPr="008006E2">
        <w:rPr>
          <w:rFonts w:asciiTheme="minorHAnsi" w:hAnsiTheme="minorHAnsi" w:cstheme="minorHAnsi"/>
          <w:b/>
          <w:sz w:val="24"/>
          <w:szCs w:val="24"/>
        </w:rPr>
        <w:t>school</w:t>
      </w:r>
      <w:r w:rsidRPr="008006E2">
        <w:rPr>
          <w:rFonts w:asciiTheme="minorHAnsi" w:hAnsiTheme="minorHAnsi" w:cstheme="minorHAnsi"/>
          <w:sz w:val="24"/>
          <w:szCs w:val="24"/>
        </w:rPr>
        <w:t>: (1) the Principal (or designee); (2) a member of the school’s leadership team; (3) the administrator(s) responsible for coordinating and managing school turnaround effort (if applicable); and (4) teachers or other individuals (e.g., parents, students) that can speak to the willingness of the school to engage in the proposed turnaround effort.</w:t>
      </w:r>
    </w:p>
    <w:p w14:paraId="5AF4D65A" w14:textId="77777777" w:rsidR="004B4C34" w:rsidRPr="00032F17" w:rsidRDefault="004B4C34" w:rsidP="004B4C34">
      <w:pPr>
        <w:rPr>
          <w:sz w:val="22"/>
        </w:rPr>
      </w:pPr>
    </w:p>
    <w:tbl>
      <w:tblPr>
        <w:tblW w:w="13968" w:type="dxa"/>
        <w:tblBorders>
          <w:left w:val="nil"/>
          <w:right w:val="nil"/>
        </w:tblBorders>
        <w:tblLayout w:type="fixed"/>
        <w:tblLook w:val="0000" w:firstRow="0" w:lastRow="0" w:firstColumn="0" w:lastColumn="0" w:noHBand="0" w:noVBand="0"/>
      </w:tblPr>
      <w:tblGrid>
        <w:gridCol w:w="1368"/>
        <w:gridCol w:w="3482"/>
        <w:gridCol w:w="3150"/>
        <w:gridCol w:w="3060"/>
        <w:gridCol w:w="2908"/>
      </w:tblGrid>
      <w:tr w:rsidR="004B4C34" w:rsidRPr="00032F17" w14:paraId="6B51A500" w14:textId="77777777" w:rsidTr="005408B9">
        <w:trPr>
          <w:trHeight w:val="205"/>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DD01EDF"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0"/>
                <w:szCs w:val="24"/>
                <w:lang w:bidi="en-US"/>
              </w:rPr>
            </w:pP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343D4B98"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Strong </w:t>
            </w:r>
            <w:r>
              <w:rPr>
                <w:rFonts w:cs="Palatino-Roman"/>
                <w:b/>
                <w:bCs/>
                <w:sz w:val="20"/>
                <w:lang w:bidi="en-US"/>
              </w:rPr>
              <w:t>–</w:t>
            </w:r>
            <w:r w:rsidRPr="00032F17">
              <w:rPr>
                <w:rFonts w:cs="Palatino-Roman"/>
                <w:b/>
                <w:bCs/>
                <w:sz w:val="20"/>
                <w:lang w:bidi="en-US"/>
              </w:rPr>
              <w:t xml:space="preserve"> 4</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2E89E65A"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Adequate </w:t>
            </w:r>
            <w:r>
              <w:rPr>
                <w:rFonts w:cs="Palatino-Roman"/>
                <w:b/>
                <w:bCs/>
                <w:sz w:val="20"/>
                <w:lang w:bidi="en-US"/>
              </w:rPr>
              <w:t>–</w:t>
            </w:r>
            <w:r w:rsidRPr="00032F17">
              <w:rPr>
                <w:rFonts w:cs="Palatino-Roman"/>
                <w:b/>
                <w:bCs/>
                <w:sz w:val="20"/>
                <w:lang w:bidi="en-US"/>
              </w:rPr>
              <w:t xml:space="preserve"> 3</w:t>
            </w:r>
          </w:p>
        </w:tc>
        <w:tc>
          <w:tcPr>
            <w:tcW w:w="30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B56E641"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r w:rsidRPr="00032F17">
              <w:rPr>
                <w:rFonts w:cs="Palatino-Roman"/>
                <w:b/>
                <w:bCs/>
                <w:sz w:val="20"/>
                <w:lang w:bidi="en-US"/>
              </w:rPr>
              <w:t>Marginal  - 2</w:t>
            </w:r>
          </w:p>
        </w:tc>
        <w:tc>
          <w:tcPr>
            <w:tcW w:w="2908" w:type="dxa"/>
            <w:tcBorders>
              <w:top w:val="single" w:sz="8" w:space="0" w:color="auto"/>
              <w:left w:val="single" w:sz="8" w:space="0" w:color="auto"/>
              <w:bottom w:val="single" w:sz="8" w:space="0" w:color="auto"/>
              <w:right w:val="single" w:sz="8" w:space="0" w:color="auto"/>
            </w:tcBorders>
          </w:tcPr>
          <w:p w14:paraId="4FCC4A77"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kern w:val="1"/>
                <w:sz w:val="20"/>
                <w:szCs w:val="24"/>
                <w:lang w:bidi="en-US"/>
              </w:rPr>
            </w:pPr>
            <w:r w:rsidRPr="00032F17">
              <w:rPr>
                <w:rFonts w:cs="Palatino-Roman"/>
                <w:b/>
                <w:bCs/>
                <w:sz w:val="20"/>
                <w:lang w:bidi="en-US"/>
              </w:rPr>
              <w:t xml:space="preserve">Weak </w:t>
            </w:r>
            <w:r>
              <w:rPr>
                <w:rFonts w:cs="Palatino-Roman"/>
                <w:b/>
                <w:bCs/>
                <w:sz w:val="20"/>
                <w:lang w:bidi="en-US"/>
              </w:rPr>
              <w:t>–</w:t>
            </w:r>
            <w:r w:rsidRPr="00032F17">
              <w:rPr>
                <w:rFonts w:cs="Palatino-Roman"/>
                <w:b/>
                <w:bCs/>
                <w:sz w:val="20"/>
                <w:lang w:bidi="en-US"/>
              </w:rPr>
              <w:t xml:space="preserve"> 1</w:t>
            </w:r>
          </w:p>
        </w:tc>
      </w:tr>
      <w:tr w:rsidR="004B4C34" w:rsidRPr="00525AD8" w14:paraId="318E59BA" w14:textId="77777777" w:rsidTr="00A80CA0">
        <w:trPr>
          <w:trHeight w:val="66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633CED0"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Pr>
                <w:rFonts w:cs="Palatino-Roman"/>
                <w:bCs/>
                <w:sz w:val="20"/>
                <w:lang w:bidi="en-US"/>
              </w:rPr>
              <w:t>26</w:t>
            </w:r>
            <w:r w:rsidRPr="00F11765">
              <w:rPr>
                <w:rFonts w:cs="Palatino-Roman"/>
                <w:bCs/>
                <w:sz w:val="20"/>
                <w:lang w:bidi="en-US"/>
              </w:rPr>
              <w:t xml:space="preserve">: </w:t>
            </w:r>
          </w:p>
          <w:p w14:paraId="7C91C4EB"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F11765">
              <w:rPr>
                <w:rFonts w:cs="Palatino-Roman"/>
                <w:bCs/>
                <w:sz w:val="20"/>
                <w:lang w:bidi="en-US"/>
              </w:rPr>
              <w:t>District Knowledge of Turnaround Plan and Readiness for Turnaround</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F3C76E2"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District representatives </w:t>
            </w:r>
            <w:r w:rsidRPr="001701B4">
              <w:rPr>
                <w:rFonts w:cs="Helvetica"/>
                <w:i/>
                <w:kern w:val="1"/>
                <w:sz w:val="20"/>
                <w:lang w:bidi="en-US"/>
              </w:rPr>
              <w:t>clearly</w:t>
            </w:r>
            <w:r w:rsidRPr="00F11765">
              <w:rPr>
                <w:rFonts w:cs="Helvetica"/>
                <w:kern w:val="1"/>
                <w:sz w:val="20"/>
                <w:lang w:bidi="en-US"/>
              </w:rPr>
              <w:t xml:space="preserve"> describe the central issues and needs facing the district and applicant school, provide a strong rationale for the selected turnaround strategies, and discuss the major actions (policy, structural, cultural, other) that will occur as part of turnaround efforts. The team clearly describes how implementation challenges will be addressed.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DA9C4B2"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District representatives </w:t>
            </w:r>
            <w:r w:rsidRPr="001701B4">
              <w:rPr>
                <w:rFonts w:cs="Helvetica"/>
                <w:i/>
                <w:kern w:val="1"/>
                <w:sz w:val="20"/>
                <w:lang w:bidi="en-US"/>
              </w:rPr>
              <w:t>adequately</w:t>
            </w:r>
            <w:r w:rsidRPr="00F11765">
              <w:rPr>
                <w:rFonts w:cs="Helvetica"/>
                <w:kern w:val="1"/>
                <w:sz w:val="20"/>
                <w:lang w:bidi="en-US"/>
              </w:rPr>
              <w:t xml:space="preserve"> describe the central issues and needs facing the district and applicant school, provide an adequate rationale for the selected turnaround strategies, and discuss the major actions (policy, structural, cultural, other) that will occur as part of turnaround efforts. The team generally describes how </w:t>
            </w:r>
            <w:r w:rsidRPr="00F11765">
              <w:rPr>
                <w:rFonts w:cs="Helvetica"/>
                <w:kern w:val="1"/>
                <w:sz w:val="20"/>
                <w:lang w:bidi="en-US"/>
              </w:rPr>
              <w:lastRenderedPageBreak/>
              <w:t xml:space="preserve">implementation challenges will be addressed. </w:t>
            </w:r>
          </w:p>
        </w:tc>
        <w:tc>
          <w:tcPr>
            <w:tcW w:w="30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4EBBF9A"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lastRenderedPageBreak/>
              <w:t xml:space="preserve">District representatives </w:t>
            </w:r>
            <w:r w:rsidRPr="001701B4">
              <w:rPr>
                <w:rFonts w:cs="Helvetica"/>
                <w:i/>
                <w:kern w:val="1"/>
                <w:sz w:val="20"/>
                <w:lang w:bidi="en-US"/>
              </w:rPr>
              <w:t>marginally</w:t>
            </w:r>
            <w:r w:rsidRPr="00F11765">
              <w:rPr>
                <w:rFonts w:cs="Helvetica"/>
                <w:kern w:val="1"/>
                <w:sz w:val="20"/>
                <w:lang w:bidi="en-US"/>
              </w:rPr>
              <w:t xml:space="preserve"> describe the central issues and needs facing the district and applicant school, provide a marginal rationale for the selected turnaround strategies, and marginally discuss the major actions (policy, structural, cultural, other) that will occur as part of redesign efforts. It is not clear how </w:t>
            </w:r>
            <w:r w:rsidRPr="00F11765">
              <w:rPr>
                <w:rFonts w:cs="Helvetica"/>
                <w:kern w:val="1"/>
                <w:sz w:val="20"/>
                <w:lang w:bidi="en-US"/>
              </w:rPr>
              <w:lastRenderedPageBreak/>
              <w:t>implementation challenges will be addressed.</w:t>
            </w:r>
          </w:p>
        </w:tc>
        <w:tc>
          <w:tcPr>
            <w:tcW w:w="2908" w:type="dxa"/>
            <w:tcBorders>
              <w:top w:val="single" w:sz="8" w:space="0" w:color="auto"/>
              <w:left w:val="single" w:sz="8" w:space="0" w:color="auto"/>
              <w:bottom w:val="single" w:sz="8" w:space="0" w:color="auto"/>
              <w:right w:val="single" w:sz="8" w:space="0" w:color="auto"/>
            </w:tcBorders>
          </w:tcPr>
          <w:p w14:paraId="63222FBD"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lastRenderedPageBreak/>
              <w:t xml:space="preserve">District representatives do not acknowledge or describe central issues and needs. Key implementation challenges are not voiced or there is no clear strategy for addressing challenges. </w:t>
            </w:r>
          </w:p>
        </w:tc>
      </w:tr>
      <w:tr w:rsidR="004B4C34" w:rsidRPr="00525AD8" w14:paraId="2FA24DFE" w14:textId="77777777" w:rsidTr="005408B9">
        <w:trPr>
          <w:trHeight w:val="156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3D14F5E9"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Pr>
                <w:rFonts w:cs="Palatino-Roman"/>
                <w:bCs/>
                <w:sz w:val="20"/>
                <w:lang w:bidi="en-US"/>
              </w:rPr>
              <w:t>27</w:t>
            </w:r>
            <w:r w:rsidRPr="00F11765">
              <w:rPr>
                <w:rFonts w:cs="Palatino-Roman"/>
                <w:bCs/>
                <w:sz w:val="20"/>
                <w:lang w:bidi="en-US"/>
              </w:rPr>
              <w:t xml:space="preserve">: </w:t>
            </w:r>
          </w:p>
          <w:p w14:paraId="682AAE1B"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F11765">
              <w:rPr>
                <w:rFonts w:cs="Palatino-Roman"/>
                <w:bCs/>
                <w:sz w:val="20"/>
                <w:lang w:bidi="en-US"/>
              </w:rPr>
              <w:t>School Knowledge of Turnaround Plan and Readiness for Turnaround</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48662011"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w:t>
            </w:r>
            <w:r w:rsidRPr="00436FF8">
              <w:rPr>
                <w:rFonts w:cs="Helvetica"/>
                <w:i/>
                <w:kern w:val="1"/>
                <w:sz w:val="20"/>
                <w:lang w:bidi="en-US"/>
              </w:rPr>
              <w:t>clearly</w:t>
            </w:r>
            <w:r w:rsidRPr="00F11765">
              <w:rPr>
                <w:rFonts w:cs="Helvetica"/>
                <w:kern w:val="1"/>
                <w:sz w:val="20"/>
                <w:lang w:bidi="en-US"/>
              </w:rPr>
              <w:t xml:space="preserve"> describe the central issues and needs facing the school, pro</w:t>
            </w:r>
            <w:r>
              <w:rPr>
                <w:rFonts w:cs="Helvetica"/>
                <w:kern w:val="1"/>
                <w:sz w:val="20"/>
                <w:lang w:bidi="en-US"/>
              </w:rPr>
              <w:t xml:space="preserve">vide a strong rationale for </w:t>
            </w:r>
            <w:r w:rsidRPr="00F11765">
              <w:rPr>
                <w:rFonts w:cs="Helvetica"/>
                <w:kern w:val="1"/>
                <w:sz w:val="20"/>
                <w:lang w:bidi="en-US"/>
              </w:rPr>
              <w:t xml:space="preserve">selected turnaround strategies, and discuss the major actions that will occur as part of turnaround efforts. The team clearly describes how implementation challenges will be addressed.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0E91959"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w:t>
            </w:r>
            <w:r w:rsidRPr="00436FF8">
              <w:rPr>
                <w:rFonts w:cs="Helvetica"/>
                <w:i/>
                <w:kern w:val="1"/>
                <w:sz w:val="20"/>
                <w:lang w:bidi="en-US"/>
              </w:rPr>
              <w:t>generally</w:t>
            </w:r>
            <w:r w:rsidRPr="00F11765">
              <w:rPr>
                <w:rFonts w:cs="Helvetica"/>
                <w:kern w:val="1"/>
                <w:sz w:val="20"/>
                <w:lang w:bidi="en-US"/>
              </w:rPr>
              <w:t xml:space="preserve"> describe the central issues and needs facing the school and generally explain why strategies were selected. There is general discussion of </w:t>
            </w:r>
            <w:r>
              <w:rPr>
                <w:rFonts w:cs="Helvetica"/>
                <w:kern w:val="1"/>
                <w:sz w:val="20"/>
                <w:lang w:bidi="en-US"/>
              </w:rPr>
              <w:t xml:space="preserve">how </w:t>
            </w:r>
            <w:r w:rsidRPr="00F11765">
              <w:rPr>
                <w:rFonts w:cs="Helvetica"/>
                <w:kern w:val="1"/>
                <w:sz w:val="20"/>
                <w:lang w:bidi="en-US"/>
              </w:rPr>
              <w:t>imple</w:t>
            </w:r>
            <w:r>
              <w:rPr>
                <w:rFonts w:cs="Helvetica"/>
                <w:kern w:val="1"/>
                <w:sz w:val="20"/>
                <w:lang w:bidi="en-US"/>
              </w:rPr>
              <w:t>mentation challenges will be addressed</w:t>
            </w:r>
            <w:r w:rsidRPr="00F11765">
              <w:rPr>
                <w:rFonts w:cs="Helvetica"/>
                <w:kern w:val="1"/>
                <w:sz w:val="20"/>
                <w:lang w:bidi="en-US"/>
              </w:rPr>
              <w:t xml:space="preserve">. </w:t>
            </w:r>
          </w:p>
        </w:tc>
        <w:tc>
          <w:tcPr>
            <w:tcW w:w="306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597E37C2"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w:t>
            </w:r>
            <w:r w:rsidRPr="00436FF8">
              <w:rPr>
                <w:rFonts w:cs="Helvetica"/>
                <w:i/>
                <w:kern w:val="1"/>
                <w:sz w:val="20"/>
                <w:lang w:bidi="en-US"/>
              </w:rPr>
              <w:t xml:space="preserve">marginally </w:t>
            </w:r>
            <w:r w:rsidRPr="00F11765">
              <w:rPr>
                <w:rFonts w:cs="Helvetica"/>
                <w:kern w:val="1"/>
                <w:sz w:val="20"/>
                <w:lang w:bidi="en-US"/>
              </w:rPr>
              <w:t>describe the issues and needs facing the school and provide some reasons for why strategies were selected. There is some discussion of</w:t>
            </w:r>
            <w:r>
              <w:rPr>
                <w:rFonts w:cs="Helvetica"/>
                <w:kern w:val="1"/>
                <w:sz w:val="20"/>
                <w:lang w:bidi="en-US"/>
              </w:rPr>
              <w:t xml:space="preserve"> how</w:t>
            </w:r>
            <w:r w:rsidRPr="00F11765">
              <w:rPr>
                <w:rFonts w:cs="Helvetica"/>
                <w:kern w:val="1"/>
                <w:sz w:val="20"/>
                <w:lang w:bidi="en-US"/>
              </w:rPr>
              <w:t xml:space="preserve"> imple</w:t>
            </w:r>
            <w:r>
              <w:rPr>
                <w:rFonts w:cs="Helvetica"/>
                <w:kern w:val="1"/>
                <w:sz w:val="20"/>
                <w:lang w:bidi="en-US"/>
              </w:rPr>
              <w:t>mentation challenges will be addressed</w:t>
            </w:r>
            <w:r w:rsidRPr="00F11765">
              <w:rPr>
                <w:rFonts w:cs="Helvetica"/>
                <w:kern w:val="1"/>
                <w:sz w:val="20"/>
                <w:lang w:bidi="en-US"/>
              </w:rPr>
              <w:t>.</w:t>
            </w:r>
          </w:p>
        </w:tc>
        <w:tc>
          <w:tcPr>
            <w:tcW w:w="2908" w:type="dxa"/>
            <w:tcBorders>
              <w:top w:val="single" w:sz="8" w:space="0" w:color="auto"/>
              <w:left w:val="single" w:sz="8" w:space="0" w:color="auto"/>
              <w:bottom w:val="single" w:sz="8" w:space="0" w:color="auto"/>
              <w:right w:val="single" w:sz="8" w:space="0" w:color="auto"/>
            </w:tcBorders>
          </w:tcPr>
          <w:p w14:paraId="5A2DF1CE"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do not acknowledge or describe central issues and needs. Key implementation challenges are not voiced or there is no clear strategy for addressing challenges. </w:t>
            </w:r>
          </w:p>
        </w:tc>
      </w:tr>
      <w:tr w:rsidR="004B4C34" w:rsidRPr="00525AD8" w14:paraId="691D8940" w14:textId="77777777" w:rsidTr="005408B9">
        <w:trPr>
          <w:trHeight w:val="1267"/>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096E12B"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F11765">
              <w:rPr>
                <w:rFonts w:cs="Palatino-Roman"/>
                <w:bCs/>
                <w:sz w:val="20"/>
                <w:lang w:bidi="en-US"/>
              </w:rPr>
              <w:t>2</w:t>
            </w:r>
            <w:r>
              <w:rPr>
                <w:rFonts w:cs="Palatino-Roman"/>
                <w:bCs/>
                <w:sz w:val="20"/>
                <w:lang w:bidi="en-US"/>
              </w:rPr>
              <w:t>8</w:t>
            </w:r>
            <w:r w:rsidRPr="00F11765">
              <w:rPr>
                <w:rFonts w:cs="Palatino-Roman"/>
                <w:bCs/>
                <w:sz w:val="20"/>
                <w:lang w:bidi="en-US"/>
              </w:rPr>
              <w:t xml:space="preserve">: </w:t>
            </w:r>
          </w:p>
          <w:p w14:paraId="3748E492"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F11765">
              <w:rPr>
                <w:rFonts w:cs="Palatino-Roman"/>
                <w:bCs/>
                <w:sz w:val="20"/>
                <w:lang w:bidi="en-US"/>
              </w:rPr>
              <w:t>Unified Response</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275867E"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20"/>
                <w:lang w:bidi="en-US"/>
              </w:rPr>
            </w:pPr>
            <w:r w:rsidRPr="0059639E">
              <w:rPr>
                <w:rFonts w:cs="Helvetica"/>
                <w:i/>
                <w:kern w:val="1"/>
                <w:sz w:val="20"/>
                <w:lang w:bidi="en-US"/>
              </w:rPr>
              <w:t>All</w:t>
            </w:r>
            <w:r w:rsidRPr="00F11765">
              <w:rPr>
                <w:rFonts w:cs="Helvetica"/>
                <w:kern w:val="1"/>
                <w:sz w:val="20"/>
                <w:lang w:bidi="en-US"/>
              </w:rPr>
              <w:t xml:space="preserve"> team members describe a unified and systematic approach to turnaround and an urgency to change and improve, and each member is able to articulate their specific role in the school’s turnaround process.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71B5395B"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20"/>
                <w:lang w:bidi="en-US"/>
              </w:rPr>
            </w:pPr>
            <w:r w:rsidRPr="0059639E">
              <w:rPr>
                <w:rFonts w:cs="Helvetica"/>
                <w:i/>
                <w:kern w:val="1"/>
                <w:sz w:val="20"/>
                <w:lang w:bidi="en-US"/>
              </w:rPr>
              <w:t>Most</w:t>
            </w:r>
            <w:r w:rsidRPr="00F11765">
              <w:rPr>
                <w:rFonts w:cs="Helvetica"/>
                <w:kern w:val="1"/>
                <w:sz w:val="20"/>
                <w:lang w:bidi="en-US"/>
              </w:rPr>
              <w:t xml:space="preserve"> team members describe a unified and systematic approach to turnaround and an urgency to change and improve, and most members were able to articulate their specific role in the school’s turnaround process.</w:t>
            </w:r>
          </w:p>
        </w:tc>
        <w:tc>
          <w:tcPr>
            <w:tcW w:w="306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14:paraId="506650FF"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20"/>
                <w:lang w:bidi="en-US"/>
              </w:rPr>
            </w:pPr>
            <w:r w:rsidRPr="00F11765">
              <w:rPr>
                <w:rFonts w:cs="Helvetica"/>
                <w:kern w:val="1"/>
                <w:sz w:val="20"/>
                <w:lang w:bidi="en-US"/>
              </w:rPr>
              <w:t xml:space="preserve">Most team members describe a unified and systematic approach to turnaround and an urgency to change and improve </w:t>
            </w:r>
            <w:r w:rsidRPr="0059639E">
              <w:rPr>
                <w:rFonts w:cs="Helvetica"/>
                <w:b/>
                <w:kern w:val="1"/>
                <w:sz w:val="20"/>
                <w:lang w:bidi="en-US"/>
              </w:rPr>
              <w:t>OR</w:t>
            </w:r>
            <w:r w:rsidRPr="00F11765">
              <w:rPr>
                <w:rFonts w:cs="Helvetica"/>
                <w:kern w:val="1"/>
                <w:sz w:val="20"/>
                <w:lang w:bidi="en-US"/>
              </w:rPr>
              <w:t xml:space="preserve"> most members were able to articulate their specific role in the school’s turnaround process.</w:t>
            </w:r>
          </w:p>
        </w:tc>
        <w:tc>
          <w:tcPr>
            <w:tcW w:w="2908" w:type="dxa"/>
            <w:tcBorders>
              <w:top w:val="single" w:sz="8" w:space="0" w:color="auto"/>
              <w:left w:val="single" w:sz="4" w:space="0" w:color="auto"/>
              <w:bottom w:val="single" w:sz="8" w:space="0" w:color="auto"/>
              <w:right w:val="single" w:sz="8" w:space="0" w:color="auto"/>
            </w:tcBorders>
          </w:tcPr>
          <w:p w14:paraId="003E17A3"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Helvetica"/>
                <w:kern w:val="1"/>
                <w:sz w:val="20"/>
                <w:lang w:bidi="en-US"/>
              </w:rPr>
            </w:pPr>
            <w:r w:rsidRPr="00F11765">
              <w:rPr>
                <w:rFonts w:cs="Helvetica"/>
                <w:kern w:val="1"/>
                <w:sz w:val="20"/>
                <w:lang w:bidi="en-US"/>
              </w:rPr>
              <w:t>Only a few members answered the majority of questions, making it unclear if all team members were unified in the approach to turnaround, have a sense of urgency to change or improve, and aware of their specific roles in the turnaround process.</w:t>
            </w:r>
          </w:p>
        </w:tc>
      </w:tr>
      <w:tr w:rsidR="004B4C34" w:rsidRPr="00525AD8" w14:paraId="2640DB58" w14:textId="77777777" w:rsidTr="005408B9">
        <w:trPr>
          <w:trHeight w:val="1604"/>
        </w:trPr>
        <w:tc>
          <w:tcPr>
            <w:tcW w:w="13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2D274F91"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Pr>
                <w:rFonts w:cs="Palatino-Roman"/>
                <w:bCs/>
                <w:sz w:val="20"/>
                <w:lang w:bidi="en-US"/>
              </w:rPr>
              <w:t>29</w:t>
            </w:r>
            <w:r w:rsidRPr="00F11765">
              <w:rPr>
                <w:rFonts w:cs="Palatino-Roman"/>
                <w:bCs/>
                <w:sz w:val="20"/>
                <w:lang w:bidi="en-US"/>
              </w:rPr>
              <w:t xml:space="preserve">: </w:t>
            </w:r>
          </w:p>
          <w:p w14:paraId="58244471"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F11765">
              <w:rPr>
                <w:rFonts w:cs="Palatino-Roman"/>
                <w:bCs/>
                <w:sz w:val="20"/>
                <w:lang w:bidi="en-US"/>
              </w:rPr>
              <w:t>Ability to Address Questions</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026289EE"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w:t>
            </w:r>
            <w:r w:rsidRPr="0059639E">
              <w:rPr>
                <w:rFonts w:cs="Helvetica"/>
                <w:i/>
                <w:kern w:val="1"/>
                <w:sz w:val="20"/>
                <w:lang w:bidi="en-US"/>
              </w:rPr>
              <w:t>fully</w:t>
            </w:r>
            <w:r w:rsidRPr="00F11765">
              <w:rPr>
                <w:rFonts w:cs="Helvetica"/>
                <w:kern w:val="1"/>
                <w:sz w:val="20"/>
                <w:lang w:bidi="en-US"/>
              </w:rPr>
              <w:t xml:space="preserve"> address questions regarding proposed strategies and actions, specifically in any areas rated below adequate in the review of the turnaround plan. </w:t>
            </w:r>
          </w:p>
        </w:tc>
        <w:tc>
          <w:tcPr>
            <w:tcW w:w="315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14:paraId="19523200"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w:t>
            </w:r>
            <w:r w:rsidRPr="0059639E">
              <w:rPr>
                <w:rFonts w:cs="Helvetica"/>
                <w:i/>
                <w:kern w:val="1"/>
                <w:sz w:val="20"/>
                <w:lang w:bidi="en-US"/>
              </w:rPr>
              <w:t>adequately</w:t>
            </w:r>
            <w:r w:rsidRPr="00F11765">
              <w:rPr>
                <w:rFonts w:cs="Helvetica"/>
                <w:kern w:val="1"/>
                <w:sz w:val="20"/>
                <w:lang w:bidi="en-US"/>
              </w:rPr>
              <w:t xml:space="preserve"> address nearly all of the questions regarding proposed strategies and actions, specifically in those areas rated below adequate in the review of the turnaround plan.</w:t>
            </w:r>
          </w:p>
        </w:tc>
        <w:tc>
          <w:tcPr>
            <w:tcW w:w="3060" w:type="dxa"/>
            <w:tcBorders>
              <w:top w:val="single" w:sz="8" w:space="0" w:color="auto"/>
              <w:left w:val="single" w:sz="8" w:space="0" w:color="auto"/>
              <w:bottom w:val="single" w:sz="8" w:space="0" w:color="auto"/>
              <w:right w:val="single" w:sz="4" w:space="0" w:color="auto"/>
            </w:tcBorders>
            <w:tcMar>
              <w:top w:w="40" w:type="nil"/>
              <w:left w:w="40" w:type="nil"/>
              <w:bottom w:w="40" w:type="nil"/>
              <w:right w:w="40" w:type="nil"/>
            </w:tcMar>
          </w:tcPr>
          <w:p w14:paraId="0154E8DF"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 xml:space="preserve">School representatives </w:t>
            </w:r>
            <w:r w:rsidRPr="0059639E">
              <w:rPr>
                <w:rFonts w:cs="Helvetica"/>
                <w:i/>
                <w:kern w:val="1"/>
                <w:sz w:val="20"/>
                <w:lang w:bidi="en-US"/>
              </w:rPr>
              <w:t>marginally</w:t>
            </w:r>
            <w:r w:rsidRPr="00F11765">
              <w:rPr>
                <w:rFonts w:cs="Helvetica"/>
                <w:kern w:val="1"/>
                <w:sz w:val="20"/>
                <w:lang w:bidi="en-US"/>
              </w:rPr>
              <w:t xml:space="preserve"> address some of the questions regarding proposed turnaround strategies, specifically in those areas rated below adequate in the review of the turnaround plan.</w:t>
            </w:r>
          </w:p>
        </w:tc>
        <w:tc>
          <w:tcPr>
            <w:tcW w:w="2908" w:type="dxa"/>
            <w:tcBorders>
              <w:top w:val="single" w:sz="8" w:space="0" w:color="auto"/>
              <w:left w:val="single" w:sz="4" w:space="0" w:color="auto"/>
              <w:bottom w:val="single" w:sz="8" w:space="0" w:color="auto"/>
              <w:right w:val="single" w:sz="8" w:space="0" w:color="auto"/>
            </w:tcBorders>
          </w:tcPr>
          <w:p w14:paraId="31766657" w14:textId="77777777" w:rsidR="004B4C34" w:rsidRPr="00F11765"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 w:val="20"/>
                <w:lang w:bidi="en-US"/>
              </w:rPr>
            </w:pPr>
            <w:r w:rsidRPr="00F11765">
              <w:rPr>
                <w:rFonts w:cs="Helvetica"/>
                <w:kern w:val="1"/>
                <w:sz w:val="20"/>
                <w:lang w:bidi="en-US"/>
              </w:rPr>
              <w:t>School representatives address none, or only a few of the questions in those areas rated below adequate in the review of the turnaround plan.</w:t>
            </w:r>
          </w:p>
        </w:tc>
      </w:tr>
    </w:tbl>
    <w:p w14:paraId="212B85BE" w14:textId="77777777" w:rsidR="004B4C34" w:rsidRDefault="004B4C34" w:rsidP="004B4C34">
      <w:pPr>
        <w:jc w:val="center"/>
        <w:rPr>
          <w:rFonts w:cs="Palatino-Roman"/>
          <w:szCs w:val="24"/>
          <w:lang w:bidi="en-US"/>
        </w:rPr>
      </w:pPr>
    </w:p>
    <w:p w14:paraId="1DB67FC9" w14:textId="77777777" w:rsidR="004B4C34" w:rsidRDefault="004B4C34" w:rsidP="004B4C34">
      <w:pPr>
        <w:rPr>
          <w:rFonts w:cs="Palatino-Roman"/>
          <w:b/>
          <w:szCs w:val="24"/>
          <w:lang w:bidi="en-US"/>
        </w:rPr>
      </w:pPr>
      <w:r>
        <w:rPr>
          <w:rFonts w:cs="Palatino-Roman"/>
          <w:b/>
          <w:szCs w:val="24"/>
          <w:lang w:bidi="en-US"/>
        </w:rPr>
        <w:br w:type="page"/>
      </w:r>
    </w:p>
    <w:p w14:paraId="7D511539" w14:textId="77777777" w:rsidR="004B4C34" w:rsidRPr="00FB3CDC" w:rsidRDefault="004B4C34" w:rsidP="004B4C34">
      <w:pPr>
        <w:jc w:val="center"/>
        <w:rPr>
          <w:rFonts w:cs="Palatino-Roman"/>
          <w:b/>
          <w:szCs w:val="24"/>
          <w:lang w:bidi="en-US"/>
        </w:rPr>
      </w:pPr>
      <w:r>
        <w:rPr>
          <w:rFonts w:cs="Palatino-Roman"/>
          <w:b/>
          <w:szCs w:val="24"/>
          <w:lang w:bidi="en-US"/>
        </w:rPr>
        <w:lastRenderedPageBreak/>
        <w:t>School Redesign</w:t>
      </w:r>
      <w:r w:rsidRPr="00FB3CDC">
        <w:rPr>
          <w:rFonts w:cs="Palatino-Roman"/>
          <w:b/>
          <w:szCs w:val="24"/>
          <w:lang w:bidi="en-US"/>
        </w:rPr>
        <w:t xml:space="preserve"> Grant Scoring Sheet</w:t>
      </w:r>
    </w:p>
    <w:p w14:paraId="2AA8340A" w14:textId="77777777" w:rsidR="004B4C34" w:rsidRPr="00032F17" w:rsidRDefault="004B4C34" w:rsidP="004B4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District Name:</w:t>
      </w:r>
    </w:p>
    <w:p w14:paraId="11E13D53" w14:textId="77777777" w:rsidR="004B4C34" w:rsidRPr="00032F17" w:rsidRDefault="004B4C34" w:rsidP="004B4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School Name:</w:t>
      </w:r>
    </w:p>
    <w:p w14:paraId="08FA5CE4" w14:textId="77777777" w:rsidR="004B4C34" w:rsidRDefault="004B4C34" w:rsidP="004B4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r w:rsidRPr="007862B4">
        <w:rPr>
          <w:szCs w:val="24"/>
          <w:lang w:bidi="en-US"/>
        </w:rPr>
        <w:t>Review Team:</w:t>
      </w:r>
    </w:p>
    <w:p w14:paraId="07CA521A" w14:textId="77777777" w:rsidR="004B4C34" w:rsidRPr="007862B4" w:rsidRDefault="004B4C34" w:rsidP="004B4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p>
    <w:tbl>
      <w:tblPr>
        <w:tblW w:w="13968" w:type="dxa"/>
        <w:tblBorders>
          <w:top w:val="nil"/>
          <w:left w:val="nil"/>
          <w:right w:val="nil"/>
        </w:tblBorders>
        <w:tblLayout w:type="fixed"/>
        <w:tblLook w:val="0000" w:firstRow="0" w:lastRow="0" w:firstColumn="0" w:lastColumn="0" w:noHBand="0" w:noVBand="0"/>
      </w:tblPr>
      <w:tblGrid>
        <w:gridCol w:w="2808"/>
        <w:gridCol w:w="2432"/>
        <w:gridCol w:w="2519"/>
        <w:gridCol w:w="2160"/>
        <w:gridCol w:w="990"/>
        <w:gridCol w:w="3059"/>
      </w:tblGrid>
      <w:tr w:rsidR="004B4C34" w:rsidRPr="00032F17" w14:paraId="14756F2E" w14:textId="77777777" w:rsidTr="005408B9">
        <w:trPr>
          <w:trHeight w:val="907"/>
          <w:tblHeader/>
        </w:trPr>
        <w:tc>
          <w:tcPr>
            <w:tcW w:w="2808" w:type="dxa"/>
            <w:tcBorders>
              <w:bottom w:val="single" w:sz="8" w:space="0" w:color="auto"/>
              <w:right w:val="single" w:sz="8" w:space="0" w:color="auto"/>
            </w:tcBorders>
            <w:tcMar>
              <w:top w:w="100" w:type="nil"/>
              <w:left w:w="100" w:type="nil"/>
              <w:bottom w:w="100" w:type="nil"/>
              <w:right w:w="100" w:type="nil"/>
            </w:tcMar>
          </w:tcPr>
          <w:p w14:paraId="77BC568E"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bidi="en-US"/>
              </w:rPr>
            </w:pPr>
          </w:p>
        </w:tc>
        <w:tc>
          <w:tcPr>
            <w:tcW w:w="2432"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14:paraId="0F517EC0" w14:textId="77777777" w:rsidR="004B4C34" w:rsidRPr="00032F17" w:rsidRDefault="004B4C34" w:rsidP="005408B9">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Capacity and Commitment</w:t>
            </w:r>
          </w:p>
        </w:tc>
        <w:tc>
          <w:tcPr>
            <w:tcW w:w="2519"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14:paraId="44783449" w14:textId="77777777" w:rsidR="004B4C34" w:rsidRPr="00032F17" w:rsidRDefault="004B4C34" w:rsidP="005408B9">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 xml:space="preserve">Data Analysis </w:t>
            </w:r>
          </w:p>
        </w:tc>
        <w:tc>
          <w:tcPr>
            <w:tcW w:w="216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14:paraId="527AB89F"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Strategic and Actionable Approach</w:t>
            </w:r>
          </w:p>
        </w:tc>
        <w:tc>
          <w:tcPr>
            <w:tcW w:w="99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14:paraId="49099F60"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Total</w:t>
            </w:r>
          </w:p>
        </w:tc>
        <w:tc>
          <w:tcPr>
            <w:tcW w:w="3059" w:type="dxa"/>
            <w:tcBorders>
              <w:top w:val="single" w:sz="8" w:space="0" w:color="auto"/>
              <w:left w:val="single" w:sz="8" w:space="0" w:color="auto"/>
              <w:bottom w:val="single" w:sz="8" w:space="0" w:color="auto"/>
              <w:right w:val="single" w:sz="8" w:space="0" w:color="auto"/>
            </w:tcBorders>
            <w:shd w:val="clear" w:color="auto" w:fill="E6E6E6"/>
            <w:vAlign w:val="center"/>
          </w:tcPr>
          <w:p w14:paraId="11340A22"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2"/>
                <w:szCs w:val="22"/>
                <w:lang w:bidi="en-US"/>
              </w:rPr>
              <w:t>Comments</w:t>
            </w:r>
          </w:p>
        </w:tc>
      </w:tr>
      <w:tr w:rsidR="004B4C34" w:rsidRPr="00032F17" w14:paraId="737DEBFB" w14:textId="77777777" w:rsidTr="005408B9">
        <w:tblPrEx>
          <w:tblBorders>
            <w:top w:val="none" w:sz="0" w:space="0" w:color="auto"/>
          </w:tblBorders>
        </w:tblPrEx>
        <w:trPr>
          <w:trHeight w:val="520"/>
          <w:tblHeader/>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14:paraId="7836ED5B"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Required Elements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14:paraId="6E3CBE5B"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48</w:t>
            </w:r>
          </w:p>
        </w:tc>
        <w:tc>
          <w:tcPr>
            <w:tcW w:w="2519" w:type="dxa"/>
            <w:tcBorders>
              <w:top w:val="single" w:sz="8" w:space="0" w:color="auto"/>
              <w:left w:val="single" w:sz="8" w:space="0" w:color="auto"/>
              <w:bottom w:val="single" w:sz="8" w:space="0" w:color="auto"/>
              <w:right w:val="single" w:sz="8" w:space="0" w:color="auto"/>
            </w:tcBorders>
            <w:vAlign w:val="center"/>
          </w:tcPr>
          <w:p w14:paraId="2B5FA478"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12</w:t>
            </w: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0F35495E"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32</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0A4C505A"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92</w:t>
            </w:r>
          </w:p>
        </w:tc>
        <w:tc>
          <w:tcPr>
            <w:tcW w:w="3059" w:type="dxa"/>
            <w:tcBorders>
              <w:top w:val="single" w:sz="8" w:space="0" w:color="auto"/>
              <w:left w:val="single" w:sz="8" w:space="0" w:color="auto"/>
              <w:bottom w:val="single" w:sz="8" w:space="0" w:color="auto"/>
              <w:right w:val="single" w:sz="8" w:space="0" w:color="auto"/>
            </w:tcBorders>
          </w:tcPr>
          <w:p w14:paraId="2CB33ED3"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B4C34" w:rsidRPr="00032F17" w14:paraId="0820177C" w14:textId="77777777" w:rsidTr="005408B9">
        <w:tblPrEx>
          <w:tblBorders>
            <w:top w:val="none" w:sz="0" w:space="0" w:color="auto"/>
          </w:tblBorders>
        </w:tblPrEx>
        <w:trPr>
          <w:trHeight w:val="520"/>
          <w:tblHeader/>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14:paraId="40D2F964"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Interview Score</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14:paraId="78B638E2"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16</w:t>
            </w:r>
          </w:p>
        </w:tc>
        <w:tc>
          <w:tcPr>
            <w:tcW w:w="2519" w:type="dxa"/>
            <w:tcBorders>
              <w:top w:val="single" w:sz="8" w:space="0" w:color="auto"/>
              <w:left w:val="single" w:sz="8" w:space="0" w:color="auto"/>
              <w:bottom w:val="single" w:sz="8" w:space="0" w:color="auto"/>
              <w:right w:val="single" w:sz="8" w:space="0" w:color="auto"/>
            </w:tcBorders>
            <w:vAlign w:val="center"/>
          </w:tcPr>
          <w:p w14:paraId="01B121DA"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036C6378"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03099B5"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16</w:t>
            </w:r>
          </w:p>
        </w:tc>
        <w:tc>
          <w:tcPr>
            <w:tcW w:w="3059" w:type="dxa"/>
            <w:tcBorders>
              <w:top w:val="single" w:sz="8" w:space="0" w:color="auto"/>
              <w:left w:val="single" w:sz="8" w:space="0" w:color="auto"/>
              <w:bottom w:val="single" w:sz="8" w:space="0" w:color="auto"/>
              <w:right w:val="single" w:sz="8" w:space="0" w:color="auto"/>
            </w:tcBorders>
          </w:tcPr>
          <w:p w14:paraId="13859E8C"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B4C34" w:rsidRPr="00032F17" w14:paraId="2C6AC14F" w14:textId="77777777" w:rsidTr="005408B9">
        <w:tblPrEx>
          <w:tblBorders>
            <w:top w:val="none" w:sz="0" w:space="0" w:color="auto"/>
          </w:tblBorders>
        </w:tblPrEx>
        <w:trPr>
          <w:trHeight w:val="520"/>
          <w:tblHeader/>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14:paraId="5231B37B" w14:textId="77777777" w:rsidR="004B4C34" w:rsidRPr="00032F17"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Budget Review</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14:paraId="57BF61CE"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519" w:type="dxa"/>
            <w:tcBorders>
              <w:top w:val="single" w:sz="8" w:space="0" w:color="auto"/>
              <w:left w:val="single" w:sz="8" w:space="0" w:color="auto"/>
              <w:bottom w:val="single" w:sz="8" w:space="0" w:color="auto"/>
              <w:right w:val="single" w:sz="8" w:space="0" w:color="auto"/>
            </w:tcBorders>
            <w:vAlign w:val="center"/>
          </w:tcPr>
          <w:p w14:paraId="6417F9CB"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p>
        </w:tc>
        <w:tc>
          <w:tcPr>
            <w:tcW w:w="2160"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06D6D869"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8</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14:paraId="7B38EAB0"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8</w:t>
            </w:r>
          </w:p>
        </w:tc>
        <w:tc>
          <w:tcPr>
            <w:tcW w:w="3059" w:type="dxa"/>
            <w:tcBorders>
              <w:top w:val="single" w:sz="8" w:space="0" w:color="auto"/>
              <w:left w:val="single" w:sz="8" w:space="0" w:color="auto"/>
              <w:bottom w:val="single" w:sz="8" w:space="0" w:color="auto"/>
              <w:right w:val="single" w:sz="8" w:space="0" w:color="auto"/>
            </w:tcBorders>
          </w:tcPr>
          <w:p w14:paraId="51906B21"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Helvetica" w:hAnsi="Helvetica" w:cs="Helvetica"/>
                <w:kern w:val="1"/>
                <w:szCs w:val="24"/>
                <w:lang w:bidi="en-US"/>
              </w:rPr>
            </w:pPr>
          </w:p>
        </w:tc>
      </w:tr>
      <w:tr w:rsidR="004B4C34" w:rsidRPr="00032F17" w14:paraId="3DC641BA" w14:textId="77777777" w:rsidTr="005408B9">
        <w:tblPrEx>
          <w:tblBorders>
            <w:top w:val="none" w:sz="0" w:space="0" w:color="auto"/>
          </w:tblBorders>
        </w:tblPrEx>
        <w:trPr>
          <w:trHeight w:val="520"/>
          <w:tblHeader/>
        </w:trPr>
        <w:tc>
          <w:tcPr>
            <w:tcW w:w="280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1686B1E4" w14:textId="77777777" w:rsidR="004B4C34" w:rsidRPr="00096F4A"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 w:val="28"/>
                <w:szCs w:val="28"/>
                <w:lang w:bidi="en-US"/>
              </w:rPr>
            </w:pPr>
            <w:r w:rsidRPr="00096F4A">
              <w:rPr>
                <w:rFonts w:cs="Palatino-Roman"/>
                <w:b/>
                <w:bCs/>
                <w:sz w:val="28"/>
                <w:szCs w:val="28"/>
                <w:lang w:bidi="en-US"/>
              </w:rPr>
              <w:t>Totals</w:t>
            </w:r>
          </w:p>
        </w:tc>
        <w:tc>
          <w:tcPr>
            <w:tcW w:w="2432"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48634887"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64</w:t>
            </w:r>
          </w:p>
        </w:tc>
        <w:tc>
          <w:tcPr>
            <w:tcW w:w="2519"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14:paraId="23E22E93"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4269AB">
              <w:rPr>
                <w:rFonts w:cs="Palatino-Roman"/>
                <w:szCs w:val="24"/>
                <w:lang w:bidi="en-US"/>
              </w:rPr>
              <w:t>12</w:t>
            </w:r>
          </w:p>
        </w:tc>
        <w:tc>
          <w:tcPr>
            <w:tcW w:w="216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14:paraId="3721747A"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Pr>
                <w:rFonts w:cs="Palatino-Roman"/>
                <w:szCs w:val="24"/>
                <w:lang w:bidi="en-US"/>
              </w:rPr>
              <w:t>40</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14:paraId="197E3335"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kern w:val="1"/>
                <w:szCs w:val="24"/>
                <w:lang w:bidi="en-US"/>
              </w:rPr>
            </w:pPr>
            <w:r w:rsidRPr="004269AB">
              <w:rPr>
                <w:rFonts w:cs="Palatino-Roman"/>
                <w:b/>
                <w:szCs w:val="24"/>
                <w:lang w:bidi="en-US"/>
              </w:rPr>
              <w:t>1</w:t>
            </w:r>
            <w:r>
              <w:rPr>
                <w:rFonts w:cs="Palatino-Roman"/>
                <w:b/>
                <w:szCs w:val="24"/>
                <w:lang w:bidi="en-US"/>
              </w:rPr>
              <w:t>16</w:t>
            </w:r>
          </w:p>
        </w:tc>
        <w:tc>
          <w:tcPr>
            <w:tcW w:w="3059" w:type="dxa"/>
            <w:tcBorders>
              <w:top w:val="single" w:sz="8" w:space="0" w:color="auto"/>
              <w:left w:val="single" w:sz="8" w:space="0" w:color="auto"/>
              <w:bottom w:val="single" w:sz="8" w:space="0" w:color="auto"/>
              <w:right w:val="single" w:sz="8" w:space="0" w:color="auto"/>
            </w:tcBorders>
            <w:shd w:val="clear" w:color="auto" w:fill="auto"/>
          </w:tcPr>
          <w:p w14:paraId="197F254A" w14:textId="77777777" w:rsidR="004B4C34" w:rsidRPr="004269AB" w:rsidRDefault="004B4C34" w:rsidP="00540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szCs w:val="24"/>
                <w:lang w:bidi="en-US"/>
              </w:rPr>
            </w:pPr>
          </w:p>
        </w:tc>
      </w:tr>
    </w:tbl>
    <w:p w14:paraId="79D45F19" w14:textId="77777777" w:rsidR="004B4C34" w:rsidRDefault="004B4C34" w:rsidP="004B4C34">
      <w:r w:rsidRPr="00907937">
        <w:rPr>
          <w:b/>
        </w:rPr>
        <w:t>*</w:t>
      </w:r>
      <w:r w:rsidRPr="00BB099D">
        <w:t xml:space="preserve"> </w:t>
      </w:r>
      <w:r>
        <w:t>All</w:t>
      </w:r>
      <w:r w:rsidRPr="00F86389">
        <w:t xml:space="preserve"> Applications must receive a tot</w:t>
      </w:r>
      <w:r>
        <w:t>al combined score of at least 87</w:t>
      </w:r>
      <w:r w:rsidRPr="00F86389">
        <w:t xml:space="preserve"> </w:t>
      </w:r>
      <w:r>
        <w:t xml:space="preserve">out of 116 </w:t>
      </w:r>
      <w:r w:rsidRPr="00F86389">
        <w:t>(</w:t>
      </w:r>
      <w:r>
        <w:t>75%</w:t>
      </w:r>
      <w:r w:rsidRPr="00F86389">
        <w:t>) to be considered for funding.</w:t>
      </w:r>
      <w:r w:rsidRPr="003D5761">
        <w:t xml:space="preserve"> </w:t>
      </w:r>
    </w:p>
    <w:p w14:paraId="63513CD0" w14:textId="77777777" w:rsidR="004B4C34" w:rsidRPr="009A30F9" w:rsidRDefault="004B4C34" w:rsidP="004B4C34">
      <w:pPr>
        <w:spacing w:after="40"/>
        <w:outlineLvl w:val="0"/>
        <w:rPr>
          <w:b/>
          <w:sz w:val="22"/>
        </w:rPr>
      </w:pPr>
    </w:p>
    <w:p w14:paraId="1404C66A" w14:textId="77777777" w:rsidR="004B4C34" w:rsidRPr="00362086" w:rsidRDefault="004B4C34" w:rsidP="002C0D15">
      <w:pPr>
        <w:spacing w:after="40"/>
        <w:outlineLvl w:val="0"/>
        <w:rPr>
          <w:b/>
          <w:sz w:val="22"/>
        </w:rPr>
      </w:pPr>
    </w:p>
    <w:p w14:paraId="66F0DC99" w14:textId="336FC132" w:rsidR="003439FF" w:rsidRPr="003439FF" w:rsidRDefault="003439FF" w:rsidP="008006E2"/>
    <w:sectPr w:rsidR="003439FF" w:rsidRPr="003439FF" w:rsidSect="008006E2">
      <w:pgSz w:w="15840" w:h="12240" w:orient="landscape"/>
      <w:pgMar w:top="1440" w:right="1584" w:bottom="1440"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7D28E" w14:textId="77777777" w:rsidR="0065686B" w:rsidRDefault="0065686B" w:rsidP="00F90D6A">
      <w:r>
        <w:separator/>
      </w:r>
    </w:p>
  </w:endnote>
  <w:endnote w:type="continuationSeparator" w:id="0">
    <w:p w14:paraId="19225EA5" w14:textId="77777777" w:rsidR="0065686B" w:rsidRDefault="0065686B" w:rsidP="00F9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22637"/>
      <w:docPartObj>
        <w:docPartGallery w:val="Page Numbers (Bottom of Page)"/>
        <w:docPartUnique/>
      </w:docPartObj>
    </w:sdtPr>
    <w:sdtEndPr>
      <w:rPr>
        <w:rFonts w:asciiTheme="minorHAnsi" w:hAnsiTheme="minorHAnsi" w:cstheme="minorHAnsi"/>
        <w:noProof/>
      </w:rPr>
    </w:sdtEndPr>
    <w:sdtContent>
      <w:p w14:paraId="6415C968" w14:textId="552E72EA" w:rsidR="00DF30F4" w:rsidRPr="00DF30F4" w:rsidRDefault="00DF30F4">
        <w:pPr>
          <w:pStyle w:val="Footer"/>
          <w:jc w:val="right"/>
          <w:rPr>
            <w:rFonts w:asciiTheme="minorHAnsi" w:hAnsiTheme="minorHAnsi" w:cstheme="minorHAnsi"/>
          </w:rPr>
        </w:pPr>
        <w:r w:rsidRPr="00DF30F4">
          <w:rPr>
            <w:rFonts w:asciiTheme="minorHAnsi" w:hAnsiTheme="minorHAnsi" w:cstheme="minorHAnsi"/>
          </w:rPr>
          <w:fldChar w:fldCharType="begin"/>
        </w:r>
        <w:r w:rsidRPr="00DF30F4">
          <w:rPr>
            <w:rFonts w:asciiTheme="minorHAnsi" w:hAnsiTheme="minorHAnsi" w:cstheme="minorHAnsi"/>
          </w:rPr>
          <w:instrText xml:space="preserve"> PAGE   \* MERGEFORMAT </w:instrText>
        </w:r>
        <w:r w:rsidRPr="00DF30F4">
          <w:rPr>
            <w:rFonts w:asciiTheme="minorHAnsi" w:hAnsiTheme="minorHAnsi" w:cstheme="minorHAnsi"/>
          </w:rPr>
          <w:fldChar w:fldCharType="separate"/>
        </w:r>
        <w:r w:rsidR="008B2336">
          <w:rPr>
            <w:rFonts w:asciiTheme="minorHAnsi" w:hAnsiTheme="minorHAnsi" w:cstheme="minorHAnsi"/>
            <w:noProof/>
          </w:rPr>
          <w:t>19</w:t>
        </w:r>
        <w:r w:rsidRPr="00DF30F4">
          <w:rPr>
            <w:rFonts w:asciiTheme="minorHAnsi" w:hAnsiTheme="minorHAnsi" w:cstheme="minorHAnsi"/>
            <w:noProof/>
          </w:rPr>
          <w:fldChar w:fldCharType="end"/>
        </w:r>
      </w:p>
    </w:sdtContent>
  </w:sdt>
  <w:p w14:paraId="660F3131" w14:textId="77777777" w:rsidR="00DF30F4" w:rsidRDefault="00DF3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5344" w14:textId="77777777" w:rsidR="0065686B" w:rsidRDefault="0065686B" w:rsidP="00F90D6A">
      <w:r>
        <w:separator/>
      </w:r>
    </w:p>
  </w:footnote>
  <w:footnote w:type="continuationSeparator" w:id="0">
    <w:p w14:paraId="508EAD29" w14:textId="77777777" w:rsidR="0065686B" w:rsidRDefault="0065686B" w:rsidP="00F9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8067" w14:textId="77777777" w:rsidR="002B4A54" w:rsidRDefault="002B4A54" w:rsidP="007F0BBB">
    <w:pPr>
      <w:pStyle w:val="Header"/>
      <w:jc w:val="center"/>
      <w:rPr>
        <w:rFonts w:ascii="Palatino" w:hAnsi="Palatino"/>
        <w:b/>
      </w:rPr>
    </w:pPr>
    <w:r>
      <w:rPr>
        <w:rFonts w:ascii="Palatino" w:hAnsi="Palatino"/>
        <w:b/>
        <w:noProof/>
        <w:lang w:eastAsia="zh-CN" w:bidi="ar-SA"/>
      </w:rPr>
      <w:drawing>
        <wp:inline distT="0" distB="0" distL="0" distR="0" wp14:anchorId="41C4D08C" wp14:editId="36815CFB">
          <wp:extent cx="1329055" cy="553085"/>
          <wp:effectExtent l="19050" t="0" r="444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rcRect/>
                  <a:stretch>
                    <a:fillRect/>
                  </a:stretch>
                </pic:blipFill>
                <pic:spPr bwMode="auto">
                  <a:xfrm>
                    <a:off x="0" y="0"/>
                    <a:ext cx="1329055" cy="553085"/>
                  </a:xfrm>
                  <a:prstGeom prst="rect">
                    <a:avLst/>
                  </a:prstGeom>
                  <a:noFill/>
                  <a:ln w="9525">
                    <a:noFill/>
                    <a:miter lim="800000"/>
                    <a:headEnd/>
                    <a:tailEnd/>
                  </a:ln>
                </pic:spPr>
              </pic:pic>
            </a:graphicData>
          </a:graphic>
        </wp:inline>
      </w:drawing>
    </w:r>
  </w:p>
  <w:p w14:paraId="1893C3CB" w14:textId="77777777" w:rsidR="002B4A54" w:rsidRDefault="002B4A54" w:rsidP="00CE23A2">
    <w:pPr>
      <w:pStyle w:val="Header"/>
      <w:jc w:val="center"/>
      <w:rPr>
        <w:b/>
      </w:rPr>
    </w:pPr>
  </w:p>
  <w:p w14:paraId="77CAFB17" w14:textId="553EACC4" w:rsidR="002B4A54" w:rsidRDefault="002B4A54" w:rsidP="00CE23A2">
    <w:pPr>
      <w:pStyle w:val="Header"/>
      <w:jc w:val="center"/>
      <w:rPr>
        <w:b/>
      </w:rPr>
    </w:pPr>
    <w:r w:rsidRPr="00BA62C6">
      <w:rPr>
        <w:b/>
      </w:rPr>
      <w:t>School Redesign</w:t>
    </w:r>
    <w:r>
      <w:rPr>
        <w:b/>
      </w:rPr>
      <w:t xml:space="preserve"> Grant (SRG)</w:t>
    </w:r>
    <w:r w:rsidRPr="00BA62C6">
      <w:rPr>
        <w:b/>
      </w:rPr>
      <w:t xml:space="preserve">: </w:t>
    </w:r>
    <w:r>
      <w:rPr>
        <w:b/>
      </w:rPr>
      <w:t>FY20</w:t>
    </w:r>
    <w:r w:rsidRPr="00BA62C6">
      <w:rPr>
        <w:b/>
      </w:rPr>
      <w:t xml:space="preserve"> Application</w:t>
    </w:r>
    <w:r>
      <w:rPr>
        <w:b/>
      </w:rPr>
      <w:t xml:space="preserve"> Directions for NEW SRG Schools</w:t>
    </w:r>
  </w:p>
  <w:p w14:paraId="027EB048" w14:textId="77777777" w:rsidR="002B4A54" w:rsidRPr="00201ABA" w:rsidRDefault="002B4A54" w:rsidP="00CE23A2">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FE56" w14:textId="77777777" w:rsidR="002B4A54" w:rsidRDefault="002B4A54" w:rsidP="008B42AB">
    <w:pPr>
      <w:pStyle w:val="Header"/>
      <w:jc w:val="center"/>
      <w:rPr>
        <w:rFonts w:ascii="Palatino" w:hAnsi="Palatino"/>
        <w:b/>
      </w:rPr>
    </w:pPr>
    <w:r>
      <w:rPr>
        <w:rFonts w:ascii="Palatino" w:hAnsi="Palatino"/>
        <w:b/>
        <w:noProof/>
        <w:lang w:eastAsia="zh-CN" w:bidi="ar-SA"/>
      </w:rPr>
      <w:drawing>
        <wp:anchor distT="0" distB="0" distL="114300" distR="114300" simplePos="0" relativeHeight="251658240" behindDoc="0" locked="0" layoutInCell="1" allowOverlap="1" wp14:anchorId="0D34C637" wp14:editId="3CA4E2E7">
          <wp:simplePos x="0" y="0"/>
          <wp:positionH relativeFrom="column">
            <wp:posOffset>2305050</wp:posOffset>
          </wp:positionH>
          <wp:positionV relativeFrom="paragraph">
            <wp:posOffset>-295275</wp:posOffset>
          </wp:positionV>
          <wp:extent cx="1329055" cy="553085"/>
          <wp:effectExtent l="0" t="0" r="0" b="0"/>
          <wp:wrapThrough wrapText="bothSides">
            <wp:wrapPolygon edited="0">
              <wp:start x="0" y="0"/>
              <wp:lineTo x="0" y="20831"/>
              <wp:lineTo x="21363" y="20831"/>
              <wp:lineTo x="21363" y="0"/>
              <wp:lineTo x="0" y="0"/>
            </wp:wrapPolygon>
          </wp:wrapThrough>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53085"/>
                  </a:xfrm>
                  <a:prstGeom prst="rect">
                    <a:avLst/>
                  </a:prstGeom>
                  <a:noFill/>
                  <a:ln w="9525">
                    <a:noFill/>
                    <a:miter lim="800000"/>
                    <a:headEnd/>
                    <a:tailEnd/>
                  </a:ln>
                </pic:spPr>
              </pic:pic>
            </a:graphicData>
          </a:graphic>
        </wp:anchor>
      </w:drawing>
    </w:r>
  </w:p>
  <w:p w14:paraId="23D8E26A" w14:textId="77777777" w:rsidR="002B4A54" w:rsidRDefault="002B4A54" w:rsidP="008B42AB">
    <w:pPr>
      <w:pStyle w:val="Header"/>
      <w:jc w:val="center"/>
      <w:rPr>
        <w:b/>
      </w:rPr>
    </w:pPr>
  </w:p>
  <w:p w14:paraId="5272C6B0" w14:textId="6076B364" w:rsidR="002B4A54" w:rsidRPr="00201ABA" w:rsidRDefault="002B4A54" w:rsidP="009259F4">
    <w:pPr>
      <w:pStyle w:val="Header"/>
      <w:jc w:val="center"/>
      <w:rPr>
        <w:b/>
      </w:rPr>
    </w:pPr>
    <w:r w:rsidRPr="00BA62C6">
      <w:rPr>
        <w:b/>
      </w:rPr>
      <w:t>S</w:t>
    </w:r>
    <w:r>
      <w:rPr>
        <w:b/>
      </w:rPr>
      <w:t>RG: FY20 Application Directions</w:t>
    </w:r>
  </w:p>
  <w:p w14:paraId="183D2109" w14:textId="77777777" w:rsidR="002B4A54" w:rsidRPr="009259F4" w:rsidRDefault="002B4A54" w:rsidP="009259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6D9B"/>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78A0"/>
    <w:multiLevelType w:val="hybridMultilevel"/>
    <w:tmpl w:val="CA3AB9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11046B8"/>
    <w:multiLevelType w:val="hybridMultilevel"/>
    <w:tmpl w:val="841A7A04"/>
    <w:lvl w:ilvl="0" w:tplc="7898CD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16E4A"/>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A36BD"/>
    <w:multiLevelType w:val="hybridMultilevel"/>
    <w:tmpl w:val="4C70B5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E2E7534"/>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0106ED"/>
    <w:multiLevelType w:val="hybridMultilevel"/>
    <w:tmpl w:val="A892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5208"/>
    <w:multiLevelType w:val="hybridMultilevel"/>
    <w:tmpl w:val="48DEE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A0128F8"/>
    <w:multiLevelType w:val="hybridMultilevel"/>
    <w:tmpl w:val="AD28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A61C15"/>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1340C"/>
    <w:multiLevelType w:val="hybridMultilevel"/>
    <w:tmpl w:val="652A7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204FB"/>
    <w:multiLevelType w:val="hybridMultilevel"/>
    <w:tmpl w:val="64D24F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D06B5"/>
    <w:multiLevelType w:val="hybridMultilevel"/>
    <w:tmpl w:val="F4E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90733"/>
    <w:multiLevelType w:val="hybridMultilevel"/>
    <w:tmpl w:val="992E0BA2"/>
    <w:lvl w:ilvl="0" w:tplc="7CF2BBAE">
      <w:start w:val="1"/>
      <w:numFmt w:val="decimal"/>
      <w:lvlText w:val="%1."/>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40A81"/>
    <w:multiLevelType w:val="hybridMultilevel"/>
    <w:tmpl w:val="288AC5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E56BC"/>
    <w:multiLevelType w:val="hybridMultilevel"/>
    <w:tmpl w:val="8A66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5FC456E"/>
    <w:multiLevelType w:val="hybridMultilevel"/>
    <w:tmpl w:val="8B88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005FB"/>
    <w:multiLevelType w:val="hybridMultilevel"/>
    <w:tmpl w:val="2F42847C"/>
    <w:lvl w:ilvl="0" w:tplc="EBACAC2E">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1437F6"/>
    <w:multiLevelType w:val="hybridMultilevel"/>
    <w:tmpl w:val="CC10F74C"/>
    <w:lvl w:ilvl="0" w:tplc="EA068B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65438"/>
    <w:multiLevelType w:val="hybridMultilevel"/>
    <w:tmpl w:val="6BB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D6293"/>
    <w:multiLevelType w:val="hybridMultilevel"/>
    <w:tmpl w:val="39606576"/>
    <w:lvl w:ilvl="0" w:tplc="BFC6A4A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5C325E"/>
    <w:multiLevelType w:val="hybridMultilevel"/>
    <w:tmpl w:val="8F0EA0BE"/>
    <w:lvl w:ilvl="0" w:tplc="E2AC7D1E">
      <w:start w:val="1"/>
      <w:numFmt w:val="upp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0"/>
  </w:num>
  <w:num w:numId="3">
    <w:abstractNumId w:val="24"/>
  </w:num>
  <w:num w:numId="4">
    <w:abstractNumId w:val="22"/>
  </w:num>
  <w:num w:numId="5">
    <w:abstractNumId w:val="26"/>
  </w:num>
  <w:num w:numId="6">
    <w:abstractNumId w:val="29"/>
  </w:num>
  <w:num w:numId="7">
    <w:abstractNumId w:val="8"/>
  </w:num>
  <w:num w:numId="8">
    <w:abstractNumId w:val="15"/>
  </w:num>
  <w:num w:numId="9">
    <w:abstractNumId w:val="7"/>
  </w:num>
  <w:num w:numId="10">
    <w:abstractNumId w:val="3"/>
  </w:num>
  <w:num w:numId="11">
    <w:abstractNumId w:val="9"/>
  </w:num>
  <w:num w:numId="12">
    <w:abstractNumId w:val="17"/>
  </w:num>
  <w:num w:numId="13">
    <w:abstractNumId w:val="18"/>
  </w:num>
  <w:num w:numId="14">
    <w:abstractNumId w:val="33"/>
  </w:num>
  <w:num w:numId="15">
    <w:abstractNumId w:val="13"/>
  </w:num>
  <w:num w:numId="16">
    <w:abstractNumId w:val="32"/>
  </w:num>
  <w:num w:numId="17">
    <w:abstractNumId w:val="10"/>
  </w:num>
  <w:num w:numId="18">
    <w:abstractNumId w:val="2"/>
  </w:num>
  <w:num w:numId="19">
    <w:abstractNumId w:val="21"/>
  </w:num>
  <w:num w:numId="20">
    <w:abstractNumId w:val="14"/>
  </w:num>
  <w:num w:numId="21">
    <w:abstractNumId w:val="25"/>
  </w:num>
  <w:num w:numId="22">
    <w:abstractNumId w:val="5"/>
  </w:num>
  <w:num w:numId="23">
    <w:abstractNumId w:val="23"/>
  </w:num>
  <w:num w:numId="24">
    <w:abstractNumId w:val="28"/>
  </w:num>
  <w:num w:numId="25">
    <w:abstractNumId w:val="34"/>
  </w:num>
  <w:num w:numId="26">
    <w:abstractNumId w:val="6"/>
  </w:num>
  <w:num w:numId="27">
    <w:abstractNumId w:val="27"/>
  </w:num>
  <w:num w:numId="28">
    <w:abstractNumId w:val="30"/>
  </w:num>
  <w:num w:numId="29">
    <w:abstractNumId w:val="19"/>
  </w:num>
  <w:num w:numId="30">
    <w:abstractNumId w:val="4"/>
  </w:num>
  <w:num w:numId="31">
    <w:abstractNumId w:val="11"/>
  </w:num>
  <w:num w:numId="32">
    <w:abstractNumId w:val="16"/>
  </w:num>
  <w:num w:numId="33">
    <w:abstractNumId w:val="1"/>
  </w:num>
  <w:num w:numId="34">
    <w:abstractNumId w:val="12"/>
  </w:num>
  <w:num w:numId="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6A"/>
    <w:rsid w:val="000016D8"/>
    <w:rsid w:val="00001EBC"/>
    <w:rsid w:val="000039DC"/>
    <w:rsid w:val="00004143"/>
    <w:rsid w:val="000077C0"/>
    <w:rsid w:val="00007CC7"/>
    <w:rsid w:val="000111EE"/>
    <w:rsid w:val="000117C0"/>
    <w:rsid w:val="00011988"/>
    <w:rsid w:val="000137AC"/>
    <w:rsid w:val="00013BEF"/>
    <w:rsid w:val="00016434"/>
    <w:rsid w:val="000167E2"/>
    <w:rsid w:val="00016CDB"/>
    <w:rsid w:val="00017AE4"/>
    <w:rsid w:val="00021954"/>
    <w:rsid w:val="00022692"/>
    <w:rsid w:val="0002346A"/>
    <w:rsid w:val="00023FEB"/>
    <w:rsid w:val="0002411C"/>
    <w:rsid w:val="00026859"/>
    <w:rsid w:val="00027B3F"/>
    <w:rsid w:val="00030423"/>
    <w:rsid w:val="00031DA0"/>
    <w:rsid w:val="000321AF"/>
    <w:rsid w:val="00032C2C"/>
    <w:rsid w:val="00034278"/>
    <w:rsid w:val="000355A7"/>
    <w:rsid w:val="000417BA"/>
    <w:rsid w:val="0004359A"/>
    <w:rsid w:val="00043719"/>
    <w:rsid w:val="000439B7"/>
    <w:rsid w:val="00044263"/>
    <w:rsid w:val="0004582C"/>
    <w:rsid w:val="000462E5"/>
    <w:rsid w:val="000468A5"/>
    <w:rsid w:val="000475ED"/>
    <w:rsid w:val="00050E40"/>
    <w:rsid w:val="00051576"/>
    <w:rsid w:val="000520E3"/>
    <w:rsid w:val="00053CC2"/>
    <w:rsid w:val="000554F6"/>
    <w:rsid w:val="0005559F"/>
    <w:rsid w:val="00056632"/>
    <w:rsid w:val="000577EA"/>
    <w:rsid w:val="00057F90"/>
    <w:rsid w:val="000612B8"/>
    <w:rsid w:val="00064B54"/>
    <w:rsid w:val="00066528"/>
    <w:rsid w:val="00066EE9"/>
    <w:rsid w:val="0007206D"/>
    <w:rsid w:val="00072296"/>
    <w:rsid w:val="0007267D"/>
    <w:rsid w:val="000764E7"/>
    <w:rsid w:val="000767FF"/>
    <w:rsid w:val="000768FC"/>
    <w:rsid w:val="00076AEA"/>
    <w:rsid w:val="00081134"/>
    <w:rsid w:val="0008176E"/>
    <w:rsid w:val="00081C96"/>
    <w:rsid w:val="000840B3"/>
    <w:rsid w:val="000859FF"/>
    <w:rsid w:val="00087AEF"/>
    <w:rsid w:val="00090686"/>
    <w:rsid w:val="00091819"/>
    <w:rsid w:val="000945FD"/>
    <w:rsid w:val="0009521D"/>
    <w:rsid w:val="000966BD"/>
    <w:rsid w:val="0009706C"/>
    <w:rsid w:val="000A1911"/>
    <w:rsid w:val="000A280B"/>
    <w:rsid w:val="000A3392"/>
    <w:rsid w:val="000A3C75"/>
    <w:rsid w:val="000A7630"/>
    <w:rsid w:val="000A7C7C"/>
    <w:rsid w:val="000B0B3E"/>
    <w:rsid w:val="000B20AE"/>
    <w:rsid w:val="000B2F27"/>
    <w:rsid w:val="000B3BCA"/>
    <w:rsid w:val="000B3D0C"/>
    <w:rsid w:val="000B5018"/>
    <w:rsid w:val="000B5F8D"/>
    <w:rsid w:val="000B7348"/>
    <w:rsid w:val="000C060E"/>
    <w:rsid w:val="000C1C3A"/>
    <w:rsid w:val="000C1C8E"/>
    <w:rsid w:val="000C5198"/>
    <w:rsid w:val="000C5264"/>
    <w:rsid w:val="000C64D5"/>
    <w:rsid w:val="000D0552"/>
    <w:rsid w:val="000D1F70"/>
    <w:rsid w:val="000D45D5"/>
    <w:rsid w:val="000D4CEE"/>
    <w:rsid w:val="000D6195"/>
    <w:rsid w:val="000D687D"/>
    <w:rsid w:val="000D7B88"/>
    <w:rsid w:val="000D7E4B"/>
    <w:rsid w:val="000E0766"/>
    <w:rsid w:val="000E0E65"/>
    <w:rsid w:val="000E132E"/>
    <w:rsid w:val="000E51AE"/>
    <w:rsid w:val="000E7083"/>
    <w:rsid w:val="000E70C7"/>
    <w:rsid w:val="000E7952"/>
    <w:rsid w:val="000E7C88"/>
    <w:rsid w:val="000F01C1"/>
    <w:rsid w:val="000F0ABB"/>
    <w:rsid w:val="000F2909"/>
    <w:rsid w:val="000F4773"/>
    <w:rsid w:val="000F4A3B"/>
    <w:rsid w:val="000F78B9"/>
    <w:rsid w:val="000F7987"/>
    <w:rsid w:val="001004D4"/>
    <w:rsid w:val="00100987"/>
    <w:rsid w:val="0010112D"/>
    <w:rsid w:val="001016A5"/>
    <w:rsid w:val="00106A4E"/>
    <w:rsid w:val="00107C07"/>
    <w:rsid w:val="00110553"/>
    <w:rsid w:val="0011517B"/>
    <w:rsid w:val="00115DF5"/>
    <w:rsid w:val="001161F3"/>
    <w:rsid w:val="00117095"/>
    <w:rsid w:val="0011717D"/>
    <w:rsid w:val="00120857"/>
    <w:rsid w:val="00121746"/>
    <w:rsid w:val="001228B1"/>
    <w:rsid w:val="001229CC"/>
    <w:rsid w:val="001233CF"/>
    <w:rsid w:val="001249BD"/>
    <w:rsid w:val="00124AC5"/>
    <w:rsid w:val="00125F19"/>
    <w:rsid w:val="00126D6D"/>
    <w:rsid w:val="001277DC"/>
    <w:rsid w:val="0013250C"/>
    <w:rsid w:val="00132638"/>
    <w:rsid w:val="001330F6"/>
    <w:rsid w:val="00133CA5"/>
    <w:rsid w:val="00134385"/>
    <w:rsid w:val="00137FCF"/>
    <w:rsid w:val="00141E6F"/>
    <w:rsid w:val="00141F64"/>
    <w:rsid w:val="0014270C"/>
    <w:rsid w:val="00143639"/>
    <w:rsid w:val="001437D6"/>
    <w:rsid w:val="00145569"/>
    <w:rsid w:val="00145BA6"/>
    <w:rsid w:val="00146BF3"/>
    <w:rsid w:val="00146FA4"/>
    <w:rsid w:val="001473FA"/>
    <w:rsid w:val="00150C95"/>
    <w:rsid w:val="00151454"/>
    <w:rsid w:val="001553CD"/>
    <w:rsid w:val="001605C5"/>
    <w:rsid w:val="0016093D"/>
    <w:rsid w:val="0016146D"/>
    <w:rsid w:val="00161E0A"/>
    <w:rsid w:val="00162C86"/>
    <w:rsid w:val="00162E35"/>
    <w:rsid w:val="001631F5"/>
    <w:rsid w:val="0016394A"/>
    <w:rsid w:val="00163AF5"/>
    <w:rsid w:val="00165F35"/>
    <w:rsid w:val="00166440"/>
    <w:rsid w:val="00167B6C"/>
    <w:rsid w:val="00170FB8"/>
    <w:rsid w:val="00171D41"/>
    <w:rsid w:val="00174FC6"/>
    <w:rsid w:val="00175E41"/>
    <w:rsid w:val="0018199B"/>
    <w:rsid w:val="00185AFB"/>
    <w:rsid w:val="00185DF6"/>
    <w:rsid w:val="0018715E"/>
    <w:rsid w:val="001938BD"/>
    <w:rsid w:val="00195E3F"/>
    <w:rsid w:val="00196CAE"/>
    <w:rsid w:val="00196EE9"/>
    <w:rsid w:val="001973CA"/>
    <w:rsid w:val="001A301D"/>
    <w:rsid w:val="001A33A3"/>
    <w:rsid w:val="001A492F"/>
    <w:rsid w:val="001A6716"/>
    <w:rsid w:val="001A675B"/>
    <w:rsid w:val="001A6DB0"/>
    <w:rsid w:val="001B344D"/>
    <w:rsid w:val="001B39D5"/>
    <w:rsid w:val="001B4335"/>
    <w:rsid w:val="001B4F1E"/>
    <w:rsid w:val="001B5536"/>
    <w:rsid w:val="001B5A43"/>
    <w:rsid w:val="001B67A2"/>
    <w:rsid w:val="001B6B6B"/>
    <w:rsid w:val="001B6FC6"/>
    <w:rsid w:val="001C0F57"/>
    <w:rsid w:val="001C147F"/>
    <w:rsid w:val="001C1624"/>
    <w:rsid w:val="001C2AD8"/>
    <w:rsid w:val="001C342D"/>
    <w:rsid w:val="001C4668"/>
    <w:rsid w:val="001D0402"/>
    <w:rsid w:val="001D454E"/>
    <w:rsid w:val="001D543D"/>
    <w:rsid w:val="001D5C31"/>
    <w:rsid w:val="001D6ADB"/>
    <w:rsid w:val="001E16D2"/>
    <w:rsid w:val="001E182F"/>
    <w:rsid w:val="001E1B73"/>
    <w:rsid w:val="001E4256"/>
    <w:rsid w:val="001E518E"/>
    <w:rsid w:val="001E5AC5"/>
    <w:rsid w:val="001E69BD"/>
    <w:rsid w:val="001F060D"/>
    <w:rsid w:val="001F14CA"/>
    <w:rsid w:val="001F4515"/>
    <w:rsid w:val="001F69D1"/>
    <w:rsid w:val="001F7136"/>
    <w:rsid w:val="00200BF9"/>
    <w:rsid w:val="00201661"/>
    <w:rsid w:val="00201ABA"/>
    <w:rsid w:val="00201B7C"/>
    <w:rsid w:val="00202263"/>
    <w:rsid w:val="002032AF"/>
    <w:rsid w:val="0020508D"/>
    <w:rsid w:val="002064D7"/>
    <w:rsid w:val="002100CE"/>
    <w:rsid w:val="00211009"/>
    <w:rsid w:val="0021220C"/>
    <w:rsid w:val="0021290A"/>
    <w:rsid w:val="002178C4"/>
    <w:rsid w:val="00217BDF"/>
    <w:rsid w:val="0022034F"/>
    <w:rsid w:val="002230B9"/>
    <w:rsid w:val="002232A4"/>
    <w:rsid w:val="002246F3"/>
    <w:rsid w:val="00224761"/>
    <w:rsid w:val="00225ADC"/>
    <w:rsid w:val="00227D5C"/>
    <w:rsid w:val="002301FF"/>
    <w:rsid w:val="00233688"/>
    <w:rsid w:val="0023375B"/>
    <w:rsid w:val="00233B39"/>
    <w:rsid w:val="00235DD4"/>
    <w:rsid w:val="00241A28"/>
    <w:rsid w:val="0024265E"/>
    <w:rsid w:val="00245DB3"/>
    <w:rsid w:val="0024680C"/>
    <w:rsid w:val="00250702"/>
    <w:rsid w:val="00250777"/>
    <w:rsid w:val="0025533E"/>
    <w:rsid w:val="00255812"/>
    <w:rsid w:val="00255C76"/>
    <w:rsid w:val="0025605D"/>
    <w:rsid w:val="00260A2E"/>
    <w:rsid w:val="002628D6"/>
    <w:rsid w:val="00262979"/>
    <w:rsid w:val="00262D0D"/>
    <w:rsid w:val="00264A17"/>
    <w:rsid w:val="00266557"/>
    <w:rsid w:val="0026751D"/>
    <w:rsid w:val="00267CAE"/>
    <w:rsid w:val="00270517"/>
    <w:rsid w:val="00271A92"/>
    <w:rsid w:val="002721EC"/>
    <w:rsid w:val="00272491"/>
    <w:rsid w:val="0027255C"/>
    <w:rsid w:val="00273796"/>
    <w:rsid w:val="00275C22"/>
    <w:rsid w:val="002760E4"/>
    <w:rsid w:val="00276872"/>
    <w:rsid w:val="002809E8"/>
    <w:rsid w:val="00281E56"/>
    <w:rsid w:val="00282180"/>
    <w:rsid w:val="00282194"/>
    <w:rsid w:val="002823C7"/>
    <w:rsid w:val="00282582"/>
    <w:rsid w:val="00284B85"/>
    <w:rsid w:val="0029299B"/>
    <w:rsid w:val="00294858"/>
    <w:rsid w:val="00294ACC"/>
    <w:rsid w:val="00295325"/>
    <w:rsid w:val="00295D7C"/>
    <w:rsid w:val="002969CF"/>
    <w:rsid w:val="00297A27"/>
    <w:rsid w:val="002A019E"/>
    <w:rsid w:val="002A0876"/>
    <w:rsid w:val="002A2B85"/>
    <w:rsid w:val="002A38DF"/>
    <w:rsid w:val="002A3CEA"/>
    <w:rsid w:val="002A468F"/>
    <w:rsid w:val="002A730E"/>
    <w:rsid w:val="002A7D9B"/>
    <w:rsid w:val="002A7EBF"/>
    <w:rsid w:val="002B0CEA"/>
    <w:rsid w:val="002B1F0B"/>
    <w:rsid w:val="002B3175"/>
    <w:rsid w:val="002B31D5"/>
    <w:rsid w:val="002B35EE"/>
    <w:rsid w:val="002B4A54"/>
    <w:rsid w:val="002B4FCE"/>
    <w:rsid w:val="002B6D7F"/>
    <w:rsid w:val="002C0079"/>
    <w:rsid w:val="002C0D15"/>
    <w:rsid w:val="002C1C12"/>
    <w:rsid w:val="002C3D02"/>
    <w:rsid w:val="002C3E43"/>
    <w:rsid w:val="002C46E4"/>
    <w:rsid w:val="002C6B25"/>
    <w:rsid w:val="002C79AB"/>
    <w:rsid w:val="002D3B1E"/>
    <w:rsid w:val="002D5DE3"/>
    <w:rsid w:val="002D609E"/>
    <w:rsid w:val="002D6792"/>
    <w:rsid w:val="002D71A0"/>
    <w:rsid w:val="002E09FF"/>
    <w:rsid w:val="002E0CD2"/>
    <w:rsid w:val="002E46D9"/>
    <w:rsid w:val="002E5403"/>
    <w:rsid w:val="002E55DB"/>
    <w:rsid w:val="002E56EE"/>
    <w:rsid w:val="002E6FB8"/>
    <w:rsid w:val="002F1A53"/>
    <w:rsid w:val="002F45C9"/>
    <w:rsid w:val="002F545F"/>
    <w:rsid w:val="002F72EB"/>
    <w:rsid w:val="002F79E6"/>
    <w:rsid w:val="00300D51"/>
    <w:rsid w:val="003012BE"/>
    <w:rsid w:val="003018EA"/>
    <w:rsid w:val="00302D84"/>
    <w:rsid w:val="003070B5"/>
    <w:rsid w:val="003113A5"/>
    <w:rsid w:val="00311BE3"/>
    <w:rsid w:val="00313744"/>
    <w:rsid w:val="00313A62"/>
    <w:rsid w:val="00314883"/>
    <w:rsid w:val="00314D45"/>
    <w:rsid w:val="00317383"/>
    <w:rsid w:val="00317DD9"/>
    <w:rsid w:val="00323823"/>
    <w:rsid w:val="00324ABF"/>
    <w:rsid w:val="00326DA5"/>
    <w:rsid w:val="00330051"/>
    <w:rsid w:val="003311B2"/>
    <w:rsid w:val="003326B6"/>
    <w:rsid w:val="00333A49"/>
    <w:rsid w:val="00333E1A"/>
    <w:rsid w:val="003341BD"/>
    <w:rsid w:val="0033513B"/>
    <w:rsid w:val="0033613A"/>
    <w:rsid w:val="00336145"/>
    <w:rsid w:val="00340D6D"/>
    <w:rsid w:val="00342556"/>
    <w:rsid w:val="00342E22"/>
    <w:rsid w:val="003439FF"/>
    <w:rsid w:val="00344385"/>
    <w:rsid w:val="00345A92"/>
    <w:rsid w:val="003466EA"/>
    <w:rsid w:val="00346C9B"/>
    <w:rsid w:val="003511F5"/>
    <w:rsid w:val="003516DE"/>
    <w:rsid w:val="003527E9"/>
    <w:rsid w:val="00352978"/>
    <w:rsid w:val="0036088C"/>
    <w:rsid w:val="00361AF5"/>
    <w:rsid w:val="00362086"/>
    <w:rsid w:val="00362430"/>
    <w:rsid w:val="00363A3F"/>
    <w:rsid w:val="00364126"/>
    <w:rsid w:val="00364587"/>
    <w:rsid w:val="003645B9"/>
    <w:rsid w:val="00365F20"/>
    <w:rsid w:val="00370756"/>
    <w:rsid w:val="00370ED4"/>
    <w:rsid w:val="003714A9"/>
    <w:rsid w:val="003715BA"/>
    <w:rsid w:val="00372BB6"/>
    <w:rsid w:val="0037362E"/>
    <w:rsid w:val="00373BA7"/>
    <w:rsid w:val="00374F47"/>
    <w:rsid w:val="003775F7"/>
    <w:rsid w:val="00377A68"/>
    <w:rsid w:val="00377EDB"/>
    <w:rsid w:val="0038254B"/>
    <w:rsid w:val="00382E02"/>
    <w:rsid w:val="00383DC6"/>
    <w:rsid w:val="00385F17"/>
    <w:rsid w:val="00386D3A"/>
    <w:rsid w:val="00396920"/>
    <w:rsid w:val="003A01BD"/>
    <w:rsid w:val="003A6C8D"/>
    <w:rsid w:val="003B2648"/>
    <w:rsid w:val="003B27AD"/>
    <w:rsid w:val="003B2F60"/>
    <w:rsid w:val="003B4BDA"/>
    <w:rsid w:val="003B5ADC"/>
    <w:rsid w:val="003B6080"/>
    <w:rsid w:val="003B614F"/>
    <w:rsid w:val="003B6CCE"/>
    <w:rsid w:val="003B7129"/>
    <w:rsid w:val="003B7418"/>
    <w:rsid w:val="003C38AA"/>
    <w:rsid w:val="003C4403"/>
    <w:rsid w:val="003C6E75"/>
    <w:rsid w:val="003C73D2"/>
    <w:rsid w:val="003C7885"/>
    <w:rsid w:val="003D29EC"/>
    <w:rsid w:val="003D4D84"/>
    <w:rsid w:val="003D5FE8"/>
    <w:rsid w:val="003D6E1A"/>
    <w:rsid w:val="003E08E0"/>
    <w:rsid w:val="003E1F15"/>
    <w:rsid w:val="003E47A0"/>
    <w:rsid w:val="003F1131"/>
    <w:rsid w:val="003F1670"/>
    <w:rsid w:val="003F27CC"/>
    <w:rsid w:val="003F3F63"/>
    <w:rsid w:val="003F4213"/>
    <w:rsid w:val="003F78D3"/>
    <w:rsid w:val="00400673"/>
    <w:rsid w:val="004006A0"/>
    <w:rsid w:val="00401F7A"/>
    <w:rsid w:val="0040322F"/>
    <w:rsid w:val="004045E8"/>
    <w:rsid w:val="0040599D"/>
    <w:rsid w:val="00405A90"/>
    <w:rsid w:val="00405D26"/>
    <w:rsid w:val="004069E0"/>
    <w:rsid w:val="00406CEE"/>
    <w:rsid w:val="00407CB2"/>
    <w:rsid w:val="00410CEF"/>
    <w:rsid w:val="004132A4"/>
    <w:rsid w:val="00414DE8"/>
    <w:rsid w:val="00414E2F"/>
    <w:rsid w:val="00415036"/>
    <w:rsid w:val="004157BC"/>
    <w:rsid w:val="0041628B"/>
    <w:rsid w:val="00417AD3"/>
    <w:rsid w:val="00417C4A"/>
    <w:rsid w:val="00417E36"/>
    <w:rsid w:val="00417F87"/>
    <w:rsid w:val="00420BF1"/>
    <w:rsid w:val="00421ADB"/>
    <w:rsid w:val="00422D19"/>
    <w:rsid w:val="00430475"/>
    <w:rsid w:val="00431495"/>
    <w:rsid w:val="00431527"/>
    <w:rsid w:val="00433457"/>
    <w:rsid w:val="00433B25"/>
    <w:rsid w:val="004345B6"/>
    <w:rsid w:val="004363BC"/>
    <w:rsid w:val="0043796C"/>
    <w:rsid w:val="00440A63"/>
    <w:rsid w:val="00441842"/>
    <w:rsid w:val="00442021"/>
    <w:rsid w:val="004422A7"/>
    <w:rsid w:val="00442559"/>
    <w:rsid w:val="00442ED9"/>
    <w:rsid w:val="004442F4"/>
    <w:rsid w:val="0044746F"/>
    <w:rsid w:val="00450ABF"/>
    <w:rsid w:val="00452334"/>
    <w:rsid w:val="0045246A"/>
    <w:rsid w:val="00455BA2"/>
    <w:rsid w:val="004564C8"/>
    <w:rsid w:val="004568BB"/>
    <w:rsid w:val="0046047A"/>
    <w:rsid w:val="00460AD6"/>
    <w:rsid w:val="00460BCD"/>
    <w:rsid w:val="004611E6"/>
    <w:rsid w:val="004651CF"/>
    <w:rsid w:val="00466042"/>
    <w:rsid w:val="00470B64"/>
    <w:rsid w:val="00470BD9"/>
    <w:rsid w:val="00473991"/>
    <w:rsid w:val="004752A7"/>
    <w:rsid w:val="00476169"/>
    <w:rsid w:val="00480826"/>
    <w:rsid w:val="004836F1"/>
    <w:rsid w:val="004837B2"/>
    <w:rsid w:val="00487350"/>
    <w:rsid w:val="00487889"/>
    <w:rsid w:val="0049151E"/>
    <w:rsid w:val="00492282"/>
    <w:rsid w:val="004922A8"/>
    <w:rsid w:val="004924B9"/>
    <w:rsid w:val="0049389A"/>
    <w:rsid w:val="00494F69"/>
    <w:rsid w:val="00496D86"/>
    <w:rsid w:val="004A0A81"/>
    <w:rsid w:val="004A2253"/>
    <w:rsid w:val="004A2393"/>
    <w:rsid w:val="004A3A9D"/>
    <w:rsid w:val="004A3AAB"/>
    <w:rsid w:val="004A675A"/>
    <w:rsid w:val="004A68D4"/>
    <w:rsid w:val="004A6C48"/>
    <w:rsid w:val="004B036B"/>
    <w:rsid w:val="004B0371"/>
    <w:rsid w:val="004B2F13"/>
    <w:rsid w:val="004B3449"/>
    <w:rsid w:val="004B3A52"/>
    <w:rsid w:val="004B4005"/>
    <w:rsid w:val="004B4502"/>
    <w:rsid w:val="004B4C34"/>
    <w:rsid w:val="004B5579"/>
    <w:rsid w:val="004B73FA"/>
    <w:rsid w:val="004B7898"/>
    <w:rsid w:val="004B7A56"/>
    <w:rsid w:val="004C057B"/>
    <w:rsid w:val="004C1238"/>
    <w:rsid w:val="004C14BB"/>
    <w:rsid w:val="004C1C9B"/>
    <w:rsid w:val="004C200F"/>
    <w:rsid w:val="004C7E6B"/>
    <w:rsid w:val="004C7F35"/>
    <w:rsid w:val="004D04AE"/>
    <w:rsid w:val="004D4602"/>
    <w:rsid w:val="004D4641"/>
    <w:rsid w:val="004D4F24"/>
    <w:rsid w:val="004D57D6"/>
    <w:rsid w:val="004D5B0F"/>
    <w:rsid w:val="004D7242"/>
    <w:rsid w:val="004D7690"/>
    <w:rsid w:val="004E1763"/>
    <w:rsid w:val="004E19FD"/>
    <w:rsid w:val="004E1D86"/>
    <w:rsid w:val="004E4B01"/>
    <w:rsid w:val="004E4B97"/>
    <w:rsid w:val="004E4C25"/>
    <w:rsid w:val="004E4C96"/>
    <w:rsid w:val="004E6F2B"/>
    <w:rsid w:val="004E7D4C"/>
    <w:rsid w:val="004F0708"/>
    <w:rsid w:val="004F15F0"/>
    <w:rsid w:val="004F277B"/>
    <w:rsid w:val="004F5A34"/>
    <w:rsid w:val="004F6C24"/>
    <w:rsid w:val="00501334"/>
    <w:rsid w:val="005024BF"/>
    <w:rsid w:val="00503916"/>
    <w:rsid w:val="0050442A"/>
    <w:rsid w:val="005049DC"/>
    <w:rsid w:val="00507214"/>
    <w:rsid w:val="005072C1"/>
    <w:rsid w:val="0050731C"/>
    <w:rsid w:val="005152DE"/>
    <w:rsid w:val="00515A6E"/>
    <w:rsid w:val="00515DA3"/>
    <w:rsid w:val="00516E6C"/>
    <w:rsid w:val="0051712E"/>
    <w:rsid w:val="00517484"/>
    <w:rsid w:val="00517CD8"/>
    <w:rsid w:val="0052100E"/>
    <w:rsid w:val="005230BC"/>
    <w:rsid w:val="00524B73"/>
    <w:rsid w:val="00524CE7"/>
    <w:rsid w:val="00524DB8"/>
    <w:rsid w:val="0052509C"/>
    <w:rsid w:val="005250DF"/>
    <w:rsid w:val="00525F90"/>
    <w:rsid w:val="00527C7F"/>
    <w:rsid w:val="00531513"/>
    <w:rsid w:val="00534321"/>
    <w:rsid w:val="00534A5F"/>
    <w:rsid w:val="00535945"/>
    <w:rsid w:val="0053637E"/>
    <w:rsid w:val="00536A7C"/>
    <w:rsid w:val="00536DFE"/>
    <w:rsid w:val="00537E34"/>
    <w:rsid w:val="005408B9"/>
    <w:rsid w:val="005413AD"/>
    <w:rsid w:val="00541C04"/>
    <w:rsid w:val="00541EA7"/>
    <w:rsid w:val="005454E4"/>
    <w:rsid w:val="00546840"/>
    <w:rsid w:val="0055344D"/>
    <w:rsid w:val="005540BD"/>
    <w:rsid w:val="005540FC"/>
    <w:rsid w:val="00555379"/>
    <w:rsid w:val="00555A38"/>
    <w:rsid w:val="00555F98"/>
    <w:rsid w:val="005563BF"/>
    <w:rsid w:val="00557461"/>
    <w:rsid w:val="00562358"/>
    <w:rsid w:val="005629A1"/>
    <w:rsid w:val="00562B69"/>
    <w:rsid w:val="00563823"/>
    <w:rsid w:val="00563E3D"/>
    <w:rsid w:val="00563F3F"/>
    <w:rsid w:val="005650EE"/>
    <w:rsid w:val="00565C6B"/>
    <w:rsid w:val="00566B48"/>
    <w:rsid w:val="00570822"/>
    <w:rsid w:val="005718F9"/>
    <w:rsid w:val="0057462F"/>
    <w:rsid w:val="00574AB9"/>
    <w:rsid w:val="005804A3"/>
    <w:rsid w:val="00582C78"/>
    <w:rsid w:val="00583366"/>
    <w:rsid w:val="0058386F"/>
    <w:rsid w:val="00583EE8"/>
    <w:rsid w:val="005860D1"/>
    <w:rsid w:val="0058692B"/>
    <w:rsid w:val="00587094"/>
    <w:rsid w:val="00590C6E"/>
    <w:rsid w:val="00591862"/>
    <w:rsid w:val="00591991"/>
    <w:rsid w:val="0059406E"/>
    <w:rsid w:val="00595942"/>
    <w:rsid w:val="005964B9"/>
    <w:rsid w:val="00597FC4"/>
    <w:rsid w:val="005A1421"/>
    <w:rsid w:val="005A20B1"/>
    <w:rsid w:val="005A7F68"/>
    <w:rsid w:val="005B0031"/>
    <w:rsid w:val="005B03A4"/>
    <w:rsid w:val="005B0492"/>
    <w:rsid w:val="005B13F9"/>
    <w:rsid w:val="005B156E"/>
    <w:rsid w:val="005B15D9"/>
    <w:rsid w:val="005B21B4"/>
    <w:rsid w:val="005B40EE"/>
    <w:rsid w:val="005B4ABA"/>
    <w:rsid w:val="005B5218"/>
    <w:rsid w:val="005B7980"/>
    <w:rsid w:val="005C1775"/>
    <w:rsid w:val="005C19B6"/>
    <w:rsid w:val="005C2479"/>
    <w:rsid w:val="005C2DBE"/>
    <w:rsid w:val="005C56B9"/>
    <w:rsid w:val="005C633B"/>
    <w:rsid w:val="005C7C5E"/>
    <w:rsid w:val="005D05D8"/>
    <w:rsid w:val="005D1573"/>
    <w:rsid w:val="005D332C"/>
    <w:rsid w:val="005D3EF5"/>
    <w:rsid w:val="005D3FA4"/>
    <w:rsid w:val="005D5219"/>
    <w:rsid w:val="005D5A0C"/>
    <w:rsid w:val="005D5AEF"/>
    <w:rsid w:val="005E04B5"/>
    <w:rsid w:val="005E0558"/>
    <w:rsid w:val="005E2124"/>
    <w:rsid w:val="005E3051"/>
    <w:rsid w:val="005E3C39"/>
    <w:rsid w:val="005E6EE2"/>
    <w:rsid w:val="005E704E"/>
    <w:rsid w:val="005E7A5C"/>
    <w:rsid w:val="005F0AE0"/>
    <w:rsid w:val="005F0CD0"/>
    <w:rsid w:val="005F1475"/>
    <w:rsid w:val="005F235E"/>
    <w:rsid w:val="005F3181"/>
    <w:rsid w:val="005F3E06"/>
    <w:rsid w:val="006004D6"/>
    <w:rsid w:val="00600FB2"/>
    <w:rsid w:val="00602CF1"/>
    <w:rsid w:val="00605FED"/>
    <w:rsid w:val="0060663F"/>
    <w:rsid w:val="00606A93"/>
    <w:rsid w:val="0060722F"/>
    <w:rsid w:val="00607642"/>
    <w:rsid w:val="00610503"/>
    <w:rsid w:val="00610D84"/>
    <w:rsid w:val="00613754"/>
    <w:rsid w:val="006171F5"/>
    <w:rsid w:val="00617C10"/>
    <w:rsid w:val="006204EE"/>
    <w:rsid w:val="00620737"/>
    <w:rsid w:val="00624229"/>
    <w:rsid w:val="00624D8C"/>
    <w:rsid w:val="00626EA7"/>
    <w:rsid w:val="0062746F"/>
    <w:rsid w:val="00630D9C"/>
    <w:rsid w:val="006313C6"/>
    <w:rsid w:val="006325BE"/>
    <w:rsid w:val="00634160"/>
    <w:rsid w:val="00634EEE"/>
    <w:rsid w:val="00636284"/>
    <w:rsid w:val="0063654A"/>
    <w:rsid w:val="00636F23"/>
    <w:rsid w:val="00640C21"/>
    <w:rsid w:val="00642FFE"/>
    <w:rsid w:val="0064476C"/>
    <w:rsid w:val="00645207"/>
    <w:rsid w:val="00645301"/>
    <w:rsid w:val="006454F9"/>
    <w:rsid w:val="00646306"/>
    <w:rsid w:val="006515DD"/>
    <w:rsid w:val="0065179E"/>
    <w:rsid w:val="00652A40"/>
    <w:rsid w:val="006531E9"/>
    <w:rsid w:val="00654438"/>
    <w:rsid w:val="006544B6"/>
    <w:rsid w:val="006545BC"/>
    <w:rsid w:val="00654A31"/>
    <w:rsid w:val="0065686B"/>
    <w:rsid w:val="0065724E"/>
    <w:rsid w:val="0065749E"/>
    <w:rsid w:val="00657F7D"/>
    <w:rsid w:val="00661A10"/>
    <w:rsid w:val="00662FE1"/>
    <w:rsid w:val="00662FF7"/>
    <w:rsid w:val="0066486E"/>
    <w:rsid w:val="00664D15"/>
    <w:rsid w:val="006674D3"/>
    <w:rsid w:val="006705C2"/>
    <w:rsid w:val="00672632"/>
    <w:rsid w:val="0067310F"/>
    <w:rsid w:val="00673156"/>
    <w:rsid w:val="00673A3A"/>
    <w:rsid w:val="00673C8A"/>
    <w:rsid w:val="00675D8A"/>
    <w:rsid w:val="00676C7B"/>
    <w:rsid w:val="0067726C"/>
    <w:rsid w:val="00677F46"/>
    <w:rsid w:val="006805E5"/>
    <w:rsid w:val="006806EB"/>
    <w:rsid w:val="00684072"/>
    <w:rsid w:val="0068546C"/>
    <w:rsid w:val="0068632D"/>
    <w:rsid w:val="00686D5E"/>
    <w:rsid w:val="00687111"/>
    <w:rsid w:val="006872A3"/>
    <w:rsid w:val="00690FB3"/>
    <w:rsid w:val="00693C06"/>
    <w:rsid w:val="006943C0"/>
    <w:rsid w:val="00694F8E"/>
    <w:rsid w:val="006960E9"/>
    <w:rsid w:val="00696368"/>
    <w:rsid w:val="00696A44"/>
    <w:rsid w:val="00697767"/>
    <w:rsid w:val="00697CBF"/>
    <w:rsid w:val="006A096A"/>
    <w:rsid w:val="006A0C55"/>
    <w:rsid w:val="006A20AF"/>
    <w:rsid w:val="006A22A6"/>
    <w:rsid w:val="006A2736"/>
    <w:rsid w:val="006A50F0"/>
    <w:rsid w:val="006A5856"/>
    <w:rsid w:val="006A62FC"/>
    <w:rsid w:val="006A7E0D"/>
    <w:rsid w:val="006B067A"/>
    <w:rsid w:val="006B1095"/>
    <w:rsid w:val="006B3B07"/>
    <w:rsid w:val="006B421F"/>
    <w:rsid w:val="006B79AC"/>
    <w:rsid w:val="006B7E27"/>
    <w:rsid w:val="006B7FF8"/>
    <w:rsid w:val="006C036D"/>
    <w:rsid w:val="006C0596"/>
    <w:rsid w:val="006C07A1"/>
    <w:rsid w:val="006C0D6E"/>
    <w:rsid w:val="006C1201"/>
    <w:rsid w:val="006C1DDB"/>
    <w:rsid w:val="006C2444"/>
    <w:rsid w:val="006C2AD0"/>
    <w:rsid w:val="006C4870"/>
    <w:rsid w:val="006C4D3C"/>
    <w:rsid w:val="006C67B2"/>
    <w:rsid w:val="006C7142"/>
    <w:rsid w:val="006D0889"/>
    <w:rsid w:val="006D308D"/>
    <w:rsid w:val="006D34FC"/>
    <w:rsid w:val="006D5DCE"/>
    <w:rsid w:val="006E25CD"/>
    <w:rsid w:val="006E3034"/>
    <w:rsid w:val="006E407D"/>
    <w:rsid w:val="006E656E"/>
    <w:rsid w:val="006E7DBF"/>
    <w:rsid w:val="006F226C"/>
    <w:rsid w:val="006F2A2E"/>
    <w:rsid w:val="006F2DFC"/>
    <w:rsid w:val="006F33A1"/>
    <w:rsid w:val="006F3430"/>
    <w:rsid w:val="006F4E15"/>
    <w:rsid w:val="006F62D3"/>
    <w:rsid w:val="006F67C3"/>
    <w:rsid w:val="006F78FD"/>
    <w:rsid w:val="006F7AD3"/>
    <w:rsid w:val="00700A89"/>
    <w:rsid w:val="00704122"/>
    <w:rsid w:val="007054F2"/>
    <w:rsid w:val="007067A7"/>
    <w:rsid w:val="00706913"/>
    <w:rsid w:val="00706B83"/>
    <w:rsid w:val="007101DC"/>
    <w:rsid w:val="00710627"/>
    <w:rsid w:val="007106FD"/>
    <w:rsid w:val="0071138B"/>
    <w:rsid w:val="0071245B"/>
    <w:rsid w:val="00712B53"/>
    <w:rsid w:val="00712ED3"/>
    <w:rsid w:val="0072079D"/>
    <w:rsid w:val="007226C5"/>
    <w:rsid w:val="0072394E"/>
    <w:rsid w:val="00725DBF"/>
    <w:rsid w:val="00731A8D"/>
    <w:rsid w:val="00732CF0"/>
    <w:rsid w:val="007331BF"/>
    <w:rsid w:val="00736D76"/>
    <w:rsid w:val="007375B6"/>
    <w:rsid w:val="00740274"/>
    <w:rsid w:val="00740D21"/>
    <w:rsid w:val="007411D3"/>
    <w:rsid w:val="00743211"/>
    <w:rsid w:val="00744E15"/>
    <w:rsid w:val="007455BD"/>
    <w:rsid w:val="0074563F"/>
    <w:rsid w:val="00745948"/>
    <w:rsid w:val="007465E9"/>
    <w:rsid w:val="007466E1"/>
    <w:rsid w:val="00747589"/>
    <w:rsid w:val="007513BE"/>
    <w:rsid w:val="00752AAB"/>
    <w:rsid w:val="007542D8"/>
    <w:rsid w:val="007548A5"/>
    <w:rsid w:val="007555D6"/>
    <w:rsid w:val="00755AD8"/>
    <w:rsid w:val="00761215"/>
    <w:rsid w:val="00761F3E"/>
    <w:rsid w:val="00767773"/>
    <w:rsid w:val="00771200"/>
    <w:rsid w:val="0077148E"/>
    <w:rsid w:val="00771A2A"/>
    <w:rsid w:val="00771DB4"/>
    <w:rsid w:val="00771E45"/>
    <w:rsid w:val="0077209D"/>
    <w:rsid w:val="007725AA"/>
    <w:rsid w:val="00773F75"/>
    <w:rsid w:val="0077468E"/>
    <w:rsid w:val="00777063"/>
    <w:rsid w:val="007829AC"/>
    <w:rsid w:val="0078352B"/>
    <w:rsid w:val="00783726"/>
    <w:rsid w:val="007838EB"/>
    <w:rsid w:val="007839C9"/>
    <w:rsid w:val="00786132"/>
    <w:rsid w:val="00786295"/>
    <w:rsid w:val="00787245"/>
    <w:rsid w:val="00787D4C"/>
    <w:rsid w:val="007902AE"/>
    <w:rsid w:val="00793BC2"/>
    <w:rsid w:val="00794202"/>
    <w:rsid w:val="00795C1F"/>
    <w:rsid w:val="00797252"/>
    <w:rsid w:val="00797AE6"/>
    <w:rsid w:val="007A1640"/>
    <w:rsid w:val="007A2A34"/>
    <w:rsid w:val="007A2B44"/>
    <w:rsid w:val="007A4E09"/>
    <w:rsid w:val="007A5CE8"/>
    <w:rsid w:val="007A6317"/>
    <w:rsid w:val="007A6A6E"/>
    <w:rsid w:val="007B1799"/>
    <w:rsid w:val="007B50AD"/>
    <w:rsid w:val="007C12C9"/>
    <w:rsid w:val="007C3631"/>
    <w:rsid w:val="007C3B2D"/>
    <w:rsid w:val="007C4A3E"/>
    <w:rsid w:val="007C6787"/>
    <w:rsid w:val="007C6C2E"/>
    <w:rsid w:val="007C6D5E"/>
    <w:rsid w:val="007D2AF6"/>
    <w:rsid w:val="007D3A43"/>
    <w:rsid w:val="007D3DD9"/>
    <w:rsid w:val="007D47D0"/>
    <w:rsid w:val="007D5236"/>
    <w:rsid w:val="007E2789"/>
    <w:rsid w:val="007E3DDE"/>
    <w:rsid w:val="007E6EF0"/>
    <w:rsid w:val="007E78C3"/>
    <w:rsid w:val="007E7AB8"/>
    <w:rsid w:val="007E7DAD"/>
    <w:rsid w:val="007F0BBB"/>
    <w:rsid w:val="007F0F6A"/>
    <w:rsid w:val="007F1255"/>
    <w:rsid w:val="007F289B"/>
    <w:rsid w:val="007F38E8"/>
    <w:rsid w:val="007F4922"/>
    <w:rsid w:val="007F5465"/>
    <w:rsid w:val="007F54B3"/>
    <w:rsid w:val="007F5CB9"/>
    <w:rsid w:val="007F5E62"/>
    <w:rsid w:val="007F785D"/>
    <w:rsid w:val="008006E2"/>
    <w:rsid w:val="008014FF"/>
    <w:rsid w:val="00805285"/>
    <w:rsid w:val="0080576A"/>
    <w:rsid w:val="008057D9"/>
    <w:rsid w:val="00805800"/>
    <w:rsid w:val="00807778"/>
    <w:rsid w:val="00813469"/>
    <w:rsid w:val="00813A82"/>
    <w:rsid w:val="008143EA"/>
    <w:rsid w:val="00814E3D"/>
    <w:rsid w:val="00816487"/>
    <w:rsid w:val="00816578"/>
    <w:rsid w:val="00817327"/>
    <w:rsid w:val="00820D19"/>
    <w:rsid w:val="00821584"/>
    <w:rsid w:val="00821A82"/>
    <w:rsid w:val="00822C70"/>
    <w:rsid w:val="008255DE"/>
    <w:rsid w:val="00825E84"/>
    <w:rsid w:val="0083056C"/>
    <w:rsid w:val="00831D70"/>
    <w:rsid w:val="00832ADA"/>
    <w:rsid w:val="00834142"/>
    <w:rsid w:val="0083575F"/>
    <w:rsid w:val="00835D56"/>
    <w:rsid w:val="008368BB"/>
    <w:rsid w:val="0084118A"/>
    <w:rsid w:val="00841BA8"/>
    <w:rsid w:val="00843109"/>
    <w:rsid w:val="00844216"/>
    <w:rsid w:val="00844307"/>
    <w:rsid w:val="00844698"/>
    <w:rsid w:val="008448A6"/>
    <w:rsid w:val="00844E42"/>
    <w:rsid w:val="008468F2"/>
    <w:rsid w:val="0085045E"/>
    <w:rsid w:val="00850AEA"/>
    <w:rsid w:val="008515BB"/>
    <w:rsid w:val="00851F70"/>
    <w:rsid w:val="0085368C"/>
    <w:rsid w:val="00853716"/>
    <w:rsid w:val="00853BF4"/>
    <w:rsid w:val="00854664"/>
    <w:rsid w:val="00855ED4"/>
    <w:rsid w:val="008569DE"/>
    <w:rsid w:val="00856E3E"/>
    <w:rsid w:val="00857AF0"/>
    <w:rsid w:val="00861B56"/>
    <w:rsid w:val="00862692"/>
    <w:rsid w:val="00864D5E"/>
    <w:rsid w:val="00866793"/>
    <w:rsid w:val="00866817"/>
    <w:rsid w:val="00867785"/>
    <w:rsid w:val="00867FC2"/>
    <w:rsid w:val="008703D6"/>
    <w:rsid w:val="00871427"/>
    <w:rsid w:val="00871943"/>
    <w:rsid w:val="008721AE"/>
    <w:rsid w:val="0087288F"/>
    <w:rsid w:val="00873E37"/>
    <w:rsid w:val="0087453D"/>
    <w:rsid w:val="00877386"/>
    <w:rsid w:val="00882EB9"/>
    <w:rsid w:val="0088391A"/>
    <w:rsid w:val="00885460"/>
    <w:rsid w:val="00886594"/>
    <w:rsid w:val="00887740"/>
    <w:rsid w:val="00887BCF"/>
    <w:rsid w:val="00887CC1"/>
    <w:rsid w:val="0089017F"/>
    <w:rsid w:val="00890618"/>
    <w:rsid w:val="00890A5B"/>
    <w:rsid w:val="00891F93"/>
    <w:rsid w:val="00893CCB"/>
    <w:rsid w:val="00893D7B"/>
    <w:rsid w:val="00895B65"/>
    <w:rsid w:val="00896677"/>
    <w:rsid w:val="008A1AA2"/>
    <w:rsid w:val="008A32BB"/>
    <w:rsid w:val="008A428B"/>
    <w:rsid w:val="008A55FB"/>
    <w:rsid w:val="008A59C5"/>
    <w:rsid w:val="008B03CC"/>
    <w:rsid w:val="008B1A6D"/>
    <w:rsid w:val="008B230D"/>
    <w:rsid w:val="008B2336"/>
    <w:rsid w:val="008B35B8"/>
    <w:rsid w:val="008B42AB"/>
    <w:rsid w:val="008B42CF"/>
    <w:rsid w:val="008B5686"/>
    <w:rsid w:val="008B5716"/>
    <w:rsid w:val="008B6008"/>
    <w:rsid w:val="008C028A"/>
    <w:rsid w:val="008C7DDF"/>
    <w:rsid w:val="008D04E4"/>
    <w:rsid w:val="008D15DC"/>
    <w:rsid w:val="008D2506"/>
    <w:rsid w:val="008D57E7"/>
    <w:rsid w:val="008D5F74"/>
    <w:rsid w:val="008D6342"/>
    <w:rsid w:val="008E04FF"/>
    <w:rsid w:val="008E0D3D"/>
    <w:rsid w:val="008E1C5D"/>
    <w:rsid w:val="008E1F7F"/>
    <w:rsid w:val="008E2D1C"/>
    <w:rsid w:val="008E62BC"/>
    <w:rsid w:val="008E6A57"/>
    <w:rsid w:val="008E74DF"/>
    <w:rsid w:val="008E798C"/>
    <w:rsid w:val="008E7D1B"/>
    <w:rsid w:val="008F121D"/>
    <w:rsid w:val="008F181C"/>
    <w:rsid w:val="008F2915"/>
    <w:rsid w:val="008F5013"/>
    <w:rsid w:val="009007A1"/>
    <w:rsid w:val="00902F03"/>
    <w:rsid w:val="009038D9"/>
    <w:rsid w:val="00904A21"/>
    <w:rsid w:val="0090691C"/>
    <w:rsid w:val="009074FA"/>
    <w:rsid w:val="009102A2"/>
    <w:rsid w:val="00910403"/>
    <w:rsid w:val="00911CDE"/>
    <w:rsid w:val="009130ED"/>
    <w:rsid w:val="009135B9"/>
    <w:rsid w:val="00913A9D"/>
    <w:rsid w:val="00914C82"/>
    <w:rsid w:val="00915AC1"/>
    <w:rsid w:val="00915BED"/>
    <w:rsid w:val="00915BF3"/>
    <w:rsid w:val="009165E3"/>
    <w:rsid w:val="00923B11"/>
    <w:rsid w:val="00924217"/>
    <w:rsid w:val="009259F4"/>
    <w:rsid w:val="009267F3"/>
    <w:rsid w:val="00927339"/>
    <w:rsid w:val="00930970"/>
    <w:rsid w:val="00932599"/>
    <w:rsid w:val="009326DA"/>
    <w:rsid w:val="009329FC"/>
    <w:rsid w:val="0093372B"/>
    <w:rsid w:val="00933F1B"/>
    <w:rsid w:val="00934745"/>
    <w:rsid w:val="009355BA"/>
    <w:rsid w:val="00940583"/>
    <w:rsid w:val="00944587"/>
    <w:rsid w:val="009459EF"/>
    <w:rsid w:val="00945C9B"/>
    <w:rsid w:val="00946549"/>
    <w:rsid w:val="00950147"/>
    <w:rsid w:val="00950DAC"/>
    <w:rsid w:val="0095213C"/>
    <w:rsid w:val="009525C8"/>
    <w:rsid w:val="0096108F"/>
    <w:rsid w:val="00961B96"/>
    <w:rsid w:val="00962211"/>
    <w:rsid w:val="009639BE"/>
    <w:rsid w:val="00965F96"/>
    <w:rsid w:val="00966191"/>
    <w:rsid w:val="00966F34"/>
    <w:rsid w:val="00967174"/>
    <w:rsid w:val="00967A99"/>
    <w:rsid w:val="0097075E"/>
    <w:rsid w:val="009711D8"/>
    <w:rsid w:val="009730E7"/>
    <w:rsid w:val="009757BD"/>
    <w:rsid w:val="00975987"/>
    <w:rsid w:val="009819D3"/>
    <w:rsid w:val="00982FCD"/>
    <w:rsid w:val="009832D0"/>
    <w:rsid w:val="00983BDD"/>
    <w:rsid w:val="00984D03"/>
    <w:rsid w:val="00986A1E"/>
    <w:rsid w:val="0098792C"/>
    <w:rsid w:val="00990543"/>
    <w:rsid w:val="00991548"/>
    <w:rsid w:val="009961E3"/>
    <w:rsid w:val="009A040A"/>
    <w:rsid w:val="009A1F77"/>
    <w:rsid w:val="009A24C3"/>
    <w:rsid w:val="009A3E7A"/>
    <w:rsid w:val="009A460C"/>
    <w:rsid w:val="009A564B"/>
    <w:rsid w:val="009A62B7"/>
    <w:rsid w:val="009A72BD"/>
    <w:rsid w:val="009A7B4E"/>
    <w:rsid w:val="009B1969"/>
    <w:rsid w:val="009B1E50"/>
    <w:rsid w:val="009B367A"/>
    <w:rsid w:val="009C0BF2"/>
    <w:rsid w:val="009C3027"/>
    <w:rsid w:val="009C5F75"/>
    <w:rsid w:val="009C6BF9"/>
    <w:rsid w:val="009C7219"/>
    <w:rsid w:val="009D1D99"/>
    <w:rsid w:val="009D260F"/>
    <w:rsid w:val="009D416A"/>
    <w:rsid w:val="009D51EE"/>
    <w:rsid w:val="009E2526"/>
    <w:rsid w:val="009E4A83"/>
    <w:rsid w:val="009E4D52"/>
    <w:rsid w:val="009E53A2"/>
    <w:rsid w:val="009E6203"/>
    <w:rsid w:val="009F5B61"/>
    <w:rsid w:val="009F7690"/>
    <w:rsid w:val="00A04D42"/>
    <w:rsid w:val="00A05019"/>
    <w:rsid w:val="00A058EA"/>
    <w:rsid w:val="00A05986"/>
    <w:rsid w:val="00A06FE3"/>
    <w:rsid w:val="00A07DF8"/>
    <w:rsid w:val="00A11CCC"/>
    <w:rsid w:val="00A124A8"/>
    <w:rsid w:val="00A14C12"/>
    <w:rsid w:val="00A156DB"/>
    <w:rsid w:val="00A16D2F"/>
    <w:rsid w:val="00A1751A"/>
    <w:rsid w:val="00A20FD9"/>
    <w:rsid w:val="00A255A9"/>
    <w:rsid w:val="00A26EF8"/>
    <w:rsid w:val="00A3033C"/>
    <w:rsid w:val="00A30379"/>
    <w:rsid w:val="00A30654"/>
    <w:rsid w:val="00A31895"/>
    <w:rsid w:val="00A33972"/>
    <w:rsid w:val="00A350A8"/>
    <w:rsid w:val="00A36BA7"/>
    <w:rsid w:val="00A37AA3"/>
    <w:rsid w:val="00A41DEC"/>
    <w:rsid w:val="00A42789"/>
    <w:rsid w:val="00A448F1"/>
    <w:rsid w:val="00A44E55"/>
    <w:rsid w:val="00A46551"/>
    <w:rsid w:val="00A478C2"/>
    <w:rsid w:val="00A50626"/>
    <w:rsid w:val="00A51CD8"/>
    <w:rsid w:val="00A52097"/>
    <w:rsid w:val="00A53C89"/>
    <w:rsid w:val="00A54215"/>
    <w:rsid w:val="00A55251"/>
    <w:rsid w:val="00A559FE"/>
    <w:rsid w:val="00A56587"/>
    <w:rsid w:val="00A57385"/>
    <w:rsid w:val="00A57DCB"/>
    <w:rsid w:val="00A60C41"/>
    <w:rsid w:val="00A6210C"/>
    <w:rsid w:val="00A62BC9"/>
    <w:rsid w:val="00A6324D"/>
    <w:rsid w:val="00A6386E"/>
    <w:rsid w:val="00A647FE"/>
    <w:rsid w:val="00A65695"/>
    <w:rsid w:val="00A70405"/>
    <w:rsid w:val="00A728B8"/>
    <w:rsid w:val="00A7532E"/>
    <w:rsid w:val="00A80CA0"/>
    <w:rsid w:val="00A86A45"/>
    <w:rsid w:val="00A86DA0"/>
    <w:rsid w:val="00A9127A"/>
    <w:rsid w:val="00A91890"/>
    <w:rsid w:val="00A91BD9"/>
    <w:rsid w:val="00A91EA0"/>
    <w:rsid w:val="00A9452B"/>
    <w:rsid w:val="00A96880"/>
    <w:rsid w:val="00A9762C"/>
    <w:rsid w:val="00A97674"/>
    <w:rsid w:val="00AA0130"/>
    <w:rsid w:val="00AA0EDC"/>
    <w:rsid w:val="00AA21DA"/>
    <w:rsid w:val="00AA26D0"/>
    <w:rsid w:val="00AA4590"/>
    <w:rsid w:val="00AA5309"/>
    <w:rsid w:val="00AB09BA"/>
    <w:rsid w:val="00AB2535"/>
    <w:rsid w:val="00AB6B82"/>
    <w:rsid w:val="00AB75DE"/>
    <w:rsid w:val="00AC1831"/>
    <w:rsid w:val="00AC1C22"/>
    <w:rsid w:val="00AC2053"/>
    <w:rsid w:val="00AC2C5B"/>
    <w:rsid w:val="00AC3F5A"/>
    <w:rsid w:val="00AC420A"/>
    <w:rsid w:val="00AC54B5"/>
    <w:rsid w:val="00AD0BC5"/>
    <w:rsid w:val="00AD2DB4"/>
    <w:rsid w:val="00AD545F"/>
    <w:rsid w:val="00AD69ED"/>
    <w:rsid w:val="00AE19BC"/>
    <w:rsid w:val="00AE1D5A"/>
    <w:rsid w:val="00AE2E9B"/>
    <w:rsid w:val="00AE3CBD"/>
    <w:rsid w:val="00AE5843"/>
    <w:rsid w:val="00AE61EC"/>
    <w:rsid w:val="00AF1A21"/>
    <w:rsid w:val="00AF317C"/>
    <w:rsid w:val="00AF51B9"/>
    <w:rsid w:val="00AF709B"/>
    <w:rsid w:val="00AF7795"/>
    <w:rsid w:val="00B01299"/>
    <w:rsid w:val="00B01300"/>
    <w:rsid w:val="00B01A4B"/>
    <w:rsid w:val="00B024B2"/>
    <w:rsid w:val="00B027DD"/>
    <w:rsid w:val="00B04388"/>
    <w:rsid w:val="00B04E8E"/>
    <w:rsid w:val="00B078AB"/>
    <w:rsid w:val="00B07A53"/>
    <w:rsid w:val="00B1480C"/>
    <w:rsid w:val="00B14C0E"/>
    <w:rsid w:val="00B153E1"/>
    <w:rsid w:val="00B16834"/>
    <w:rsid w:val="00B20184"/>
    <w:rsid w:val="00B22591"/>
    <w:rsid w:val="00B22CEB"/>
    <w:rsid w:val="00B22D8B"/>
    <w:rsid w:val="00B24007"/>
    <w:rsid w:val="00B24BC2"/>
    <w:rsid w:val="00B25A33"/>
    <w:rsid w:val="00B26009"/>
    <w:rsid w:val="00B27F99"/>
    <w:rsid w:val="00B307E3"/>
    <w:rsid w:val="00B34337"/>
    <w:rsid w:val="00B34C30"/>
    <w:rsid w:val="00B355C5"/>
    <w:rsid w:val="00B36453"/>
    <w:rsid w:val="00B36B10"/>
    <w:rsid w:val="00B40EE5"/>
    <w:rsid w:val="00B41697"/>
    <w:rsid w:val="00B438EF"/>
    <w:rsid w:val="00B43ED1"/>
    <w:rsid w:val="00B44191"/>
    <w:rsid w:val="00B44EBE"/>
    <w:rsid w:val="00B46879"/>
    <w:rsid w:val="00B474C4"/>
    <w:rsid w:val="00B50EA3"/>
    <w:rsid w:val="00B52552"/>
    <w:rsid w:val="00B54ABB"/>
    <w:rsid w:val="00B54C7E"/>
    <w:rsid w:val="00B578A9"/>
    <w:rsid w:val="00B600DB"/>
    <w:rsid w:val="00B61596"/>
    <w:rsid w:val="00B62732"/>
    <w:rsid w:val="00B63127"/>
    <w:rsid w:val="00B67899"/>
    <w:rsid w:val="00B67B2E"/>
    <w:rsid w:val="00B70510"/>
    <w:rsid w:val="00B706EA"/>
    <w:rsid w:val="00B7169F"/>
    <w:rsid w:val="00B71FB5"/>
    <w:rsid w:val="00B736A6"/>
    <w:rsid w:val="00B7459F"/>
    <w:rsid w:val="00B75E10"/>
    <w:rsid w:val="00B80EDD"/>
    <w:rsid w:val="00B82F0A"/>
    <w:rsid w:val="00B8376D"/>
    <w:rsid w:val="00B83C4F"/>
    <w:rsid w:val="00B84633"/>
    <w:rsid w:val="00B851DD"/>
    <w:rsid w:val="00B86604"/>
    <w:rsid w:val="00B90CA9"/>
    <w:rsid w:val="00B91209"/>
    <w:rsid w:val="00B91424"/>
    <w:rsid w:val="00B92822"/>
    <w:rsid w:val="00B93B7D"/>
    <w:rsid w:val="00B95755"/>
    <w:rsid w:val="00B960E7"/>
    <w:rsid w:val="00B9655D"/>
    <w:rsid w:val="00B96DE5"/>
    <w:rsid w:val="00BA578E"/>
    <w:rsid w:val="00BA6082"/>
    <w:rsid w:val="00BA6087"/>
    <w:rsid w:val="00BA62C6"/>
    <w:rsid w:val="00BA6450"/>
    <w:rsid w:val="00BA645B"/>
    <w:rsid w:val="00BA6901"/>
    <w:rsid w:val="00BB0689"/>
    <w:rsid w:val="00BB18C7"/>
    <w:rsid w:val="00BB2644"/>
    <w:rsid w:val="00BB2C14"/>
    <w:rsid w:val="00BB2DBB"/>
    <w:rsid w:val="00BB3B85"/>
    <w:rsid w:val="00BB53C5"/>
    <w:rsid w:val="00BB7858"/>
    <w:rsid w:val="00BC19C4"/>
    <w:rsid w:val="00BC3DB2"/>
    <w:rsid w:val="00BC5DBA"/>
    <w:rsid w:val="00BD04AA"/>
    <w:rsid w:val="00BD08E9"/>
    <w:rsid w:val="00BD0E29"/>
    <w:rsid w:val="00BD0EF8"/>
    <w:rsid w:val="00BD1D4D"/>
    <w:rsid w:val="00BD1DFD"/>
    <w:rsid w:val="00BD35FC"/>
    <w:rsid w:val="00BD3C15"/>
    <w:rsid w:val="00BD41A2"/>
    <w:rsid w:val="00BD6BC4"/>
    <w:rsid w:val="00BE078E"/>
    <w:rsid w:val="00BE23DB"/>
    <w:rsid w:val="00BE30BA"/>
    <w:rsid w:val="00BE3103"/>
    <w:rsid w:val="00BE4FF9"/>
    <w:rsid w:val="00BE51F6"/>
    <w:rsid w:val="00BE54ED"/>
    <w:rsid w:val="00BE5B24"/>
    <w:rsid w:val="00BE61CF"/>
    <w:rsid w:val="00BE65A7"/>
    <w:rsid w:val="00BF0313"/>
    <w:rsid w:val="00BF0CCD"/>
    <w:rsid w:val="00BF3022"/>
    <w:rsid w:val="00BF33F1"/>
    <w:rsid w:val="00BF3B27"/>
    <w:rsid w:val="00BF40D0"/>
    <w:rsid w:val="00BF479D"/>
    <w:rsid w:val="00BF4C1B"/>
    <w:rsid w:val="00BF67F6"/>
    <w:rsid w:val="00BF74B3"/>
    <w:rsid w:val="00C022EB"/>
    <w:rsid w:val="00C0318F"/>
    <w:rsid w:val="00C045FF"/>
    <w:rsid w:val="00C04B9D"/>
    <w:rsid w:val="00C04CB3"/>
    <w:rsid w:val="00C04EEB"/>
    <w:rsid w:val="00C052DC"/>
    <w:rsid w:val="00C0574A"/>
    <w:rsid w:val="00C05CE6"/>
    <w:rsid w:val="00C07758"/>
    <w:rsid w:val="00C0778A"/>
    <w:rsid w:val="00C07875"/>
    <w:rsid w:val="00C115CC"/>
    <w:rsid w:val="00C11625"/>
    <w:rsid w:val="00C143D4"/>
    <w:rsid w:val="00C1542B"/>
    <w:rsid w:val="00C20637"/>
    <w:rsid w:val="00C20CA1"/>
    <w:rsid w:val="00C2262B"/>
    <w:rsid w:val="00C22C39"/>
    <w:rsid w:val="00C24E2F"/>
    <w:rsid w:val="00C256C0"/>
    <w:rsid w:val="00C27923"/>
    <w:rsid w:val="00C27CFF"/>
    <w:rsid w:val="00C30889"/>
    <w:rsid w:val="00C30C87"/>
    <w:rsid w:val="00C30D04"/>
    <w:rsid w:val="00C30EA6"/>
    <w:rsid w:val="00C311FD"/>
    <w:rsid w:val="00C320AD"/>
    <w:rsid w:val="00C32B7F"/>
    <w:rsid w:val="00C35697"/>
    <w:rsid w:val="00C35A5C"/>
    <w:rsid w:val="00C35FC6"/>
    <w:rsid w:val="00C3677A"/>
    <w:rsid w:val="00C36A6F"/>
    <w:rsid w:val="00C40032"/>
    <w:rsid w:val="00C400BF"/>
    <w:rsid w:val="00C41110"/>
    <w:rsid w:val="00C412F3"/>
    <w:rsid w:val="00C41317"/>
    <w:rsid w:val="00C4344F"/>
    <w:rsid w:val="00C46028"/>
    <w:rsid w:val="00C463B1"/>
    <w:rsid w:val="00C50F67"/>
    <w:rsid w:val="00C5199A"/>
    <w:rsid w:val="00C52DAD"/>
    <w:rsid w:val="00C53B7F"/>
    <w:rsid w:val="00C53DCC"/>
    <w:rsid w:val="00C56B1B"/>
    <w:rsid w:val="00C5722F"/>
    <w:rsid w:val="00C600AA"/>
    <w:rsid w:val="00C61CE2"/>
    <w:rsid w:val="00C63270"/>
    <w:rsid w:val="00C63773"/>
    <w:rsid w:val="00C641F7"/>
    <w:rsid w:val="00C6453E"/>
    <w:rsid w:val="00C65E55"/>
    <w:rsid w:val="00C6693F"/>
    <w:rsid w:val="00C67405"/>
    <w:rsid w:val="00C676D7"/>
    <w:rsid w:val="00C71668"/>
    <w:rsid w:val="00C735F4"/>
    <w:rsid w:val="00C75A89"/>
    <w:rsid w:val="00C762B6"/>
    <w:rsid w:val="00C76938"/>
    <w:rsid w:val="00C8212C"/>
    <w:rsid w:val="00C8271B"/>
    <w:rsid w:val="00C82885"/>
    <w:rsid w:val="00C82D75"/>
    <w:rsid w:val="00C8560C"/>
    <w:rsid w:val="00C8684B"/>
    <w:rsid w:val="00C86E64"/>
    <w:rsid w:val="00C902E6"/>
    <w:rsid w:val="00C90B10"/>
    <w:rsid w:val="00C93186"/>
    <w:rsid w:val="00C93F62"/>
    <w:rsid w:val="00C9401A"/>
    <w:rsid w:val="00C94562"/>
    <w:rsid w:val="00C95F20"/>
    <w:rsid w:val="00C96F67"/>
    <w:rsid w:val="00CA0049"/>
    <w:rsid w:val="00CA0485"/>
    <w:rsid w:val="00CA114C"/>
    <w:rsid w:val="00CA2F65"/>
    <w:rsid w:val="00CA418D"/>
    <w:rsid w:val="00CA4DBD"/>
    <w:rsid w:val="00CA68AF"/>
    <w:rsid w:val="00CA699D"/>
    <w:rsid w:val="00CA6F90"/>
    <w:rsid w:val="00CA7CFA"/>
    <w:rsid w:val="00CB1F6F"/>
    <w:rsid w:val="00CB53AA"/>
    <w:rsid w:val="00CB6778"/>
    <w:rsid w:val="00CB7CD5"/>
    <w:rsid w:val="00CC030A"/>
    <w:rsid w:val="00CC06E7"/>
    <w:rsid w:val="00CC0990"/>
    <w:rsid w:val="00CC140F"/>
    <w:rsid w:val="00CC215B"/>
    <w:rsid w:val="00CC2EB7"/>
    <w:rsid w:val="00CC3B27"/>
    <w:rsid w:val="00CC58EC"/>
    <w:rsid w:val="00CC7230"/>
    <w:rsid w:val="00CC779A"/>
    <w:rsid w:val="00CC7B3A"/>
    <w:rsid w:val="00CD10C2"/>
    <w:rsid w:val="00CD1581"/>
    <w:rsid w:val="00CD1769"/>
    <w:rsid w:val="00CD25F1"/>
    <w:rsid w:val="00CD5497"/>
    <w:rsid w:val="00CD60B9"/>
    <w:rsid w:val="00CD6406"/>
    <w:rsid w:val="00CD74AC"/>
    <w:rsid w:val="00CE09FB"/>
    <w:rsid w:val="00CE23A2"/>
    <w:rsid w:val="00CE2664"/>
    <w:rsid w:val="00CE2C37"/>
    <w:rsid w:val="00CE33F6"/>
    <w:rsid w:val="00CE34C8"/>
    <w:rsid w:val="00CE5D05"/>
    <w:rsid w:val="00CE62B1"/>
    <w:rsid w:val="00CF02C5"/>
    <w:rsid w:val="00CF0C83"/>
    <w:rsid w:val="00CF1660"/>
    <w:rsid w:val="00CF1FD6"/>
    <w:rsid w:val="00CF48A8"/>
    <w:rsid w:val="00D00DAC"/>
    <w:rsid w:val="00D01BFA"/>
    <w:rsid w:val="00D0387D"/>
    <w:rsid w:val="00D06975"/>
    <w:rsid w:val="00D10302"/>
    <w:rsid w:val="00D125BE"/>
    <w:rsid w:val="00D12D2C"/>
    <w:rsid w:val="00D1351B"/>
    <w:rsid w:val="00D13663"/>
    <w:rsid w:val="00D13B76"/>
    <w:rsid w:val="00D1459D"/>
    <w:rsid w:val="00D14948"/>
    <w:rsid w:val="00D14FA8"/>
    <w:rsid w:val="00D157EC"/>
    <w:rsid w:val="00D1738D"/>
    <w:rsid w:val="00D2071D"/>
    <w:rsid w:val="00D20D70"/>
    <w:rsid w:val="00D210B0"/>
    <w:rsid w:val="00D22EC7"/>
    <w:rsid w:val="00D2500D"/>
    <w:rsid w:val="00D256E3"/>
    <w:rsid w:val="00D263CC"/>
    <w:rsid w:val="00D26FC4"/>
    <w:rsid w:val="00D273D6"/>
    <w:rsid w:val="00D30149"/>
    <w:rsid w:val="00D30FE1"/>
    <w:rsid w:val="00D31355"/>
    <w:rsid w:val="00D3359E"/>
    <w:rsid w:val="00D3427E"/>
    <w:rsid w:val="00D3629C"/>
    <w:rsid w:val="00D3684B"/>
    <w:rsid w:val="00D3768F"/>
    <w:rsid w:val="00D41F00"/>
    <w:rsid w:val="00D43E1F"/>
    <w:rsid w:val="00D43E4D"/>
    <w:rsid w:val="00D4440A"/>
    <w:rsid w:val="00D448C6"/>
    <w:rsid w:val="00D46507"/>
    <w:rsid w:val="00D46623"/>
    <w:rsid w:val="00D46E24"/>
    <w:rsid w:val="00D50BCD"/>
    <w:rsid w:val="00D518CA"/>
    <w:rsid w:val="00D520C4"/>
    <w:rsid w:val="00D55CA1"/>
    <w:rsid w:val="00D5615B"/>
    <w:rsid w:val="00D5649B"/>
    <w:rsid w:val="00D60C74"/>
    <w:rsid w:val="00D63422"/>
    <w:rsid w:val="00D6344B"/>
    <w:rsid w:val="00D63FB6"/>
    <w:rsid w:val="00D654E3"/>
    <w:rsid w:val="00D658B2"/>
    <w:rsid w:val="00D66556"/>
    <w:rsid w:val="00D67997"/>
    <w:rsid w:val="00D70A7A"/>
    <w:rsid w:val="00D70E50"/>
    <w:rsid w:val="00D71397"/>
    <w:rsid w:val="00D734AF"/>
    <w:rsid w:val="00D7414F"/>
    <w:rsid w:val="00D74DA7"/>
    <w:rsid w:val="00D753C5"/>
    <w:rsid w:val="00D81683"/>
    <w:rsid w:val="00D81DF5"/>
    <w:rsid w:val="00D83559"/>
    <w:rsid w:val="00D862A0"/>
    <w:rsid w:val="00D8685E"/>
    <w:rsid w:val="00D90033"/>
    <w:rsid w:val="00D91B07"/>
    <w:rsid w:val="00D9374C"/>
    <w:rsid w:val="00D979F2"/>
    <w:rsid w:val="00D97A0F"/>
    <w:rsid w:val="00DA1191"/>
    <w:rsid w:val="00DA2EBD"/>
    <w:rsid w:val="00DA4BA3"/>
    <w:rsid w:val="00DA53DF"/>
    <w:rsid w:val="00DA5739"/>
    <w:rsid w:val="00DA5FB1"/>
    <w:rsid w:val="00DB13FF"/>
    <w:rsid w:val="00DB2615"/>
    <w:rsid w:val="00DB4FC8"/>
    <w:rsid w:val="00DB671C"/>
    <w:rsid w:val="00DB74BB"/>
    <w:rsid w:val="00DC06D1"/>
    <w:rsid w:val="00DC1569"/>
    <w:rsid w:val="00DC2A93"/>
    <w:rsid w:val="00DC43E7"/>
    <w:rsid w:val="00DD0704"/>
    <w:rsid w:val="00DD413A"/>
    <w:rsid w:val="00DD4432"/>
    <w:rsid w:val="00DD503E"/>
    <w:rsid w:val="00DD5E08"/>
    <w:rsid w:val="00DD7B6D"/>
    <w:rsid w:val="00DE0495"/>
    <w:rsid w:val="00DE1FA7"/>
    <w:rsid w:val="00DE2587"/>
    <w:rsid w:val="00DE6201"/>
    <w:rsid w:val="00DE626B"/>
    <w:rsid w:val="00DE66C2"/>
    <w:rsid w:val="00DE7CCA"/>
    <w:rsid w:val="00DF0C2C"/>
    <w:rsid w:val="00DF1603"/>
    <w:rsid w:val="00DF30F4"/>
    <w:rsid w:val="00DF5539"/>
    <w:rsid w:val="00E007A1"/>
    <w:rsid w:val="00E00BEA"/>
    <w:rsid w:val="00E03D76"/>
    <w:rsid w:val="00E05854"/>
    <w:rsid w:val="00E069D9"/>
    <w:rsid w:val="00E102B8"/>
    <w:rsid w:val="00E10428"/>
    <w:rsid w:val="00E106F4"/>
    <w:rsid w:val="00E1114B"/>
    <w:rsid w:val="00E13B85"/>
    <w:rsid w:val="00E162F2"/>
    <w:rsid w:val="00E2032F"/>
    <w:rsid w:val="00E212CF"/>
    <w:rsid w:val="00E221DE"/>
    <w:rsid w:val="00E223FC"/>
    <w:rsid w:val="00E243BD"/>
    <w:rsid w:val="00E25777"/>
    <w:rsid w:val="00E262F0"/>
    <w:rsid w:val="00E32C38"/>
    <w:rsid w:val="00E354C1"/>
    <w:rsid w:val="00E36FBF"/>
    <w:rsid w:val="00E40146"/>
    <w:rsid w:val="00E42A7D"/>
    <w:rsid w:val="00E45567"/>
    <w:rsid w:val="00E45DD9"/>
    <w:rsid w:val="00E479D5"/>
    <w:rsid w:val="00E502FA"/>
    <w:rsid w:val="00E50AB3"/>
    <w:rsid w:val="00E50AEA"/>
    <w:rsid w:val="00E51FE5"/>
    <w:rsid w:val="00E5208B"/>
    <w:rsid w:val="00E53AE8"/>
    <w:rsid w:val="00E54F79"/>
    <w:rsid w:val="00E57638"/>
    <w:rsid w:val="00E62B76"/>
    <w:rsid w:val="00E633D7"/>
    <w:rsid w:val="00E63A7A"/>
    <w:rsid w:val="00E64D08"/>
    <w:rsid w:val="00E64DA3"/>
    <w:rsid w:val="00E651E7"/>
    <w:rsid w:val="00E67602"/>
    <w:rsid w:val="00E67D6C"/>
    <w:rsid w:val="00E726CA"/>
    <w:rsid w:val="00E72F70"/>
    <w:rsid w:val="00E74136"/>
    <w:rsid w:val="00E745C9"/>
    <w:rsid w:val="00E747A8"/>
    <w:rsid w:val="00E7495B"/>
    <w:rsid w:val="00E76322"/>
    <w:rsid w:val="00E7776C"/>
    <w:rsid w:val="00E80728"/>
    <w:rsid w:val="00E8274D"/>
    <w:rsid w:val="00E83609"/>
    <w:rsid w:val="00E83E57"/>
    <w:rsid w:val="00E84183"/>
    <w:rsid w:val="00E84675"/>
    <w:rsid w:val="00E8518E"/>
    <w:rsid w:val="00E8593E"/>
    <w:rsid w:val="00E863AB"/>
    <w:rsid w:val="00E8643B"/>
    <w:rsid w:val="00E86A1E"/>
    <w:rsid w:val="00E86BE1"/>
    <w:rsid w:val="00E87DFB"/>
    <w:rsid w:val="00E903E7"/>
    <w:rsid w:val="00E914DE"/>
    <w:rsid w:val="00E91D4D"/>
    <w:rsid w:val="00E9560B"/>
    <w:rsid w:val="00E9630C"/>
    <w:rsid w:val="00E9686B"/>
    <w:rsid w:val="00E976D2"/>
    <w:rsid w:val="00E97BCE"/>
    <w:rsid w:val="00EA094D"/>
    <w:rsid w:val="00EA0A37"/>
    <w:rsid w:val="00EA1195"/>
    <w:rsid w:val="00EA1E2B"/>
    <w:rsid w:val="00EA2408"/>
    <w:rsid w:val="00EA2916"/>
    <w:rsid w:val="00EA3461"/>
    <w:rsid w:val="00EA40BA"/>
    <w:rsid w:val="00EA43BF"/>
    <w:rsid w:val="00EA7324"/>
    <w:rsid w:val="00EA7AD5"/>
    <w:rsid w:val="00EA7CA6"/>
    <w:rsid w:val="00EB00CC"/>
    <w:rsid w:val="00EB0496"/>
    <w:rsid w:val="00EB16E4"/>
    <w:rsid w:val="00EB1DAB"/>
    <w:rsid w:val="00EB2F11"/>
    <w:rsid w:val="00EB3B59"/>
    <w:rsid w:val="00EB3ED1"/>
    <w:rsid w:val="00EB650C"/>
    <w:rsid w:val="00EB7D15"/>
    <w:rsid w:val="00EC0AB6"/>
    <w:rsid w:val="00EC1145"/>
    <w:rsid w:val="00EC33C0"/>
    <w:rsid w:val="00EC75B4"/>
    <w:rsid w:val="00EC7769"/>
    <w:rsid w:val="00ED0E3B"/>
    <w:rsid w:val="00ED4D76"/>
    <w:rsid w:val="00ED564F"/>
    <w:rsid w:val="00ED7738"/>
    <w:rsid w:val="00ED7827"/>
    <w:rsid w:val="00EE0139"/>
    <w:rsid w:val="00EE1B10"/>
    <w:rsid w:val="00EE2FCD"/>
    <w:rsid w:val="00EE37BA"/>
    <w:rsid w:val="00EE3B2C"/>
    <w:rsid w:val="00EE3D61"/>
    <w:rsid w:val="00EE557E"/>
    <w:rsid w:val="00EE5DD1"/>
    <w:rsid w:val="00EE7077"/>
    <w:rsid w:val="00EE7E30"/>
    <w:rsid w:val="00EF11F7"/>
    <w:rsid w:val="00EF13B0"/>
    <w:rsid w:val="00EF1DAB"/>
    <w:rsid w:val="00EF26DD"/>
    <w:rsid w:val="00EF29F1"/>
    <w:rsid w:val="00EF2B15"/>
    <w:rsid w:val="00EF2D92"/>
    <w:rsid w:val="00EF3F4F"/>
    <w:rsid w:val="00EF6DB2"/>
    <w:rsid w:val="00EF6FF0"/>
    <w:rsid w:val="00EF7C3A"/>
    <w:rsid w:val="00F02372"/>
    <w:rsid w:val="00F033A6"/>
    <w:rsid w:val="00F0438A"/>
    <w:rsid w:val="00F04C89"/>
    <w:rsid w:val="00F04E91"/>
    <w:rsid w:val="00F07F5E"/>
    <w:rsid w:val="00F10DF7"/>
    <w:rsid w:val="00F11578"/>
    <w:rsid w:val="00F11907"/>
    <w:rsid w:val="00F11E4B"/>
    <w:rsid w:val="00F1369B"/>
    <w:rsid w:val="00F1393C"/>
    <w:rsid w:val="00F13B93"/>
    <w:rsid w:val="00F20055"/>
    <w:rsid w:val="00F20526"/>
    <w:rsid w:val="00F20C6A"/>
    <w:rsid w:val="00F2128A"/>
    <w:rsid w:val="00F21462"/>
    <w:rsid w:val="00F21FBF"/>
    <w:rsid w:val="00F2271E"/>
    <w:rsid w:val="00F22F61"/>
    <w:rsid w:val="00F242D6"/>
    <w:rsid w:val="00F24B31"/>
    <w:rsid w:val="00F24D82"/>
    <w:rsid w:val="00F26DBD"/>
    <w:rsid w:val="00F2749F"/>
    <w:rsid w:val="00F30CBC"/>
    <w:rsid w:val="00F31757"/>
    <w:rsid w:val="00F31FC5"/>
    <w:rsid w:val="00F32D3B"/>
    <w:rsid w:val="00F33AB3"/>
    <w:rsid w:val="00F33F4D"/>
    <w:rsid w:val="00F342AA"/>
    <w:rsid w:val="00F347BE"/>
    <w:rsid w:val="00F35F34"/>
    <w:rsid w:val="00F36B09"/>
    <w:rsid w:val="00F37361"/>
    <w:rsid w:val="00F37BD7"/>
    <w:rsid w:val="00F37D9B"/>
    <w:rsid w:val="00F41044"/>
    <w:rsid w:val="00F4204E"/>
    <w:rsid w:val="00F4248F"/>
    <w:rsid w:val="00F424DE"/>
    <w:rsid w:val="00F428B4"/>
    <w:rsid w:val="00F4449A"/>
    <w:rsid w:val="00F45B9B"/>
    <w:rsid w:val="00F45FA1"/>
    <w:rsid w:val="00F45FD6"/>
    <w:rsid w:val="00F47FC2"/>
    <w:rsid w:val="00F5127D"/>
    <w:rsid w:val="00F5308A"/>
    <w:rsid w:val="00F54D63"/>
    <w:rsid w:val="00F604E8"/>
    <w:rsid w:val="00F61632"/>
    <w:rsid w:val="00F62370"/>
    <w:rsid w:val="00F62B8E"/>
    <w:rsid w:val="00F638C6"/>
    <w:rsid w:val="00F6520C"/>
    <w:rsid w:val="00F6764C"/>
    <w:rsid w:val="00F67994"/>
    <w:rsid w:val="00F67BF8"/>
    <w:rsid w:val="00F717EE"/>
    <w:rsid w:val="00F71DFA"/>
    <w:rsid w:val="00F7429B"/>
    <w:rsid w:val="00F74BFD"/>
    <w:rsid w:val="00F753E7"/>
    <w:rsid w:val="00F75715"/>
    <w:rsid w:val="00F77D7A"/>
    <w:rsid w:val="00F80F6E"/>
    <w:rsid w:val="00F83639"/>
    <w:rsid w:val="00F83C5A"/>
    <w:rsid w:val="00F845DA"/>
    <w:rsid w:val="00F84702"/>
    <w:rsid w:val="00F87D69"/>
    <w:rsid w:val="00F90D6A"/>
    <w:rsid w:val="00F91E4B"/>
    <w:rsid w:val="00F91E5D"/>
    <w:rsid w:val="00F91FBC"/>
    <w:rsid w:val="00F93176"/>
    <w:rsid w:val="00F97150"/>
    <w:rsid w:val="00FA0DC4"/>
    <w:rsid w:val="00FA11F4"/>
    <w:rsid w:val="00FA19C1"/>
    <w:rsid w:val="00FA272D"/>
    <w:rsid w:val="00FA56E9"/>
    <w:rsid w:val="00FA6C98"/>
    <w:rsid w:val="00FA789A"/>
    <w:rsid w:val="00FA7BD2"/>
    <w:rsid w:val="00FA7ED5"/>
    <w:rsid w:val="00FB0C59"/>
    <w:rsid w:val="00FB2F02"/>
    <w:rsid w:val="00FB3817"/>
    <w:rsid w:val="00FB6990"/>
    <w:rsid w:val="00FB7E2B"/>
    <w:rsid w:val="00FC0B9B"/>
    <w:rsid w:val="00FC0CF8"/>
    <w:rsid w:val="00FC1822"/>
    <w:rsid w:val="00FC6809"/>
    <w:rsid w:val="00FC77CA"/>
    <w:rsid w:val="00FD1CF3"/>
    <w:rsid w:val="00FD33F8"/>
    <w:rsid w:val="00FD3EA6"/>
    <w:rsid w:val="00FD3F85"/>
    <w:rsid w:val="00FD3FCE"/>
    <w:rsid w:val="00FD6228"/>
    <w:rsid w:val="00FD6439"/>
    <w:rsid w:val="00FE0D88"/>
    <w:rsid w:val="00FE2474"/>
    <w:rsid w:val="00FE58E1"/>
    <w:rsid w:val="00FE5CF6"/>
    <w:rsid w:val="00FE5F30"/>
    <w:rsid w:val="00FE61FE"/>
    <w:rsid w:val="00FE70F9"/>
    <w:rsid w:val="00FF06F6"/>
    <w:rsid w:val="00FF135E"/>
    <w:rsid w:val="00FF1B83"/>
    <w:rsid w:val="00FF57C8"/>
    <w:rsid w:val="00FF5EE8"/>
    <w:rsid w:val="00FF683B"/>
    <w:rsid w:val="00FF7A35"/>
    <w:rsid w:val="00FF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F922F3"/>
  <w15:docId w15:val="{9CAE927F-E802-4FFF-8A42-04201106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paragraph" w:styleId="Heading3">
    <w:name w:val="heading 3"/>
    <w:basedOn w:val="Normal"/>
    <w:next w:val="Normal"/>
    <w:link w:val="Heading3Char1"/>
    <w:qFormat/>
    <w:rsid w:val="004B4C34"/>
    <w:pPr>
      <w:contextualSpacing/>
      <w:outlineLvl w:val="2"/>
    </w:pPr>
    <w:rPr>
      <w:rFonts w:ascii="Calibri" w:eastAsia="Times New Roman"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nhideWhenUsed/>
    <w:rsid w:val="00F90D6A"/>
  </w:style>
  <w:style w:type="table" w:styleId="TableGrid">
    <w:name w:val="Table Grid"/>
    <w:basedOn w:val="TableNormal"/>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7209D"/>
    <w:pPr>
      <w:spacing w:before="100" w:beforeAutospacing="1" w:after="100" w:afterAutospacing="1"/>
    </w:pPr>
    <w:rPr>
      <w:rFonts w:ascii="Times" w:hAnsi="Times"/>
      <w:sz w:val="20"/>
    </w:rPr>
  </w:style>
  <w:style w:type="character" w:styleId="CommentReference">
    <w:name w:val="annotation reference"/>
    <w:unhideWhenUsed/>
    <w:rsid w:val="00C8212C"/>
    <w:rPr>
      <w:sz w:val="18"/>
      <w:szCs w:val="18"/>
    </w:rPr>
  </w:style>
  <w:style w:type="paragraph" w:styleId="CommentText">
    <w:name w:val="annotation text"/>
    <w:basedOn w:val="Normal"/>
    <w:link w:val="CommentTextChar"/>
    <w:unhideWhenUsed/>
    <w:rsid w:val="00C8212C"/>
    <w:rPr>
      <w:rFonts w:cs="Arial Unicode MS"/>
      <w:szCs w:val="24"/>
      <w:lang w:bidi="km-KH"/>
    </w:rPr>
  </w:style>
  <w:style w:type="character" w:customStyle="1" w:styleId="CommentTextChar">
    <w:name w:val="Comment Text Char"/>
    <w:link w:val="CommentText"/>
    <w:rsid w:val="00C8212C"/>
    <w:rPr>
      <w:sz w:val="24"/>
      <w:szCs w:val="24"/>
      <w:lang w:eastAsia="en-US"/>
    </w:rPr>
  </w:style>
  <w:style w:type="paragraph" w:styleId="CommentSubject">
    <w:name w:val="annotation subject"/>
    <w:basedOn w:val="CommentText"/>
    <w:next w:val="CommentText"/>
    <w:link w:val="CommentSubjectChar"/>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nhideWhenUsed/>
    <w:rsid w:val="002232A4"/>
    <w:rPr>
      <w:rFonts w:cs="Arial Unicode MS"/>
      <w:szCs w:val="24"/>
      <w:lang w:bidi="km-KH"/>
    </w:rPr>
  </w:style>
  <w:style w:type="character" w:customStyle="1" w:styleId="FootnoteTextChar">
    <w:name w:val="Footnote Text Char"/>
    <w:link w:val="FootnoteText"/>
    <w:rsid w:val="002232A4"/>
    <w:rPr>
      <w:sz w:val="24"/>
      <w:szCs w:val="24"/>
      <w:lang w:eastAsia="en-US"/>
    </w:rPr>
  </w:style>
  <w:style w:type="character" w:styleId="FootnoteReference">
    <w:name w:val="footnote reference"/>
    <w:unhideWhenUsed/>
    <w:rsid w:val="002232A4"/>
    <w:rPr>
      <w:vertAlign w:val="superscript"/>
    </w:rPr>
  </w:style>
  <w:style w:type="paragraph" w:styleId="DocumentMap">
    <w:name w:val="Document Map"/>
    <w:basedOn w:val="Normal"/>
    <w:link w:val="DocumentMapChar"/>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uiPriority w:val="99"/>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72"/>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72"/>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 w:type="paragraph" w:styleId="TOC1">
    <w:name w:val="toc 1"/>
    <w:basedOn w:val="Normal"/>
    <w:next w:val="Normal"/>
    <w:autoRedefine/>
    <w:uiPriority w:val="39"/>
    <w:rsid w:val="0036088C"/>
    <w:pPr>
      <w:spacing w:after="100"/>
    </w:pPr>
    <w:rPr>
      <w:rFonts w:eastAsia="Times New Roman"/>
      <w:szCs w:val="24"/>
    </w:rPr>
  </w:style>
  <w:style w:type="paragraph" w:styleId="TOC2">
    <w:name w:val="toc 2"/>
    <w:basedOn w:val="Normal"/>
    <w:next w:val="Normal"/>
    <w:autoRedefine/>
    <w:uiPriority w:val="39"/>
    <w:rsid w:val="0036088C"/>
    <w:pPr>
      <w:spacing w:after="100"/>
      <w:ind w:left="240"/>
    </w:pPr>
    <w:rPr>
      <w:rFonts w:eastAsia="Times New Roman"/>
      <w:szCs w:val="24"/>
    </w:rPr>
  </w:style>
  <w:style w:type="table" w:customStyle="1" w:styleId="TableGrid1">
    <w:name w:val="Table Grid1"/>
    <w:basedOn w:val="TableNormal"/>
    <w:next w:val="TableGrid"/>
    <w:rsid w:val="00AC1831"/>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3A9D"/>
    <w:rPr>
      <w:rFonts w:eastAsia="Times New Roman"/>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semiHidden/>
    <w:rsid w:val="004B4C34"/>
    <w:rPr>
      <w:rFonts w:asciiTheme="majorHAnsi" w:eastAsiaTheme="majorEastAsia" w:hAnsiTheme="majorHAnsi" w:cstheme="majorBidi"/>
      <w:color w:val="243F60" w:themeColor="accent1" w:themeShade="7F"/>
      <w:sz w:val="24"/>
      <w:szCs w:val="24"/>
      <w:lang w:eastAsia="en-US" w:bidi="ar-SA"/>
    </w:rPr>
  </w:style>
  <w:style w:type="character" w:customStyle="1" w:styleId="Heading3Char1">
    <w:name w:val="Heading 3 Char1"/>
    <w:link w:val="Heading3"/>
    <w:locked/>
    <w:rsid w:val="004B4C34"/>
    <w:rPr>
      <w:rFonts w:ascii="Calibri" w:eastAsia="Times New Roman" w:hAnsi="Calibri"/>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doe.mass.edu/turnaround/level4/guidance.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turnaround/level4/guidance.html?section=stakeholder" TargetMode="External"/><Relationship Id="rId2" Type="http://schemas.openxmlformats.org/officeDocument/2006/relationships/customXml" Target="../customXml/item2.xml"/><Relationship Id="rId16" Type="http://schemas.openxmlformats.org/officeDocument/2006/relationships/hyperlink" Target="http://www.doe.mass.edu/turnaround/howitworks" TargetMode="External"/><Relationship Id="rId20" Type="http://schemas.openxmlformats.org/officeDocument/2006/relationships/hyperlink" Target="http://www.doe.mass.edu/turnaround/redesig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seymour@doe.mass.ed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doe.mass.edu/turnaround/howitworks/reports.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DESE-231-49700</_dlc_DocId>
    <_dlc_DocIdUrl xmlns="733efe1c-5bbe-4968-87dc-d400e65c879f">
      <Url>https://sharepoint.doemass.org/ese/webteam/cps/_layouts/DocIdRedir.aspx?ID=DESE-231-49700</Url>
      <Description>DESE-231-49700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3BBD9-5E03-42D1-B073-AD0C4157B3F7}">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0A58997-495D-47D5-A958-F104C6F3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4.xml><?xml version="1.0" encoding="utf-8"?>
<ds:datastoreItem xmlns:ds="http://schemas.openxmlformats.org/officeDocument/2006/customXml" ds:itemID="{DECECA44-C8C8-4804-9394-FD5A7FAEED09}">
  <ds:schemaRefs>
    <ds:schemaRef ds:uri="http://schemas.microsoft.com/sharepoint/v3/contenttype/forms"/>
  </ds:schemaRefs>
</ds:datastoreItem>
</file>

<file path=customXml/itemProps5.xml><?xml version="1.0" encoding="utf-8"?>
<ds:datastoreItem xmlns:ds="http://schemas.openxmlformats.org/officeDocument/2006/customXml" ds:itemID="{8262CC9B-08FA-4B50-84B3-E690174BB8A1}">
  <ds:schemaRefs>
    <ds:schemaRef ds:uri="http://schemas.microsoft.com/sharepoint/events"/>
  </ds:schemaRefs>
</ds:datastoreItem>
</file>

<file path=customXml/itemProps6.xml><?xml version="1.0" encoding="utf-8"?>
<ds:datastoreItem xmlns:ds="http://schemas.openxmlformats.org/officeDocument/2006/customXml" ds:itemID="{C9794072-D782-4720-9614-A0ACBFC4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FY20 FC539 School Redesign Grant Eligibility Checklist New Directions and Scoring</vt:lpstr>
    </vt:vector>
  </TitlesOfParts>
  <Company/>
  <LinksUpToDate>false</LinksUpToDate>
  <CharactersWithSpaces>53149</CharactersWithSpaces>
  <SharedDoc>false</SharedDoc>
  <HLinks>
    <vt:vector size="60" baseType="variant">
      <vt:variant>
        <vt:i4>8323112</vt:i4>
      </vt:variant>
      <vt:variant>
        <vt:i4>24</vt:i4>
      </vt:variant>
      <vt:variant>
        <vt:i4>0</vt:i4>
      </vt:variant>
      <vt:variant>
        <vt:i4>5</vt:i4>
      </vt:variant>
      <vt:variant>
        <vt:lpwstr>http://www.doe.mass.edu/apa/sss/turnaround/level4/Guidance.pdf</vt:lpwstr>
      </vt:variant>
      <vt:variant>
        <vt:lpwstr/>
      </vt:variant>
      <vt:variant>
        <vt:i4>3407993</vt:i4>
      </vt:variant>
      <vt:variant>
        <vt:i4>21</vt:i4>
      </vt:variant>
      <vt:variant>
        <vt:i4>0</vt:i4>
      </vt:variant>
      <vt:variant>
        <vt:i4>5</vt:i4>
      </vt:variant>
      <vt:variant>
        <vt:lpwstr>http://www.doe.mass.edu/apa/sss/turnaround/2014PracticesReport.pdf</vt:lpwstr>
      </vt:variant>
      <vt:variant>
        <vt:lpwstr/>
      </vt:variant>
      <vt:variant>
        <vt:i4>2752574</vt:i4>
      </vt:variant>
      <vt:variant>
        <vt:i4>18</vt:i4>
      </vt:variant>
      <vt:variant>
        <vt:i4>0</vt:i4>
      </vt:variant>
      <vt:variant>
        <vt:i4>5</vt:i4>
      </vt:variant>
      <vt:variant>
        <vt:lpwstr>http://www.doe.mass.edu/apa/sss/turnaround/grants/SustainabilityToolkit.zip</vt:lpwstr>
      </vt:variant>
      <vt:variant>
        <vt:lpwstr/>
      </vt:variant>
      <vt:variant>
        <vt:i4>7667762</vt:i4>
      </vt:variant>
      <vt:variant>
        <vt:i4>15</vt:i4>
      </vt:variant>
      <vt:variant>
        <vt:i4>0</vt:i4>
      </vt:variant>
      <vt:variant>
        <vt:i4>5</vt:i4>
      </vt:variant>
      <vt:variant>
        <vt:lpwstr>http://www.doe.mass.edu/sda/review/district/StandardsIndicators.pdf</vt:lpwstr>
      </vt:variant>
      <vt:variant>
        <vt:lpwstr/>
      </vt:variant>
      <vt:variant>
        <vt:i4>8061044</vt:i4>
      </vt:variant>
      <vt:variant>
        <vt:i4>12</vt:i4>
      </vt:variant>
      <vt:variant>
        <vt:i4>0</vt:i4>
      </vt:variant>
      <vt:variant>
        <vt:i4>5</vt:i4>
      </vt:variant>
      <vt:variant>
        <vt:lpwstr>http://www.doe.mass.edu/apa/ucd/CSE.pdf</vt:lpwstr>
      </vt:variant>
      <vt:variant>
        <vt:lpwstr/>
      </vt:variant>
      <vt:variant>
        <vt:i4>8323112</vt:i4>
      </vt:variant>
      <vt:variant>
        <vt:i4>9</vt:i4>
      </vt:variant>
      <vt:variant>
        <vt:i4>0</vt:i4>
      </vt:variant>
      <vt:variant>
        <vt:i4>5</vt:i4>
      </vt:variant>
      <vt:variant>
        <vt:lpwstr>http://www.doe.mass.edu/apa/sss/turnaround/level4/Guidance.pdf</vt:lpwstr>
      </vt:variant>
      <vt:variant>
        <vt:lpwstr/>
      </vt:variant>
      <vt:variant>
        <vt:i4>3407993</vt:i4>
      </vt:variant>
      <vt:variant>
        <vt:i4>6</vt:i4>
      </vt:variant>
      <vt:variant>
        <vt:i4>0</vt:i4>
      </vt:variant>
      <vt:variant>
        <vt:i4>5</vt:i4>
      </vt:variant>
      <vt:variant>
        <vt:lpwstr>http://www.doe.mass.edu/apa/sss/turnaround/2014PracticesReport.pdf</vt:lpwstr>
      </vt:variant>
      <vt:variant>
        <vt:lpwstr/>
      </vt:variant>
      <vt:variant>
        <vt:i4>2293838</vt:i4>
      </vt:variant>
      <vt:variant>
        <vt:i4>3</vt:i4>
      </vt:variant>
      <vt:variant>
        <vt:i4>0</vt:i4>
      </vt:variant>
      <vt:variant>
        <vt:i4>5</vt:i4>
      </vt:variant>
      <vt:variant>
        <vt:lpwstr>mailto:srg@doe.mass.edu</vt:lpwstr>
      </vt:variant>
      <vt:variant>
        <vt:lpwstr/>
      </vt:variant>
      <vt:variant>
        <vt:i4>2293838</vt:i4>
      </vt:variant>
      <vt:variant>
        <vt:i4>0</vt:i4>
      </vt:variant>
      <vt:variant>
        <vt:i4>0</vt:i4>
      </vt:variant>
      <vt:variant>
        <vt:i4>5</vt:i4>
      </vt:variant>
      <vt:variant>
        <vt:lpwstr>mailto:SRG@doe.mass.edu</vt:lpwstr>
      </vt:variant>
      <vt:variant>
        <vt:lpwstr/>
      </vt:variant>
      <vt:variant>
        <vt:i4>4325469</vt:i4>
      </vt:variant>
      <vt:variant>
        <vt:i4>0</vt:i4>
      </vt:variant>
      <vt:variant>
        <vt:i4>0</vt:i4>
      </vt:variant>
      <vt:variant>
        <vt:i4>5</vt:i4>
      </vt:variant>
      <vt:variant>
        <vt:lpwstr>http://www.mass.gov/edu/government/departments-and-boards/ese/programs/accountability/support-for-level-3-4-and-5-districts-and-schools/school-and-district-turnaround/school-redesign-grants/school-redesign-grants-information.html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FC539 School Redesign Grant Eligibility Checklist New Directions and Scoring</dc:title>
  <dc:creator>DESE</dc:creator>
  <cp:lastModifiedBy>Zou, Dong (EOE)</cp:lastModifiedBy>
  <cp:revision>19</cp:revision>
  <cp:lastPrinted>2018-02-27T16:51:00Z</cp:lastPrinted>
  <dcterms:created xsi:type="dcterms:W3CDTF">2019-02-27T19:01:00Z</dcterms:created>
  <dcterms:modified xsi:type="dcterms:W3CDTF">2019-03-26T15:35:00Z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2019</vt:lpwstr>
  </property>
</Properties>
</file>