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9F6B" w14:textId="77777777" w:rsidR="008E5FE1" w:rsidRDefault="00721C74">
      <w:pPr>
        <w:keepNext/>
        <w:keepLines/>
        <w:pBdr>
          <w:top w:val="nil"/>
          <w:left w:val="nil"/>
          <w:bottom w:val="nil"/>
          <w:right w:val="nil"/>
          <w:between w:val="nil"/>
        </w:pBdr>
        <w:spacing w:after="0" w:line="276" w:lineRule="auto"/>
        <w:jc w:val="center"/>
        <w:rPr>
          <w:b/>
          <w:color w:val="FFFFFF"/>
          <w:sz w:val="40"/>
          <w:szCs w:val="40"/>
        </w:rPr>
      </w:pPr>
      <w:r>
        <w:rPr>
          <w:noProof/>
          <w:color w:val="FFFFFF"/>
          <w:sz w:val="40"/>
          <w:szCs w:val="40"/>
        </w:rPr>
        <mc:AlternateContent>
          <mc:Choice Requires="wps">
            <w:drawing>
              <wp:anchor distT="0" distB="0" distL="114300" distR="114300" simplePos="0" relativeHeight="251658240" behindDoc="0" locked="0" layoutInCell="1" hidden="0" allowOverlap="1" wp14:anchorId="482A3AD7" wp14:editId="5BC18F54">
                <wp:simplePos x="0" y="0"/>
                <wp:positionH relativeFrom="page">
                  <wp:posOffset>1001077</wp:posOffset>
                </wp:positionH>
                <wp:positionV relativeFrom="page">
                  <wp:posOffset>-16191</wp:posOffset>
                </wp:positionV>
                <wp:extent cx="171571" cy="1114425"/>
                <wp:effectExtent l="0" t="0" r="0" b="0"/>
                <wp:wrapNone/>
                <wp:docPr id="301701566" name="Rectangle 3017015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64977" y="3227550"/>
                          <a:ext cx="162046" cy="1104900"/>
                        </a:xfrm>
                        <a:prstGeom prst="rect">
                          <a:avLst/>
                        </a:prstGeom>
                        <a:solidFill>
                          <a:srgbClr val="39A448"/>
                        </a:solidFill>
                        <a:ln>
                          <a:noFill/>
                        </a:ln>
                      </wps:spPr>
                      <wps:txbx>
                        <w:txbxContent>
                          <w:p w14:paraId="3095A622" w14:textId="77777777" w:rsidR="008E5FE1" w:rsidRDefault="008E5FE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82A3AD7" id="Rectangle 301701566" o:spid="_x0000_s1026" alt="&quot;&quot;" style="position:absolute;left:0;text-align:left;margin-left:78.8pt;margin-top:-1.25pt;width:13.5pt;height:87.7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00AEAAIUDAAAOAAAAZHJzL2Uyb0RvYy54bWysU9uO2yAQfa/Uf0C8N76sk2ysOKvVrlJV&#10;WrWRtv0AjHGMhIEOJHb+vgP2btL2rerLmIHD4ZyZ8fZh7BU5C3DS6Ipmi5QSoblppD5W9Mf3/ad7&#10;SpxnumHKaFHRi3D0Yffxw3awpchNZ1QjgCCJduVgK9p5b8skcbwTPXMLY4XGw9ZAzzymcEwaYAOy&#10;9yrJ03SVDAYaC4YL53D3eTqku8jftoL7b23rhCeqoqjNxwgx1iEmuy0rj8BsJ/ksg/2Dip5JjY++&#10;Uz0zz8gJ5F9UveRgnGn9gps+MW0ruYge0E2W/uHmtWNWRC9YHGffy+T+Hy3/en61B8AyDNaVDpfB&#10;xdhCH76oj4wVXearYrNeU3Kp6F2er5fLuXBi9IQjIFvlabGihCMgy9Jik0ZAcmWy4PxnYXoSFhUF&#10;bEysFzu/OI+vI/QNEh52RslmL5WKCRzrJwXkzLCJd5vHorgPfcMrv8GUDmBtwrXpOOwkV19h5cd6&#10;nM3WprkcgDjL9xJFvTDnDwyw+xklA05ERd3PEwNBifqiseSbrMiXOEK3Cdwm9W3CNO8MDhr3QMmU&#10;PPk4eJPKx5M3rYzWg65JzCwXex3tzXMZhuk2j6jr37P7BQAA//8DAFBLAwQUAAYACAAAACEACH19&#10;It0AAAAKAQAADwAAAGRycy9kb3ducmV2LnhtbEyPT0/DMAzF70h8h8hI3LaEjf1RaTohpF04IDGQ&#10;4Og1pi1rnCrJtvLt8U5w87Ofnn+v3Iy+VyeKqQts4W5qQBHXwXXcWHh/207WoFJGdtgHJgs/lGBT&#10;XV+VWLhw5lc67XKjJIRTgRbanIdC61S35DFNw0Ast68QPWaRsdEu4lnCfa9nxiy1x47lQ4sDPbVU&#10;H3ZHb+EZI7quO6Tty/fc5E+MH46itbc34+MDqExj/jPDBV/QoRKmfTiyS6oXvVgtxWphMluAuhjW&#10;97LYy7CaG9BVqf9XqH4BAAD//wMAUEsBAi0AFAAGAAgAAAAhALaDOJL+AAAA4QEAABMAAAAAAAAA&#10;AAAAAAAAAAAAAFtDb250ZW50X1R5cGVzXS54bWxQSwECLQAUAAYACAAAACEAOP0h/9YAAACUAQAA&#10;CwAAAAAAAAAAAAAAAAAvAQAAX3JlbHMvLnJlbHNQSwECLQAUAAYACAAAACEAUqlP9NABAACFAwAA&#10;DgAAAAAAAAAAAAAAAAAuAgAAZHJzL2Uyb0RvYy54bWxQSwECLQAUAAYACAAAACEACH19It0AAAAK&#10;AQAADwAAAAAAAAAAAAAAAAAqBAAAZHJzL2Rvd25yZXYueG1sUEsFBgAAAAAEAAQA8wAAADQFAAAA&#10;AA==&#10;" fillcolor="#39a448" stroked="f">
                <v:textbox inset="2.53958mm,2.53958mm,2.53958mm,2.53958mm">
                  <w:txbxContent>
                    <w:p w14:paraId="3095A622" w14:textId="77777777" w:rsidR="008E5FE1" w:rsidRDefault="008E5FE1">
                      <w:pPr>
                        <w:spacing w:after="0" w:line="240" w:lineRule="auto"/>
                        <w:textDirection w:val="btLr"/>
                      </w:pPr>
                    </w:p>
                  </w:txbxContent>
                </v:textbox>
                <w10:wrap anchorx="page" anchory="page"/>
              </v:rect>
            </w:pict>
          </mc:Fallback>
        </mc:AlternateContent>
      </w:r>
      <w:r>
        <w:rPr>
          <w:noProof/>
          <w:color w:val="FFFFFF"/>
          <w:sz w:val="40"/>
          <w:szCs w:val="40"/>
        </w:rPr>
        <mc:AlternateContent>
          <mc:Choice Requires="wps">
            <w:drawing>
              <wp:anchor distT="0" distB="0" distL="114300" distR="114300" simplePos="0" relativeHeight="251659264" behindDoc="0" locked="0" layoutInCell="1" hidden="0" allowOverlap="1" wp14:anchorId="45609FFC" wp14:editId="2BA481C7">
                <wp:simplePos x="0" y="0"/>
                <wp:positionH relativeFrom="page">
                  <wp:posOffset>-4761</wp:posOffset>
                </wp:positionH>
                <wp:positionV relativeFrom="page">
                  <wp:posOffset>-16191</wp:posOffset>
                </wp:positionV>
                <wp:extent cx="171571" cy="1114425"/>
                <wp:effectExtent l="0" t="0" r="0" b="0"/>
                <wp:wrapNone/>
                <wp:docPr id="301701563" name="Rectangle 3017015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64977" y="3227550"/>
                          <a:ext cx="162046" cy="1104900"/>
                        </a:xfrm>
                        <a:prstGeom prst="rect">
                          <a:avLst/>
                        </a:prstGeom>
                        <a:solidFill>
                          <a:srgbClr val="39A448"/>
                        </a:solidFill>
                        <a:ln>
                          <a:noFill/>
                        </a:ln>
                      </wps:spPr>
                      <wps:txbx>
                        <w:txbxContent>
                          <w:p w14:paraId="151F6EA6" w14:textId="77777777" w:rsidR="008E5FE1" w:rsidRDefault="008E5FE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5609FFC" id="Rectangle 301701563" o:spid="_x0000_s1027" alt="&quot;&quot;" style="position:absolute;left:0;text-align:left;margin-left:-.35pt;margin-top:-1.25pt;width:13.5pt;height:87.7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NO0wEAAIwDAAAOAAAAZHJzL2Uyb0RvYy54bWysU11v2yAUfZ+0/4B4X/xRJ2msOFXVKtOk&#10;aovU7QdgDDESBnYhsfPvdyFpk21v016uOXA4nPvh9cM0aHIU4JU1DS1mOSXCcNsps2/oj+/bT/eU&#10;+MBMx7Q1oqEn4enD5uOH9ehqUdre6k4AQRHj69E1tA/B1VnmeS8G5mfWCYOH0sLAAkLYZx2wEdUH&#10;nZV5vshGC50Dy4X3uPt8PqSbpC+l4OGblF4EohuK3kKKkGIbY7ZZs3oPzPWKX2ywf3AxMGXw0Xep&#10;ZxYYOYD6S2pQHKy3Msy4HTIrpeIi5YDZFPkf2bz2zImUCxbHu/cy+f8ny78eX90OsAyj87XHZcxi&#10;kjDEL/ojU0Pn5aJaLZeUnBp6V5bL+fxSODEFwpFQLMq8WlDCkVAUebXKEyG7Kjnw4bOwA4mLhgI2&#10;JtWLHV98wNeR+kaJD3urVbdVWicA+/ZJAzkybOLd6rGq7mPf8MpvNG0i2dh47Xwcd7JrXnEVpnYi&#10;qkObUSLutLY77YB4x7cKvb0wH3YMcAgKSkYcjIb6nwcGghL9xWDlV0VVznGSbgHcgvYWMMN7i/PG&#10;A1ByBk8hzd/Z7OMhWKlSBa5mLq6x5SnLy3jGmbrFiXX9iTa/AAAA//8DAFBLAwQUAAYACAAAACEA&#10;ydB2E9oAAAAHAQAADwAAAGRycy9kb3ducmV2LnhtbEyOQUvDQBCF74L/YRnBW7trgq3EbIoIvXgQ&#10;rIIep9kxic3Oht1tG/+940lPw+N9vPnqzexHdaKYhsAWbpYGFHEb3MCdhbfX7eIOVMrIDsfAZOGb&#10;Emyay4saKxfO/EKnXe6UjHCq0EKf81RpndqePKZlmIil+wzRY5YYO+0inmXcj7owZqU9Diwfepzo&#10;saf2sDt6C08Y0Q3DIW2fv0qTPzC+O4rWXl/ND/egMs35D4ZffVGHRpz24cguqdHCYi2gnOIWlNTF&#10;qgS1F2xdGtBNrf/7Nz8AAAD//wMAUEsBAi0AFAAGAAgAAAAhALaDOJL+AAAA4QEAABMAAAAAAAAA&#10;AAAAAAAAAAAAAFtDb250ZW50X1R5cGVzXS54bWxQSwECLQAUAAYACAAAACEAOP0h/9YAAACUAQAA&#10;CwAAAAAAAAAAAAAAAAAvAQAAX3JlbHMvLnJlbHNQSwECLQAUAAYACAAAACEAlQgTTtMBAACMAwAA&#10;DgAAAAAAAAAAAAAAAAAuAgAAZHJzL2Uyb0RvYy54bWxQSwECLQAUAAYACAAAACEAydB2E9oAAAAH&#10;AQAADwAAAAAAAAAAAAAAAAAtBAAAZHJzL2Rvd25yZXYueG1sUEsFBgAAAAAEAAQA8wAAADQFAAAA&#10;AA==&#10;" fillcolor="#39a448" stroked="f">
                <v:textbox inset="2.53958mm,2.53958mm,2.53958mm,2.53958mm">
                  <w:txbxContent>
                    <w:p w14:paraId="151F6EA6" w14:textId="77777777" w:rsidR="008E5FE1" w:rsidRDefault="008E5FE1">
                      <w:pPr>
                        <w:spacing w:after="0" w:line="240" w:lineRule="auto"/>
                        <w:textDirection w:val="btLr"/>
                      </w:pPr>
                    </w:p>
                  </w:txbxContent>
                </v:textbox>
                <w10:wrap anchorx="page" anchory="page"/>
              </v:rect>
            </w:pict>
          </mc:Fallback>
        </mc:AlternateContent>
      </w:r>
      <w:r>
        <w:rPr>
          <w:noProof/>
          <w:color w:val="663191"/>
          <w:sz w:val="40"/>
          <w:szCs w:val="40"/>
        </w:rPr>
        <mc:AlternateContent>
          <mc:Choice Requires="wps">
            <w:drawing>
              <wp:anchor distT="0" distB="0" distL="114300" distR="114300" simplePos="0" relativeHeight="251660288" behindDoc="0" locked="0" layoutInCell="1" hidden="0" allowOverlap="1" wp14:anchorId="6FA200E9" wp14:editId="61137739">
                <wp:simplePos x="0" y="0"/>
                <wp:positionH relativeFrom="page">
                  <wp:posOffset>246697</wp:posOffset>
                </wp:positionH>
                <wp:positionV relativeFrom="page">
                  <wp:posOffset>-16191</wp:posOffset>
                </wp:positionV>
                <wp:extent cx="171571" cy="1114425"/>
                <wp:effectExtent l="0" t="0" r="0" b="0"/>
                <wp:wrapNone/>
                <wp:docPr id="301701564" name="Rectangle 3017015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64977" y="3227550"/>
                          <a:ext cx="162046" cy="1104900"/>
                        </a:xfrm>
                        <a:prstGeom prst="rect">
                          <a:avLst/>
                        </a:prstGeom>
                        <a:solidFill>
                          <a:srgbClr val="663191"/>
                        </a:solidFill>
                        <a:ln>
                          <a:noFill/>
                        </a:ln>
                      </wps:spPr>
                      <wps:txbx>
                        <w:txbxContent>
                          <w:p w14:paraId="692FFC30" w14:textId="77777777" w:rsidR="008E5FE1" w:rsidRDefault="008E5FE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FA200E9" id="Rectangle 301701564" o:spid="_x0000_s1028" alt="&quot;&quot;" style="position:absolute;left:0;text-align:left;margin-left:19.4pt;margin-top:-1.25pt;width:13.5pt;height:87.7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CO0wEAAIwDAAAOAAAAZHJzL2Uyb0RvYy54bWysU11v2yAUfZ+0/4B4X/zRxFmskGpqlWlS&#10;tUXq+gMwxjESBnYhsfPvdyFpk21v1V6uOXA4nPvh9f00aHKU4JU1jBaznBJphG2V2TP68nP76TMl&#10;PnDTcm2NZPQkPb3ffPywHl0tS9tb3UogKGJ8PTpG+xBcnWVe9HLgfmadNHjYWRh4QAj7rAU+ovqg&#10;szLPq2y00DqwQnqPu4/nQ7pJ+l0nRfjRdV4GohlFbyFFSLGJMduseb0H7nolLjb4O1wMXBl89E3q&#10;kQdODqD+kRqUAOttF2bCDpntOiVkygGzKfK/snnuuZMpFyyOd29l8v9PVnw/PrsdYBlG52uPy5jF&#10;1MEQv+iPTIwuymq+Wi4pOTF6V5bLxeJSODkFIpBQVGU+rygRSCiKfL7KEyG7Kjnw4au0A4kLRgEb&#10;k+rFj08+4OtIfaXEh73Vqt0qrROAffOggRw5NrGq7opVEfuGV/6gaRPJxsZr5+O4k13ziqswNRNR&#10;LaNllIg7jW1POyDeia1Cb0/chx0HHIKCkhEHg1H/68BBUqK/Gaz8qpiXC5ykWwC3oLkF3Ije4ryJ&#10;AJScwUNI83c2++UQbKdSBa5mLq6x5SnLy3jGmbrFiXX9iTa/AQAA//8DAFBLAwQUAAYACAAAACEA&#10;xlAOBd4AAAAIAQAADwAAAGRycy9kb3ducmV2LnhtbEyPQUvDQBSE74L/YXmCt3bXlNYQsykitAoF&#10;obUHj9vsMwnuvo3ZbRr/vc+THocZZr4p15N3YsQhdoE03M0VCKQ62I4aDce3zSwHEZMha1wg1PCN&#10;EdbV9VVpChsutMfxkBrBJRQLo6FNqS+kjHWL3sR56JHY+wiDN4nl0Eg7mAuXeyczpVbSm454oTU9&#10;PrVYfx7OXkPKXr+OW1XvNrvwPG77/iV34V3r25vp8QFEwin9heEXn9GhYqZTOJONwmlY5EyeNMyy&#10;JQj2V0vWJ87dLxTIqpT/D1Q/AAAA//8DAFBLAQItABQABgAIAAAAIQC2gziS/gAAAOEBAAATAAAA&#10;AAAAAAAAAAAAAAAAAABbQ29udGVudF9UeXBlc10ueG1sUEsBAi0AFAAGAAgAAAAhADj9If/WAAAA&#10;lAEAAAsAAAAAAAAAAAAAAAAALwEAAF9yZWxzLy5yZWxzUEsBAi0AFAAGAAgAAAAhACxx8I7TAQAA&#10;jAMAAA4AAAAAAAAAAAAAAAAALgIAAGRycy9lMm9Eb2MueG1sUEsBAi0AFAAGAAgAAAAhAMZQDgXe&#10;AAAACAEAAA8AAAAAAAAAAAAAAAAALQQAAGRycy9kb3ducmV2LnhtbFBLBQYAAAAABAAEAPMAAAA4&#10;BQAAAAA=&#10;" fillcolor="#663191" stroked="f">
                <v:textbox inset="2.53958mm,2.53958mm,2.53958mm,2.53958mm">
                  <w:txbxContent>
                    <w:p w14:paraId="692FFC30" w14:textId="77777777" w:rsidR="008E5FE1" w:rsidRDefault="008E5FE1">
                      <w:pPr>
                        <w:spacing w:after="0" w:line="240" w:lineRule="auto"/>
                        <w:textDirection w:val="btLr"/>
                      </w:pPr>
                    </w:p>
                  </w:txbxContent>
                </v:textbox>
                <w10:wrap anchorx="page" anchory="page"/>
              </v:rect>
            </w:pict>
          </mc:Fallback>
        </mc:AlternateContent>
      </w:r>
      <w:r>
        <w:rPr>
          <w:noProof/>
          <w:color w:val="FFFFFF"/>
          <w:sz w:val="40"/>
          <w:szCs w:val="40"/>
        </w:rPr>
        <mc:AlternateContent>
          <mc:Choice Requires="wps">
            <w:drawing>
              <wp:anchor distT="0" distB="0" distL="114300" distR="114300" simplePos="0" relativeHeight="251661312" behindDoc="0" locked="0" layoutInCell="1" hidden="0" allowOverlap="1" wp14:anchorId="5513C027" wp14:editId="42D1ADEF">
                <wp:simplePos x="0" y="0"/>
                <wp:positionH relativeFrom="page">
                  <wp:posOffset>498157</wp:posOffset>
                </wp:positionH>
                <wp:positionV relativeFrom="page">
                  <wp:posOffset>-16191</wp:posOffset>
                </wp:positionV>
                <wp:extent cx="171571" cy="1114425"/>
                <wp:effectExtent l="0" t="0" r="0" b="0"/>
                <wp:wrapNone/>
                <wp:docPr id="301701565" name="Rectangle 3017015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64977" y="3227550"/>
                          <a:ext cx="162046" cy="1104900"/>
                        </a:xfrm>
                        <a:prstGeom prst="rect">
                          <a:avLst/>
                        </a:prstGeom>
                        <a:solidFill>
                          <a:srgbClr val="39A448"/>
                        </a:solidFill>
                        <a:ln>
                          <a:noFill/>
                        </a:ln>
                      </wps:spPr>
                      <wps:txbx>
                        <w:txbxContent>
                          <w:p w14:paraId="73444A41" w14:textId="77777777" w:rsidR="008E5FE1" w:rsidRDefault="008E5FE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C027" id="Rectangle 301701565" o:spid="_x0000_s1029" alt="&quot;&quot;" style="position:absolute;left:0;text-align:left;margin-left:39.2pt;margin-top:-1.25pt;width:13.5pt;height:87.75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WK0wEAAIwDAAAOAAAAZHJzL2Uyb0RvYy54bWysU11v2yAUfZ+0/4B4X/xRJ2msOFXVKtOk&#10;aovU7QdgDDESBnYhsfPvdyFpk21v016uOXA4nPvh9cM0aHIU4JU1DS1mOSXCcNsps2/oj+/bT/eU&#10;+MBMx7Q1oqEn4enD5uOH9ehqUdre6k4AQRHj69E1tA/B1VnmeS8G5mfWCYOH0sLAAkLYZx2wEdUH&#10;nZV5vshGC50Dy4X3uPt8PqSbpC+l4OGblF4EohuK3kKKkGIbY7ZZs3oPzPWKX2ywf3AxMGXw0Xep&#10;ZxYYOYD6S2pQHKy3Msy4HTIrpeIi5YDZFPkf2bz2zImUCxbHu/cy+f8ny78eX90OsAyj87XHZcxi&#10;kjDEL/ojU0Pn5aJaLZeUnBp6V5bL+fxSODEFwpFQLMq8WlDCkVAUebXKEyG7Kjnw4bOwA4mLhgI2&#10;JtWLHV98wNeR+kaJD3urVbdVWicA+/ZJAzkybOLd6rGq7mPf8MpvNG0i2dh47Xwcd7JrXnEVpnYi&#10;qkOdKBF3WtuddkC841uF3l6YDzsGOAQFJSMORkP9zwMDQYn+YrDyq6Iq5zhJtwBuQXsLmOG9xXnj&#10;ASg5g6eQ5u9s9vEQrFSpAlczF9fY8pTlZTzjTN3ixLr+RJtfAAAA//8DAFBLAwQUAAYACAAAACEA&#10;iNsGJtwAAAAJAQAADwAAAGRycy9kb3ducmV2LnhtbEyPQU/DMAyF70j8h8hI3LaEjbGpNJ0Q0i4c&#10;kNiQ4Og1pi1rnCrJtvLv8U5ws/2enr9XrkffqxPF1AW2cDc1oIjr4DpuLLzvNpMVqJSRHfaBycIP&#10;JVhX11clFi6c+Y1O29woCeFUoIU256HQOtUteUzTMBCL9hWixyxrbLSLeJZw3+uZMQ/aY8fyocWB&#10;nluqD9ujt/CCEV3XHdLm9Xtu8ifGD0fR2tub8ekRVKYx/5nhgi/oUAnTPhzZJdVbWK7uxWlhMluA&#10;uuhmIYe9DMu5AV2V+n+D6hcAAP//AwBQSwECLQAUAAYACAAAACEAtoM4kv4AAADhAQAAEwAAAAAA&#10;AAAAAAAAAAAAAAAAW0NvbnRlbnRfVHlwZXNdLnhtbFBLAQItABQABgAIAAAAIQA4/SH/1gAAAJQB&#10;AAALAAAAAAAAAAAAAAAAAC8BAABfcmVscy8ucmVsc1BLAQItABQABgAIAAAAIQDEJWWK0wEAAIwD&#10;AAAOAAAAAAAAAAAAAAAAAC4CAABkcnMvZTJvRG9jLnhtbFBLAQItABQABgAIAAAAIQCI2wYm3AAA&#10;AAkBAAAPAAAAAAAAAAAAAAAAAC0EAABkcnMvZG93bnJldi54bWxQSwUGAAAAAAQABADzAAAANgUA&#10;AAAA&#10;" fillcolor="#39a448" stroked="f">
                <v:textbox inset="2.53958mm,2.53958mm,2.53958mm,2.53958mm">
                  <w:txbxContent>
                    <w:p w14:paraId="73444A41" w14:textId="77777777" w:rsidR="008E5FE1" w:rsidRDefault="008E5FE1">
                      <w:pPr>
                        <w:spacing w:after="0" w:line="240" w:lineRule="auto"/>
                        <w:textDirection w:val="btLr"/>
                      </w:pPr>
                    </w:p>
                  </w:txbxContent>
                </v:textbox>
                <w10:wrap anchorx="page" anchory="page"/>
              </v:rect>
            </w:pict>
          </mc:Fallback>
        </mc:AlternateContent>
      </w:r>
      <w:r>
        <w:rPr>
          <w:noProof/>
          <w:color w:val="FFFFFF"/>
          <w:sz w:val="40"/>
          <w:szCs w:val="40"/>
        </w:rPr>
        <mc:AlternateContent>
          <mc:Choice Requires="wps">
            <w:drawing>
              <wp:anchor distT="0" distB="0" distL="114300" distR="114300" simplePos="0" relativeHeight="251662336" behindDoc="0" locked="0" layoutInCell="1" hidden="0" allowOverlap="1" wp14:anchorId="58C1E5AE" wp14:editId="010A76B4">
                <wp:simplePos x="0" y="0"/>
                <wp:positionH relativeFrom="page">
                  <wp:posOffset>749618</wp:posOffset>
                </wp:positionH>
                <wp:positionV relativeFrom="page">
                  <wp:posOffset>-16191</wp:posOffset>
                </wp:positionV>
                <wp:extent cx="171571" cy="1114425"/>
                <wp:effectExtent l="0" t="0" r="0" b="0"/>
                <wp:wrapNone/>
                <wp:docPr id="301701567" name="Rectangle 3017015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64977" y="3227550"/>
                          <a:ext cx="162046" cy="1104900"/>
                        </a:xfrm>
                        <a:prstGeom prst="rect">
                          <a:avLst/>
                        </a:prstGeom>
                        <a:solidFill>
                          <a:srgbClr val="663191"/>
                        </a:solidFill>
                        <a:ln>
                          <a:noFill/>
                        </a:ln>
                      </wps:spPr>
                      <wps:txbx>
                        <w:txbxContent>
                          <w:p w14:paraId="72CB7188" w14:textId="77777777" w:rsidR="008E5FE1" w:rsidRDefault="008E5FE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8C1E5AE" id="Rectangle 301701567" o:spid="_x0000_s1030" alt="&quot;&quot;" style="position:absolute;left:0;text-align:left;margin-left:59.05pt;margin-top:-1.25pt;width:13.5pt;height:87.7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sZ0wEAAIwDAAAOAAAAZHJzL2Uyb0RvYy54bWysU11v2yAUfZ+0/4B4X/zRxFmskGpqlWlS&#10;tUXq+gMwxjESBnYhsfPvdyFpk21v1V6uOXA4nPvh9f00aHKU4JU1jBaznBJphG2V2TP68nP76TMl&#10;PnDTcm2NZPQkPb3ffPywHl0tS9tb3UogKGJ8PTpG+xBcnWVe9HLgfmadNHjYWRh4QAj7rAU+ovqg&#10;szLPq2y00DqwQnqPu4/nQ7pJ+l0nRfjRdV4GohlFbyFFSLGJMduseb0H7nolLjb4O1wMXBl89E3q&#10;kQdODqD+kRqUAOttF2bCDpntOiVkygGzKfK/snnuuZMpFyyOd29l8v9PVnw/PrsdYBlG52uPy5jF&#10;1MEQv+iPTIwuymq+Wi4pOTF6V5bLxeJSODkFIpBQVGU+rygRSCiKfL7KEyG7Kjnw4au0A4kLRgEb&#10;k+rFj08+4OtIfaXEh73Vqt0qrROAffOggRw5NrGq7opVEfuGV/6gaRPJxsZr5+O4k13ziqswNRNR&#10;LaPzKBF3GtuedkC8E1uF3p64DzsOOAQFJSMOBqP+14GDpER/M1j5VTEvFzhJtwBuQXMLuBG9xXkT&#10;ASg5g4eQ5u9s9ssh2E6lClzNXFxjy1OWl/GMM3WLE+v6E21+AwAA//8DAFBLAwQUAAYACAAAACEA&#10;CTWB6eAAAAAKAQAADwAAAGRycy9kb3ducmV2LnhtbEyPwU7DMBBE70j8g7VI3Fo7gdIoxKkQUgtS&#10;JSRKDz26sUki7LWJ3TT8PdsT3HZ2R7NvqtXkLBvNEHuPErK5AGaw8brHVsL+Yz0rgMWkUCvr0Uj4&#10;MRFW9fVVpUrtz/huxl1qGYVgLJWELqVQch6bzjgV5z4YpNunH5xKJIeW60GdKdxZngvxwJ3qkT50&#10;KpjnzjRfu5OTkPK37/1GNNv11r+MmxBeC+sPUt7eTE+PwJKZ0p8ZLviEDjUxHf0JdWSWdFZkZJUw&#10;yxfALob7BS2ONCzvBPC64v8r1L8AAAD//wMAUEsBAi0AFAAGAAgAAAAhALaDOJL+AAAA4QEAABMA&#10;AAAAAAAAAAAAAAAAAAAAAFtDb250ZW50X1R5cGVzXS54bWxQSwECLQAUAAYACAAAACEAOP0h/9YA&#10;AACUAQAACwAAAAAAAAAAAAAAAAAvAQAAX3JlbHMvLnJlbHNQSwECLQAUAAYACAAAACEAngAbGdMB&#10;AACMAwAADgAAAAAAAAAAAAAAAAAuAgAAZHJzL2Uyb0RvYy54bWxQSwECLQAUAAYACAAAACEACTWB&#10;6eAAAAAKAQAADwAAAAAAAAAAAAAAAAAtBAAAZHJzL2Rvd25yZXYueG1sUEsFBgAAAAAEAAQA8wAA&#10;ADoFAAAAAA==&#10;" fillcolor="#663191" stroked="f">
                <v:textbox inset="2.53958mm,2.53958mm,2.53958mm,2.53958mm">
                  <w:txbxContent>
                    <w:p w14:paraId="72CB7188" w14:textId="77777777" w:rsidR="008E5FE1" w:rsidRDefault="008E5FE1">
                      <w:pPr>
                        <w:spacing w:after="0" w:line="240" w:lineRule="auto"/>
                        <w:textDirection w:val="btLr"/>
                      </w:pPr>
                    </w:p>
                  </w:txbxContent>
                </v:textbox>
                <w10:wrap anchorx="page" anchory="page"/>
              </v:rect>
            </w:pict>
          </mc:Fallback>
        </mc:AlternateContent>
      </w:r>
      <w:r>
        <w:rPr>
          <w:color w:val="000000"/>
          <w:sz w:val="40"/>
          <w:szCs w:val="40"/>
        </w:rPr>
        <w:t xml:space="preserve">Massachusetts CURATE Project: </w:t>
      </w:r>
      <w:r>
        <w:rPr>
          <w:i/>
          <w:color w:val="000000"/>
          <w:sz w:val="40"/>
          <w:szCs w:val="40"/>
        </w:rPr>
        <w:t>Cu</w:t>
      </w:r>
      <w:r>
        <w:rPr>
          <w:color w:val="000000"/>
          <w:sz w:val="40"/>
          <w:szCs w:val="40"/>
        </w:rPr>
        <w:t xml:space="preserve">rriculum </w:t>
      </w:r>
      <w:r>
        <w:rPr>
          <w:i/>
          <w:color w:val="000000"/>
          <w:sz w:val="40"/>
          <w:szCs w:val="40"/>
        </w:rPr>
        <w:t>Ra</w:t>
      </w:r>
      <w:r>
        <w:rPr>
          <w:color w:val="000000"/>
          <w:sz w:val="40"/>
          <w:szCs w:val="40"/>
        </w:rPr>
        <w:t xml:space="preserve">tings by </w:t>
      </w:r>
      <w:r>
        <w:rPr>
          <w:i/>
          <w:color w:val="000000"/>
          <w:sz w:val="40"/>
          <w:szCs w:val="40"/>
        </w:rPr>
        <w:t>Te</w:t>
      </w:r>
      <w:r>
        <w:rPr>
          <w:color w:val="000000"/>
          <w:sz w:val="40"/>
          <w:szCs w:val="40"/>
        </w:rPr>
        <w:t>achers</w:t>
      </w:r>
      <w:r>
        <w:rPr>
          <w:noProof/>
        </w:rPr>
        <mc:AlternateContent>
          <mc:Choice Requires="wps">
            <w:drawing>
              <wp:anchor distT="0" distB="0" distL="0" distR="0" simplePos="0" relativeHeight="251663360" behindDoc="1" locked="0" layoutInCell="1" hidden="0" allowOverlap="1" wp14:anchorId="74E779C4" wp14:editId="097898CF">
                <wp:simplePos x="0" y="0"/>
                <wp:positionH relativeFrom="column">
                  <wp:posOffset>-850899</wp:posOffset>
                </wp:positionH>
                <wp:positionV relativeFrom="paragraph">
                  <wp:posOffset>-330199</wp:posOffset>
                </wp:positionV>
                <wp:extent cx="10704532" cy="1097545"/>
                <wp:effectExtent l="0" t="0" r="0" b="0"/>
                <wp:wrapNone/>
                <wp:docPr id="301701562" name="Rectangle 3017015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3235990"/>
                          <a:ext cx="10692000" cy="1088020"/>
                        </a:xfrm>
                        <a:prstGeom prst="rect">
                          <a:avLst/>
                        </a:prstGeom>
                        <a:solidFill>
                          <a:srgbClr val="45B4E1"/>
                        </a:solidFill>
                        <a:ln>
                          <a:noFill/>
                        </a:ln>
                      </wps:spPr>
                      <wps:txbx>
                        <w:txbxContent>
                          <w:p w14:paraId="0EEFBBB2" w14:textId="77777777" w:rsidR="008E5FE1" w:rsidRDefault="008E5FE1">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74E779C4" id="Rectangle 301701562" o:spid="_x0000_s1031" alt="&quot;&quot;" style="position:absolute;left:0;text-align:left;margin-left:-67pt;margin-top:-26pt;width:842.9pt;height:86.4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Bm0wEAAIgDAAAOAAAAZHJzL2Uyb0RvYy54bWysU9uO2yAQfa/Uf0C8N75svE2sOKt2t6kq&#10;rbaRtv0AjCFGwkAHEjt/34Gkm7R9W+0LZpjhcM6Z8epuGjQ5CPDKmoYWs5wSYbjtlNk19OePzYcF&#10;JT4w0zFtjWjoUXh6t37/bjW6WpS2t7oTQBDE+Hp0De1DcHWWed6LgfmZdcJgUloYWMAQdlkHbET0&#10;QWdlnt9mo4XOgeXCezx9OCXpOuFLKXj4LqUXgeiGIreQVkhrG9dsvWL1DpjrFT/TYK9gMTBl8NEX&#10;qAcWGNmD+g9qUBystzLMuB0yK6XiImlANUX+j5rnnjmRtKA53r3Y5N8Olj8dnt0W0IbR+drjNqqY&#10;JAzxi/zIlMw6NvSmvKmWy7NlYgqEY6rIb5fYB7SWY0mRLxZ5mUqyC4oDH74KO5C4aShgU5JX7PDo&#10;A76MpX9K4qPeatVtlNYpgF17r4EcGDZwXn2efyliz/DKX2XaxGJj47VTOp5kF01xF6Z2IqpraBUh&#10;4klru+MWiHd8o5DbI/NhywAHoKBkxKFoqP+1ZyAo0d8Mur4s5mWFU5SCefUx6obrTHudYYb3FmeN&#10;B6DkFNyHNHsnsp/2wUqVHLiQObPGdieV59GM83Qdp6rLD7T+DQAA//8DAFBLAwQUAAYACAAAACEA&#10;uM2dNeEAAAANAQAADwAAAGRycy9kb3ducmV2LnhtbEyPQUvDQBCF74L/YRnBW7tJaqTEbEoQ9NCD&#10;YCuit2l2TUJ3Z0N226T/3ulJb+8xjzffKzezs+JsxtB7UpAuExCGGq97ahV87F8WaxAhImm0noyC&#10;iwmwqW5vSiy0n+jdnHexFVxCoUAFXYxDIWVoOuMwLP1giG8/fnQY2Y6t1CNOXO6szJLkUTrsiT90&#10;OJjnzjTH3ckpoLReHbf561f9ad8ufju33zVOSt3fzfUTiGjm+BeGKz6jQ8VMB38iHYRVsEhXDzwm&#10;ssozFtdInqc858AqS9Ygq1L+X1H9AgAA//8DAFBLAQItABQABgAIAAAAIQC2gziS/gAAAOEBAAAT&#10;AAAAAAAAAAAAAAAAAAAAAABbQ29udGVudF9UeXBlc10ueG1sUEsBAi0AFAAGAAgAAAAhADj9If/W&#10;AAAAlAEAAAsAAAAAAAAAAAAAAAAALwEAAF9yZWxzLy5yZWxzUEsBAi0AFAAGAAgAAAAhAH4zUGbT&#10;AQAAiAMAAA4AAAAAAAAAAAAAAAAALgIAAGRycy9lMm9Eb2MueG1sUEsBAi0AFAAGAAgAAAAhALjN&#10;nTXhAAAADQEAAA8AAAAAAAAAAAAAAAAALQQAAGRycy9kb3ducmV2LnhtbFBLBQYAAAAABAAEAPMA&#10;AAA7BQAAAAA=&#10;" fillcolor="#45b4e1" stroked="f">
                <v:textbox inset="2.53958mm,1.2694mm,2.53958mm,1.2694mm">
                  <w:txbxContent>
                    <w:p w14:paraId="0EEFBBB2" w14:textId="77777777" w:rsidR="008E5FE1" w:rsidRDefault="008E5FE1">
                      <w:pPr>
                        <w:spacing w:line="258" w:lineRule="auto"/>
                        <w:jc w:val="center"/>
                        <w:textDirection w:val="btLr"/>
                      </w:pPr>
                    </w:p>
                  </w:txbxContent>
                </v:textbox>
              </v:rect>
            </w:pict>
          </mc:Fallback>
        </mc:AlternateContent>
      </w:r>
    </w:p>
    <w:p w14:paraId="15CC73D0" w14:textId="77777777" w:rsidR="008E5FE1" w:rsidRDefault="00721C74">
      <w:pPr>
        <w:pBdr>
          <w:top w:val="nil"/>
          <w:left w:val="nil"/>
          <w:bottom w:val="nil"/>
          <w:right w:val="nil"/>
          <w:between w:val="nil"/>
        </w:pBdr>
        <w:tabs>
          <w:tab w:val="center" w:pos="7200"/>
          <w:tab w:val="left" w:pos="11064"/>
        </w:tabs>
        <w:spacing w:after="0" w:line="276" w:lineRule="auto"/>
        <w:rPr>
          <w:color w:val="FFFFFF"/>
          <w:sz w:val="28"/>
          <w:szCs w:val="28"/>
        </w:rPr>
      </w:pPr>
      <w:r>
        <w:rPr>
          <w:color w:val="000000"/>
          <w:sz w:val="28"/>
          <w:szCs w:val="28"/>
        </w:rPr>
        <w:tab/>
        <w:t>Mathematics Rubric, K-12</w:t>
      </w:r>
      <w:r>
        <w:rPr>
          <w:color w:val="000000"/>
          <w:sz w:val="28"/>
          <w:szCs w:val="28"/>
        </w:rPr>
        <w:tab/>
      </w:r>
    </w:p>
    <w:p w14:paraId="5F839EEB" w14:textId="77777777" w:rsidR="008E5FE1" w:rsidRDefault="008E5FE1">
      <w:pPr>
        <w:spacing w:after="0" w:line="276" w:lineRule="auto"/>
        <w:rPr>
          <w:sz w:val="16"/>
          <w:szCs w:val="16"/>
        </w:rPr>
      </w:pPr>
      <w:bookmarkStart w:id="0" w:name="_heading=h.gjdgxs" w:colFirst="0" w:colLast="0"/>
      <w:bookmarkEnd w:id="0"/>
    </w:p>
    <w:p w14:paraId="57748B97" w14:textId="77777777" w:rsidR="008E5FE1" w:rsidRDefault="008E5FE1">
      <w:pPr>
        <w:keepNext/>
        <w:keepLines/>
        <w:pBdr>
          <w:top w:val="nil"/>
          <w:left w:val="nil"/>
          <w:bottom w:val="nil"/>
          <w:right w:val="nil"/>
          <w:between w:val="nil"/>
        </w:pBdr>
        <w:spacing w:after="0" w:line="273" w:lineRule="auto"/>
        <w:rPr>
          <w:color w:val="2F5496"/>
          <w:sz w:val="4"/>
          <w:szCs w:val="4"/>
        </w:rPr>
      </w:pPr>
    </w:p>
    <w:p w14:paraId="2D1C011D" w14:textId="77777777" w:rsidR="008E5FE1" w:rsidRDefault="008E5FE1">
      <w:pPr>
        <w:spacing w:after="180" w:line="274" w:lineRule="auto"/>
        <w:rPr>
          <w:color w:val="2F5496"/>
          <w:sz w:val="26"/>
          <w:szCs w:val="26"/>
        </w:rPr>
      </w:pPr>
    </w:p>
    <w:p w14:paraId="26638689" w14:textId="77777777" w:rsidR="008E5FE1" w:rsidRDefault="00721C74">
      <w:pPr>
        <w:spacing w:after="180" w:line="274" w:lineRule="auto"/>
        <w:rPr>
          <w:color w:val="2F5496"/>
          <w:sz w:val="26"/>
          <w:szCs w:val="26"/>
        </w:rPr>
      </w:pPr>
      <w:r>
        <w:rPr>
          <w:color w:val="2F5496"/>
          <w:sz w:val="26"/>
          <w:szCs w:val="26"/>
        </w:rPr>
        <w:t>Purpose of the Rubric</w:t>
      </w:r>
      <w:r>
        <w:rPr>
          <w:noProof/>
        </w:rPr>
        <w:drawing>
          <wp:anchor distT="0" distB="0" distL="114300" distR="114300" simplePos="0" relativeHeight="251664384" behindDoc="0" locked="0" layoutInCell="1" hidden="0" allowOverlap="1" wp14:anchorId="365DC62C" wp14:editId="71CB914C">
            <wp:simplePos x="0" y="0"/>
            <wp:positionH relativeFrom="column">
              <wp:posOffset>5422900</wp:posOffset>
            </wp:positionH>
            <wp:positionV relativeFrom="paragraph">
              <wp:posOffset>11430</wp:posOffset>
            </wp:positionV>
            <wp:extent cx="3758565" cy="977900"/>
            <wp:effectExtent l="0" t="0" r="0" b="0"/>
            <wp:wrapSquare wrapText="bothSides" distT="0" distB="0" distL="114300" distR="114300"/>
            <wp:docPr id="301701568"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01701568" name="image1.png">
                      <a:extLst>
                        <a:ext uri="{C183D7F6-B498-43B3-948B-1728B52AA6E4}">
                          <adec:decorative xmlns:adec="http://schemas.microsoft.com/office/drawing/2017/decorative" val="1"/>
                        </a:ext>
                      </a:extLst>
                    </pic:cNvPr>
                    <pic:cNvPicPr preferRelativeResize="0"/>
                  </pic:nvPicPr>
                  <pic:blipFill>
                    <a:blip r:embed="rId11"/>
                    <a:srcRect/>
                    <a:stretch>
                      <a:fillRect/>
                    </a:stretch>
                  </pic:blipFill>
                  <pic:spPr>
                    <a:xfrm>
                      <a:off x="0" y="0"/>
                      <a:ext cx="3758565" cy="977900"/>
                    </a:xfrm>
                    <a:prstGeom prst="rect">
                      <a:avLst/>
                    </a:prstGeom>
                    <a:ln/>
                  </pic:spPr>
                </pic:pic>
              </a:graphicData>
            </a:graphic>
          </wp:anchor>
        </w:drawing>
      </w:r>
    </w:p>
    <w:p w14:paraId="532CF6CE" w14:textId="77777777" w:rsidR="008E5FE1" w:rsidRDefault="00721C74">
      <w:pPr>
        <w:spacing w:after="180" w:line="274" w:lineRule="auto"/>
      </w:pPr>
      <w:r>
        <w:rPr>
          <w:color w:val="000000"/>
        </w:rPr>
        <w:t>The CURATE rubric is designed for use by CURATE panelists to evaluate core</w:t>
      </w:r>
      <w:r>
        <w:rPr>
          <w:b/>
          <w:i/>
          <w:color w:val="000000"/>
        </w:rPr>
        <w:t xml:space="preserve"> curricular materials</w:t>
      </w:r>
      <w:r>
        <w:rPr>
          <w:b/>
          <w:color w:val="000000"/>
        </w:rPr>
        <w:t xml:space="preserve"> </w:t>
      </w:r>
      <w:r>
        <w:rPr>
          <w:color w:val="000000"/>
        </w:rPr>
        <w:t xml:space="preserve">for English Language Arts/Literacy; Mathematics; Science and Technology/Engineering; and Digital Literacy and Computer Science and may also be used by educators in other contexts. </w:t>
      </w:r>
    </w:p>
    <w:p w14:paraId="7F053026" w14:textId="77777777" w:rsidR="008E5FE1" w:rsidRDefault="00721C74">
      <w:pPr>
        <w:spacing w:after="180" w:line="274" w:lineRule="auto"/>
      </w:pPr>
      <w:r>
        <w:rPr>
          <w:b/>
          <w:i/>
          <w:color w:val="000000"/>
        </w:rPr>
        <w:t>Core curricular materials</w:t>
      </w:r>
      <w:r>
        <w:rPr>
          <w:color w:val="000000"/>
        </w:rPr>
        <w:t xml:space="preserve"> are comprehensive resources designed for use with</w:t>
      </w:r>
      <w:r>
        <w:rPr>
          <w:color w:val="000000"/>
        </w:rPr>
        <w:t xml:space="preserve"> </w:t>
      </w:r>
      <w:r>
        <w:rPr>
          <w:i/>
          <w:color w:val="000000"/>
        </w:rPr>
        <w:t>all</w:t>
      </w:r>
      <w:r>
        <w:rPr>
          <w:color w:val="000000"/>
        </w:rPr>
        <w:t xml:space="preserve"> students to access grade level content and standards in a given class over the course of a year or semester.</w:t>
      </w:r>
    </w:p>
    <w:p w14:paraId="0515108D" w14:textId="77777777" w:rsidR="008E5FE1" w:rsidRDefault="00721C74">
      <w:pPr>
        <w:spacing w:after="180" w:line="274" w:lineRule="auto"/>
        <w:rPr>
          <w:color w:val="000000"/>
        </w:rPr>
      </w:pPr>
      <w:r>
        <w:rPr>
          <w:color w:val="000000"/>
        </w:rPr>
        <w:t>Through the use of the rubric, CURATE aims to elevate curricular materials that are high quality. A further distinction to clarify is connecte</w:t>
      </w:r>
      <w:r>
        <w:rPr>
          <w:color w:val="000000"/>
        </w:rPr>
        <w:t>d to skillful implementation and aligned professional learning. The CURATE rubric evaluates for the content of the materials but</w:t>
      </w:r>
      <w:r>
        <w:rPr>
          <w:b/>
          <w:color w:val="000000"/>
        </w:rPr>
        <w:t xml:space="preserve"> does not and is not intended</w:t>
      </w:r>
      <w:r>
        <w:rPr>
          <w:color w:val="000000"/>
        </w:rPr>
        <w:t xml:space="preserve"> to measure implementation or professional learning. The Massachusetts Department of Elementary and</w:t>
      </w:r>
      <w:r>
        <w:rPr>
          <w:color w:val="000000"/>
        </w:rPr>
        <w:t xml:space="preserve"> Secondary Education (DESE) believes </w:t>
      </w:r>
      <w:r>
        <w:rPr>
          <w:b/>
          <w:i/>
          <w:color w:val="000000"/>
        </w:rPr>
        <w:t>high quality instructional materials (HQIM)</w:t>
      </w:r>
      <w:r>
        <w:rPr>
          <w:i/>
          <w:color w:val="000000"/>
        </w:rPr>
        <w:t xml:space="preserve"> </w:t>
      </w:r>
      <w:r>
        <w:rPr>
          <w:color w:val="000000"/>
        </w:rPr>
        <w:t xml:space="preserve">are aligned to the Massachusetts content and practice standards, empower culturally and linguistically sustaining practices, and exhibit a coherent sequence of target skills, </w:t>
      </w:r>
      <w:r>
        <w:rPr>
          <w:color w:val="000000"/>
        </w:rPr>
        <w:t xml:space="preserve">instructional practices, and understandings. These materials are accessible for all students, including students with disabilities, students working above and below grade level, English learners (ELs), and students of color.  </w:t>
      </w:r>
      <w:r>
        <w:rPr>
          <w:color w:val="3C4043"/>
        </w:rPr>
        <w:t>HQIM should strongly support t</w:t>
      </w:r>
      <w:r>
        <w:rPr>
          <w:color w:val="3C4043"/>
        </w:rPr>
        <w:t>eachers in their everyday work to be inclusive and culturally and linguistically sustaining.</w:t>
      </w:r>
      <w:r>
        <w:rPr>
          <w:i/>
          <w:color w:val="3C4043"/>
        </w:rPr>
        <w:t xml:space="preserve"> </w:t>
      </w:r>
      <w:r>
        <w:rPr>
          <w:color w:val="000000"/>
        </w:rPr>
        <w:t xml:space="preserve">Curricular programs that receive an overall rating of </w:t>
      </w:r>
      <w:r>
        <w:rPr>
          <w:b/>
          <w:i/>
          <w:color w:val="000000"/>
        </w:rPr>
        <w:t>“meets expectations”</w:t>
      </w:r>
      <w:r>
        <w:rPr>
          <w:i/>
          <w:color w:val="000000"/>
        </w:rPr>
        <w:t xml:space="preserve"> </w:t>
      </w:r>
      <w:r>
        <w:rPr>
          <w:color w:val="000000"/>
        </w:rPr>
        <w:t xml:space="preserve">or </w:t>
      </w:r>
      <w:r>
        <w:rPr>
          <w:b/>
          <w:i/>
          <w:color w:val="000000"/>
        </w:rPr>
        <w:t>“partially meets expectations”</w:t>
      </w:r>
      <w:r>
        <w:rPr>
          <w:color w:val="000000"/>
        </w:rPr>
        <w:t xml:space="preserve"> via CURATE are considered HQIM. Although materials may</w:t>
      </w:r>
      <w:r>
        <w:rPr>
          <w:color w:val="000000"/>
        </w:rPr>
        <w:t xml:space="preserve"> be rated “high quality” this does not mean they are perfect. Materials rely on the skillful implementation of teachers who need to consider their local contexts and student needs. Schools or districts should also consider their local priorities and their </w:t>
      </w:r>
      <w:r>
        <w:rPr>
          <w:color w:val="000000"/>
        </w:rPr>
        <w:t>student and teacher needs when analyzing CURATE reports since the challenges reported may impact districts differently.</w:t>
      </w:r>
    </w:p>
    <w:p w14:paraId="1428B6AF" w14:textId="77777777" w:rsidR="008E5FE1" w:rsidRDefault="00721C74">
      <w:pPr>
        <w:keepNext/>
        <w:keepLines/>
        <w:pBdr>
          <w:top w:val="nil"/>
          <w:left w:val="nil"/>
          <w:bottom w:val="nil"/>
          <w:right w:val="nil"/>
          <w:between w:val="nil"/>
        </w:pBdr>
        <w:spacing w:before="120" w:after="0" w:line="274" w:lineRule="auto"/>
        <w:rPr>
          <w:color w:val="2F5496"/>
          <w:sz w:val="26"/>
          <w:szCs w:val="26"/>
        </w:rPr>
      </w:pPr>
      <w:r>
        <w:rPr>
          <w:color w:val="2F5496"/>
          <w:sz w:val="26"/>
          <w:szCs w:val="26"/>
        </w:rPr>
        <w:t>Guidelines for Review</w:t>
      </w:r>
    </w:p>
    <w:p w14:paraId="78F519A8" w14:textId="77777777" w:rsidR="008E5FE1" w:rsidRDefault="00721C74">
      <w:pPr>
        <w:numPr>
          <w:ilvl w:val="0"/>
          <w:numId w:val="34"/>
        </w:numPr>
        <w:spacing w:after="0" w:line="273" w:lineRule="auto"/>
        <w:ind w:left="720"/>
      </w:pPr>
      <w:r>
        <w:t xml:space="preserve">Review and document all evidence before deciding on ratings. </w:t>
      </w:r>
    </w:p>
    <w:p w14:paraId="6DE64A2C" w14:textId="77777777" w:rsidR="008E5FE1" w:rsidRDefault="00721C74">
      <w:pPr>
        <w:numPr>
          <w:ilvl w:val="0"/>
          <w:numId w:val="34"/>
        </w:numPr>
        <w:spacing w:after="0" w:line="273" w:lineRule="auto"/>
        <w:ind w:left="720"/>
      </w:pPr>
      <w:r>
        <w:t>Consider quantity as well as quality of evidence for each indicator.</w:t>
      </w:r>
    </w:p>
    <w:p w14:paraId="36B87BD6" w14:textId="77777777" w:rsidR="008E5FE1" w:rsidRDefault="00721C74">
      <w:pPr>
        <w:numPr>
          <w:ilvl w:val="0"/>
          <w:numId w:val="34"/>
        </w:numPr>
        <w:spacing w:after="0" w:line="273" w:lineRule="auto"/>
        <w:ind w:left="720"/>
      </w:pPr>
      <w:r>
        <w:t>Consider evidence of high quality as well as evidence of low quality.</w:t>
      </w:r>
    </w:p>
    <w:p w14:paraId="5E739256" w14:textId="77777777" w:rsidR="008E5FE1" w:rsidRDefault="00721C74">
      <w:pPr>
        <w:numPr>
          <w:ilvl w:val="0"/>
          <w:numId w:val="34"/>
        </w:numPr>
        <w:spacing w:after="0" w:line="273" w:lineRule="auto"/>
        <w:ind w:left="720"/>
      </w:pPr>
      <w:r>
        <w:t>Do not feel compelled to weigh each indicator and crite</w:t>
      </w:r>
      <w:r>
        <w:t>rion equally.</w:t>
      </w:r>
    </w:p>
    <w:p w14:paraId="12C1E608" w14:textId="77777777" w:rsidR="008E5FE1" w:rsidRDefault="00721C74">
      <w:pPr>
        <w:numPr>
          <w:ilvl w:val="0"/>
          <w:numId w:val="34"/>
        </w:numPr>
        <w:spacing w:after="0" w:line="273" w:lineRule="auto"/>
        <w:ind w:left="720"/>
      </w:pPr>
      <w:r>
        <w:t>Do not consider provided examples to be exhaustive or restrictive.</w:t>
      </w:r>
    </w:p>
    <w:p w14:paraId="33A26CE4" w14:textId="77777777" w:rsidR="008E5FE1" w:rsidRDefault="00721C74">
      <w:pPr>
        <w:numPr>
          <w:ilvl w:val="0"/>
          <w:numId w:val="34"/>
        </w:numPr>
        <w:spacing w:after="0" w:line="273" w:lineRule="auto"/>
        <w:ind w:left="720"/>
      </w:pPr>
      <w:r>
        <w:t>If evidence is lacking for an indicator, flag it for further data collection.</w:t>
      </w:r>
    </w:p>
    <w:p w14:paraId="79383234" w14:textId="77777777" w:rsidR="008E5FE1" w:rsidRDefault="008E5FE1">
      <w:pPr>
        <w:keepNext/>
        <w:keepLines/>
        <w:pBdr>
          <w:top w:val="nil"/>
          <w:left w:val="nil"/>
          <w:bottom w:val="nil"/>
          <w:right w:val="nil"/>
          <w:between w:val="nil"/>
        </w:pBdr>
        <w:spacing w:before="120" w:after="0" w:line="274" w:lineRule="auto"/>
        <w:rPr>
          <w:color w:val="2F5496"/>
          <w:sz w:val="26"/>
          <w:szCs w:val="26"/>
        </w:rPr>
      </w:pPr>
      <w:bookmarkStart w:id="1" w:name="_heading=h.30j0zll" w:colFirst="0" w:colLast="0"/>
      <w:bookmarkEnd w:id="1"/>
    </w:p>
    <w:p w14:paraId="7BEAEAC0" w14:textId="77777777" w:rsidR="008E5FE1" w:rsidRDefault="00721C74">
      <w:pPr>
        <w:keepNext/>
        <w:keepLines/>
        <w:pBdr>
          <w:top w:val="nil"/>
          <w:left w:val="nil"/>
          <w:bottom w:val="nil"/>
          <w:right w:val="nil"/>
          <w:between w:val="nil"/>
        </w:pBdr>
        <w:spacing w:before="120" w:after="0" w:line="274" w:lineRule="auto"/>
        <w:rPr>
          <w:color w:val="2F5496"/>
          <w:sz w:val="26"/>
          <w:szCs w:val="26"/>
        </w:rPr>
      </w:pPr>
      <w:r>
        <w:rPr>
          <w:color w:val="2F5496"/>
          <w:sz w:val="26"/>
          <w:szCs w:val="26"/>
        </w:rPr>
        <w:t>Sources of Evidence</w:t>
      </w:r>
    </w:p>
    <w:p w14:paraId="7E3CBD4F" w14:textId="77777777" w:rsidR="008E5FE1" w:rsidRDefault="00721C74">
      <w:pPr>
        <w:numPr>
          <w:ilvl w:val="0"/>
          <w:numId w:val="4"/>
        </w:numPr>
        <w:spacing w:after="0" w:line="273" w:lineRule="auto"/>
      </w:pPr>
      <w:r>
        <w:t>The product itself: unit and lesson plans, teacher guides, student-facing re</w:t>
      </w:r>
      <w:r>
        <w:t>sources, associated software, and other components</w:t>
      </w:r>
    </w:p>
    <w:p w14:paraId="7B377FC0" w14:textId="77777777" w:rsidR="008E5FE1" w:rsidRDefault="00721C74">
      <w:pPr>
        <w:numPr>
          <w:ilvl w:val="0"/>
          <w:numId w:val="4"/>
        </w:numPr>
        <w:spacing w:after="0" w:line="273" w:lineRule="auto"/>
      </w:pPr>
      <w:r>
        <w:t xml:space="preserve">Other credible and comprehensive reviews of materials, such as those by </w:t>
      </w:r>
      <w:hyperlink r:id="rId12">
        <w:r>
          <w:rPr>
            <w:color w:val="1155CC"/>
            <w:u w:val="single"/>
          </w:rPr>
          <w:t>EdReports</w:t>
        </w:r>
      </w:hyperlink>
      <w:r>
        <w:t>,</w:t>
      </w:r>
    </w:p>
    <w:p w14:paraId="1B2CD2ED" w14:textId="77777777" w:rsidR="008E5FE1" w:rsidRDefault="00721C74">
      <w:pPr>
        <w:numPr>
          <w:ilvl w:val="0"/>
          <w:numId w:val="4"/>
        </w:numPr>
        <w:spacing w:after="0" w:line="273" w:lineRule="auto"/>
      </w:pPr>
      <w:r>
        <w:t>Perceptual data, such as survey responses and f</w:t>
      </w:r>
      <w:r>
        <w:t>ocus group findings, from educators with experience using the product in schools</w:t>
      </w:r>
    </w:p>
    <w:p w14:paraId="21A49069" w14:textId="77777777" w:rsidR="008E5FE1" w:rsidRDefault="00721C74">
      <w:pPr>
        <w:numPr>
          <w:ilvl w:val="0"/>
          <w:numId w:val="4"/>
        </w:numPr>
        <w:spacing w:after="0" w:line="273" w:lineRule="auto"/>
      </w:pPr>
      <w:bookmarkStart w:id="2" w:name="_heading=h.1fob9te" w:colFirst="0" w:colLast="0"/>
      <w:bookmarkEnd w:id="2"/>
      <w:r>
        <w:t>Information—such as product specifications and videos of teachers using the product—provided by its developers or publishers</w:t>
      </w:r>
    </w:p>
    <w:p w14:paraId="4144DC78" w14:textId="77777777" w:rsidR="008E5FE1" w:rsidRDefault="00721C74">
      <w:pPr>
        <w:numPr>
          <w:ilvl w:val="0"/>
          <w:numId w:val="4"/>
        </w:numPr>
        <w:spacing w:after="0" w:line="273" w:lineRule="auto"/>
      </w:pPr>
      <w:r>
        <w:t>Research findings: see criterion 5 below for guida</w:t>
      </w:r>
      <w:r>
        <w:t>nce on how to evaluate and interpret research on a product’s efficacy</w:t>
      </w:r>
    </w:p>
    <w:p w14:paraId="09CAB6A6" w14:textId="77777777" w:rsidR="008E5FE1" w:rsidRDefault="008E5FE1">
      <w:pPr>
        <w:keepNext/>
        <w:keepLines/>
        <w:pBdr>
          <w:top w:val="nil"/>
          <w:left w:val="nil"/>
          <w:bottom w:val="nil"/>
          <w:right w:val="nil"/>
          <w:between w:val="nil"/>
        </w:pBdr>
        <w:spacing w:before="120" w:after="0" w:line="274" w:lineRule="auto"/>
        <w:rPr>
          <w:color w:val="2F5496"/>
          <w:sz w:val="26"/>
          <w:szCs w:val="26"/>
        </w:rPr>
      </w:pPr>
      <w:bookmarkStart w:id="3" w:name="_heading=h.3znysh7" w:colFirst="0" w:colLast="0"/>
      <w:bookmarkEnd w:id="3"/>
    </w:p>
    <w:p w14:paraId="40CDA39F" w14:textId="77777777" w:rsidR="008E5FE1" w:rsidRDefault="00721C74">
      <w:pPr>
        <w:keepNext/>
        <w:keepLines/>
        <w:pBdr>
          <w:top w:val="nil"/>
          <w:left w:val="nil"/>
          <w:bottom w:val="nil"/>
          <w:right w:val="nil"/>
          <w:between w:val="nil"/>
        </w:pBdr>
        <w:spacing w:before="120" w:after="0" w:line="274" w:lineRule="auto"/>
        <w:rPr>
          <w:color w:val="2F5496"/>
          <w:sz w:val="26"/>
          <w:szCs w:val="26"/>
        </w:rPr>
      </w:pPr>
      <w:r>
        <w:rPr>
          <w:color w:val="2F5496"/>
          <w:sz w:val="26"/>
          <w:szCs w:val="26"/>
        </w:rPr>
        <w:t>Definitions of Ratings</w:t>
      </w:r>
    </w:p>
    <w:p w14:paraId="2C0ACFC6" w14:textId="77777777" w:rsidR="008E5FE1" w:rsidRDefault="00721C74">
      <w:pPr>
        <w:numPr>
          <w:ilvl w:val="0"/>
          <w:numId w:val="30"/>
        </w:numPr>
        <w:spacing w:after="0" w:line="273" w:lineRule="auto"/>
      </w:pPr>
      <w:bookmarkStart w:id="4" w:name="_heading=h.2et92p0" w:colFirst="0" w:colLast="0"/>
      <w:bookmarkEnd w:id="4"/>
      <w:r>
        <w:rPr>
          <w:b/>
        </w:rPr>
        <w:t xml:space="preserve">3: Meets Expectations </w:t>
      </w:r>
      <w:r>
        <w:t>– Most or all evidence indicates high quality; little to none indicates low quality. Materials may not be perfect, but Massachusetts teacher</w:t>
      </w:r>
      <w:r>
        <w:t>s and students would be well served and strongly supported by them.</w:t>
      </w:r>
    </w:p>
    <w:p w14:paraId="35D19D92" w14:textId="77777777" w:rsidR="008E5FE1" w:rsidRDefault="00721C74">
      <w:pPr>
        <w:numPr>
          <w:ilvl w:val="0"/>
          <w:numId w:val="30"/>
        </w:numPr>
        <w:spacing w:after="0" w:line="273" w:lineRule="auto"/>
      </w:pPr>
      <w:r>
        <w:rPr>
          <w:b/>
        </w:rPr>
        <w:t xml:space="preserve">2: Partially Meets Expectations </w:t>
      </w:r>
      <w:r>
        <w:t>– Some evidence indicates high quality, while some indicates low quality. Teachers in Massachusetts would benefit from having these materials but need to su</w:t>
      </w:r>
      <w:r>
        <w:t>pplement or adapt them substantively to serve their students well.</w:t>
      </w:r>
    </w:p>
    <w:p w14:paraId="4596BE2F" w14:textId="77777777" w:rsidR="008E5FE1" w:rsidRDefault="00721C74">
      <w:pPr>
        <w:numPr>
          <w:ilvl w:val="0"/>
          <w:numId w:val="30"/>
        </w:numPr>
        <w:spacing w:after="0" w:line="273" w:lineRule="auto"/>
      </w:pPr>
      <w:r>
        <w:rPr>
          <w:b/>
        </w:rPr>
        <w:t xml:space="preserve">1: Does Not Meet Expectations </w:t>
      </w:r>
      <w:r>
        <w:t>– Little to no evidence indicates high quality; most or all evidence indicates low quality. Materials would not substantively help Massachusetts teachers and s</w:t>
      </w:r>
      <w:r>
        <w:t>tudents meet the state’s expectations for teaching and learning.</w:t>
      </w:r>
    </w:p>
    <w:p w14:paraId="430AEA3D" w14:textId="77777777" w:rsidR="008E5FE1" w:rsidRDefault="00721C74">
      <w:pPr>
        <w:numPr>
          <w:ilvl w:val="0"/>
          <w:numId w:val="30"/>
        </w:numPr>
        <w:spacing w:after="0" w:line="273" w:lineRule="auto"/>
      </w:pPr>
      <w:bookmarkStart w:id="5" w:name="_heading=h.tyjcwt" w:colFirst="0" w:colLast="0"/>
      <w:bookmarkEnd w:id="5"/>
      <w:r>
        <w:rPr>
          <w:b/>
        </w:rPr>
        <w:t>?: Insufficient Evidence</w:t>
      </w:r>
      <w:r>
        <w:t xml:space="preserve"> – More evidence is needed before a rating can be justified. If you are unsure about a rating because you lack relevant information, be sure to choose this option instead of “defaulting” to a rating of Partially Meets Expectations.</w:t>
      </w:r>
    </w:p>
    <w:p w14:paraId="14C905D9" w14:textId="77777777" w:rsidR="008E5FE1" w:rsidRDefault="00721C74">
      <w:pPr>
        <w:keepNext/>
        <w:keepLines/>
        <w:pBdr>
          <w:top w:val="nil"/>
          <w:left w:val="nil"/>
          <w:bottom w:val="nil"/>
          <w:right w:val="nil"/>
          <w:between w:val="nil"/>
        </w:pBdr>
        <w:spacing w:before="120" w:after="0" w:line="274" w:lineRule="auto"/>
        <w:rPr>
          <w:color w:val="2F5496"/>
          <w:sz w:val="26"/>
          <w:szCs w:val="26"/>
        </w:rPr>
      </w:pPr>
      <w:r>
        <w:rPr>
          <w:color w:val="2F5496"/>
          <w:sz w:val="26"/>
          <w:szCs w:val="26"/>
        </w:rPr>
        <w:t xml:space="preserve">Rubric </w:t>
      </w:r>
      <w:r>
        <w:rPr>
          <w:color w:val="2F5496"/>
          <w:sz w:val="26"/>
          <w:szCs w:val="26"/>
        </w:rPr>
        <w:t>Structure</w:t>
      </w:r>
    </w:p>
    <w:tbl>
      <w:tblPr>
        <w:tblStyle w:val="a"/>
        <w:tblW w:w="1392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0"/>
        <w:gridCol w:w="3320"/>
        <w:gridCol w:w="2790"/>
        <w:gridCol w:w="2455"/>
        <w:gridCol w:w="2315"/>
        <w:gridCol w:w="1990"/>
      </w:tblGrid>
      <w:tr w:rsidR="008E5FE1" w14:paraId="7C71CD59" w14:textId="77777777" w:rsidTr="003934DA">
        <w:trPr>
          <w:trHeight w:val="20"/>
        </w:trPr>
        <w:tc>
          <w:tcPr>
            <w:tcW w:w="1050" w:type="dxa"/>
            <w:tcBorders>
              <w:top w:val="nil"/>
              <w:left w:val="nil"/>
            </w:tcBorders>
            <w:shd w:val="clear" w:color="auto" w:fill="FFFFFF"/>
            <w:tcMar>
              <w:top w:w="100" w:type="dxa"/>
              <w:left w:w="100" w:type="dxa"/>
              <w:bottom w:w="100" w:type="dxa"/>
              <w:right w:w="100" w:type="dxa"/>
            </w:tcMar>
          </w:tcPr>
          <w:p w14:paraId="7EF20795" w14:textId="77777777" w:rsidR="008E5FE1" w:rsidRDefault="00721C74">
            <w:pPr>
              <w:widowControl w:val="0"/>
              <w:pBdr>
                <w:top w:val="nil"/>
                <w:left w:val="nil"/>
                <w:bottom w:val="nil"/>
                <w:right w:val="nil"/>
                <w:between w:val="nil"/>
              </w:pBdr>
              <w:spacing w:after="0" w:line="240" w:lineRule="auto"/>
              <w:rPr>
                <w:b/>
                <w:i/>
              </w:rPr>
            </w:pPr>
            <w:r>
              <w:rPr>
                <w:b/>
                <w:i/>
              </w:rPr>
              <w:t>Domains</w:t>
            </w:r>
          </w:p>
        </w:tc>
        <w:tc>
          <w:tcPr>
            <w:tcW w:w="6110" w:type="dxa"/>
            <w:gridSpan w:val="2"/>
            <w:shd w:val="clear" w:color="auto" w:fill="FF9933"/>
            <w:tcMar>
              <w:top w:w="100" w:type="dxa"/>
              <w:left w:w="100" w:type="dxa"/>
              <w:bottom w:w="100" w:type="dxa"/>
              <w:right w:w="100" w:type="dxa"/>
            </w:tcMar>
          </w:tcPr>
          <w:p w14:paraId="2619D059" w14:textId="77777777" w:rsidR="008E5FE1" w:rsidRDefault="00721C74">
            <w:pPr>
              <w:widowControl w:val="0"/>
              <w:pBdr>
                <w:top w:val="nil"/>
                <w:left w:val="nil"/>
                <w:bottom w:val="nil"/>
                <w:right w:val="nil"/>
                <w:between w:val="nil"/>
              </w:pBdr>
              <w:spacing w:after="0" w:line="240" w:lineRule="auto"/>
              <w:jc w:val="center"/>
              <w:rPr>
                <w:color w:val="FFFFFF"/>
              </w:rPr>
            </w:pPr>
            <w:r>
              <w:t>Standards Alignment</w:t>
            </w:r>
          </w:p>
        </w:tc>
        <w:tc>
          <w:tcPr>
            <w:tcW w:w="6760" w:type="dxa"/>
            <w:gridSpan w:val="3"/>
            <w:shd w:val="clear" w:color="auto" w:fill="003366"/>
            <w:tcMar>
              <w:top w:w="100" w:type="dxa"/>
              <w:left w:w="100" w:type="dxa"/>
              <w:bottom w:w="100" w:type="dxa"/>
              <w:right w:w="100" w:type="dxa"/>
            </w:tcMar>
          </w:tcPr>
          <w:p w14:paraId="475AAB7E" w14:textId="77777777" w:rsidR="008E5FE1" w:rsidRDefault="00721C74">
            <w:pPr>
              <w:widowControl w:val="0"/>
              <w:pBdr>
                <w:top w:val="nil"/>
                <w:left w:val="nil"/>
                <w:bottom w:val="nil"/>
                <w:right w:val="nil"/>
                <w:between w:val="nil"/>
              </w:pBdr>
              <w:spacing w:after="0" w:line="240" w:lineRule="auto"/>
              <w:jc w:val="center"/>
              <w:rPr>
                <w:color w:val="FFFFFF"/>
              </w:rPr>
            </w:pPr>
            <w:r>
              <w:rPr>
                <w:color w:val="FFFFFF"/>
              </w:rPr>
              <w:t>Classroom Application</w:t>
            </w:r>
          </w:p>
        </w:tc>
      </w:tr>
      <w:tr w:rsidR="008E5FE1" w14:paraId="7613ACB1" w14:textId="77777777" w:rsidTr="003934DA">
        <w:trPr>
          <w:trHeight w:val="20"/>
        </w:trPr>
        <w:tc>
          <w:tcPr>
            <w:tcW w:w="1050" w:type="dxa"/>
            <w:tcBorders>
              <w:left w:val="nil"/>
              <w:bottom w:val="nil"/>
            </w:tcBorders>
            <w:shd w:val="clear" w:color="auto" w:fill="FFFFFF"/>
            <w:tcMar>
              <w:top w:w="100" w:type="dxa"/>
              <w:left w:w="100" w:type="dxa"/>
              <w:bottom w:w="100" w:type="dxa"/>
              <w:right w:w="100" w:type="dxa"/>
            </w:tcMar>
          </w:tcPr>
          <w:p w14:paraId="34DFC199" w14:textId="77777777" w:rsidR="008E5FE1" w:rsidRDefault="00721C74">
            <w:pPr>
              <w:widowControl w:val="0"/>
              <w:pBdr>
                <w:top w:val="nil"/>
                <w:left w:val="nil"/>
                <w:bottom w:val="nil"/>
                <w:right w:val="nil"/>
                <w:between w:val="nil"/>
              </w:pBdr>
              <w:spacing w:after="0" w:line="240" w:lineRule="auto"/>
              <w:rPr>
                <w:b/>
                <w:i/>
              </w:rPr>
            </w:pPr>
            <w:r>
              <w:rPr>
                <w:b/>
                <w:i/>
              </w:rPr>
              <w:t>Criteria</w:t>
            </w:r>
          </w:p>
        </w:tc>
        <w:tc>
          <w:tcPr>
            <w:tcW w:w="3320" w:type="dxa"/>
            <w:shd w:val="clear" w:color="auto" w:fill="FDE9D9"/>
            <w:tcMar>
              <w:top w:w="100" w:type="dxa"/>
              <w:left w:w="100" w:type="dxa"/>
              <w:bottom w:w="100" w:type="dxa"/>
              <w:right w:w="100" w:type="dxa"/>
            </w:tcMar>
          </w:tcPr>
          <w:p w14:paraId="0712E493" w14:textId="77777777" w:rsidR="008E5FE1" w:rsidRDefault="00721C74">
            <w:pPr>
              <w:widowControl w:val="0"/>
              <w:pBdr>
                <w:top w:val="nil"/>
                <w:left w:val="nil"/>
                <w:bottom w:val="nil"/>
                <w:right w:val="nil"/>
                <w:between w:val="nil"/>
              </w:pBdr>
              <w:spacing w:after="0" w:line="240" w:lineRule="auto"/>
              <w:jc w:val="center"/>
            </w:pPr>
            <w:r>
              <w:t>Content Standards &amp; Organization</w:t>
            </w:r>
          </w:p>
        </w:tc>
        <w:tc>
          <w:tcPr>
            <w:tcW w:w="2790" w:type="dxa"/>
            <w:shd w:val="clear" w:color="auto" w:fill="FDE9D9"/>
            <w:tcMar>
              <w:top w:w="100" w:type="dxa"/>
              <w:left w:w="100" w:type="dxa"/>
              <w:bottom w:w="100" w:type="dxa"/>
              <w:right w:w="100" w:type="dxa"/>
            </w:tcMar>
          </w:tcPr>
          <w:p w14:paraId="7AD794A5" w14:textId="77777777" w:rsidR="008E5FE1" w:rsidRDefault="00721C74">
            <w:pPr>
              <w:widowControl w:val="0"/>
              <w:pBdr>
                <w:top w:val="nil"/>
                <w:left w:val="nil"/>
                <w:bottom w:val="nil"/>
                <w:right w:val="nil"/>
                <w:between w:val="nil"/>
              </w:pBdr>
              <w:spacing w:after="0" w:line="240" w:lineRule="auto"/>
              <w:jc w:val="center"/>
            </w:pPr>
            <w:r>
              <w:t>Grade-Appropriate Practices</w:t>
            </w:r>
          </w:p>
        </w:tc>
        <w:tc>
          <w:tcPr>
            <w:tcW w:w="2455" w:type="dxa"/>
            <w:shd w:val="clear" w:color="auto" w:fill="C6D9F1"/>
            <w:tcMar>
              <w:top w:w="100" w:type="dxa"/>
              <w:left w:w="100" w:type="dxa"/>
              <w:bottom w:w="100" w:type="dxa"/>
              <w:right w:w="100" w:type="dxa"/>
            </w:tcMar>
          </w:tcPr>
          <w:p w14:paraId="3B6E7574" w14:textId="77777777" w:rsidR="008E5FE1" w:rsidRDefault="00721C74">
            <w:pPr>
              <w:widowControl w:val="0"/>
              <w:pBdr>
                <w:top w:val="nil"/>
                <w:left w:val="nil"/>
                <w:bottom w:val="nil"/>
                <w:right w:val="nil"/>
                <w:between w:val="nil"/>
              </w:pBdr>
              <w:spacing w:after="0" w:line="240" w:lineRule="auto"/>
              <w:jc w:val="center"/>
            </w:pPr>
            <w:r>
              <w:t>Accessibility for Students</w:t>
            </w:r>
          </w:p>
        </w:tc>
        <w:tc>
          <w:tcPr>
            <w:tcW w:w="2315" w:type="dxa"/>
            <w:shd w:val="clear" w:color="auto" w:fill="C6D9F1"/>
            <w:tcMar>
              <w:top w:w="100" w:type="dxa"/>
              <w:left w:w="100" w:type="dxa"/>
              <w:bottom w:w="100" w:type="dxa"/>
              <w:right w:w="100" w:type="dxa"/>
            </w:tcMar>
          </w:tcPr>
          <w:p w14:paraId="179CB231" w14:textId="77777777" w:rsidR="008E5FE1" w:rsidRDefault="00721C74">
            <w:pPr>
              <w:widowControl w:val="0"/>
              <w:pBdr>
                <w:top w:val="nil"/>
                <w:left w:val="nil"/>
                <w:bottom w:val="nil"/>
                <w:right w:val="nil"/>
                <w:between w:val="nil"/>
              </w:pBdr>
              <w:spacing w:after="0" w:line="240" w:lineRule="auto"/>
              <w:jc w:val="center"/>
            </w:pPr>
            <w:r>
              <w:t>Usability for Teachers</w:t>
            </w:r>
          </w:p>
        </w:tc>
        <w:tc>
          <w:tcPr>
            <w:tcW w:w="1990" w:type="dxa"/>
            <w:shd w:val="clear" w:color="auto" w:fill="C6D9F1"/>
            <w:tcMar>
              <w:top w:w="100" w:type="dxa"/>
              <w:left w:w="100" w:type="dxa"/>
              <w:bottom w:w="100" w:type="dxa"/>
              <w:right w:w="100" w:type="dxa"/>
            </w:tcMar>
          </w:tcPr>
          <w:p w14:paraId="716CCD7A" w14:textId="77777777" w:rsidR="008E5FE1" w:rsidRDefault="00721C74">
            <w:pPr>
              <w:widowControl w:val="0"/>
              <w:pBdr>
                <w:top w:val="nil"/>
                <w:left w:val="nil"/>
                <w:bottom w:val="nil"/>
                <w:right w:val="nil"/>
                <w:between w:val="nil"/>
              </w:pBdr>
              <w:spacing w:after="0" w:line="240" w:lineRule="auto"/>
              <w:jc w:val="center"/>
            </w:pPr>
            <w:r>
              <w:t>Impact on Learning</w:t>
            </w:r>
          </w:p>
        </w:tc>
      </w:tr>
    </w:tbl>
    <w:p w14:paraId="6BD4E760" w14:textId="77777777" w:rsidR="008E5FE1" w:rsidRDefault="008E5FE1">
      <w:pPr>
        <w:keepNext/>
        <w:keepLines/>
        <w:pBdr>
          <w:top w:val="nil"/>
          <w:left w:val="nil"/>
          <w:bottom w:val="nil"/>
          <w:right w:val="nil"/>
          <w:between w:val="nil"/>
        </w:pBdr>
        <w:spacing w:after="0" w:line="276" w:lineRule="auto"/>
        <w:rPr>
          <w:color w:val="2F5496"/>
          <w:sz w:val="26"/>
          <w:szCs w:val="26"/>
        </w:rPr>
      </w:pPr>
    </w:p>
    <w:p w14:paraId="61BD4F6D" w14:textId="77777777" w:rsidR="008E5FE1" w:rsidRDefault="008E5FE1">
      <w:pPr>
        <w:keepNext/>
        <w:keepLines/>
        <w:pBdr>
          <w:top w:val="nil"/>
          <w:left w:val="nil"/>
          <w:bottom w:val="nil"/>
          <w:right w:val="nil"/>
          <w:between w:val="nil"/>
        </w:pBdr>
        <w:spacing w:after="0" w:line="276" w:lineRule="auto"/>
        <w:rPr>
          <w:color w:val="2F5496"/>
          <w:sz w:val="26"/>
          <w:szCs w:val="26"/>
        </w:rPr>
      </w:pPr>
    </w:p>
    <w:p w14:paraId="369CE4AF" w14:textId="77777777" w:rsidR="008E5FE1" w:rsidRDefault="008E5FE1">
      <w:pPr>
        <w:keepNext/>
        <w:keepLines/>
        <w:pBdr>
          <w:top w:val="nil"/>
          <w:left w:val="nil"/>
          <w:bottom w:val="nil"/>
          <w:right w:val="nil"/>
          <w:between w:val="nil"/>
        </w:pBdr>
        <w:spacing w:after="0" w:line="276" w:lineRule="auto"/>
        <w:rPr>
          <w:color w:val="2F5496"/>
          <w:sz w:val="26"/>
          <w:szCs w:val="26"/>
        </w:rPr>
      </w:pPr>
    </w:p>
    <w:p w14:paraId="3BFDF07B" w14:textId="77777777" w:rsidR="008E5FE1" w:rsidRDefault="008E5FE1">
      <w:pPr>
        <w:keepNext/>
        <w:keepLines/>
        <w:pBdr>
          <w:top w:val="nil"/>
          <w:left w:val="nil"/>
          <w:bottom w:val="nil"/>
          <w:right w:val="nil"/>
          <w:between w:val="nil"/>
        </w:pBdr>
        <w:spacing w:after="0" w:line="276" w:lineRule="auto"/>
        <w:rPr>
          <w:color w:val="2F5496"/>
          <w:sz w:val="26"/>
          <w:szCs w:val="26"/>
        </w:rPr>
      </w:pPr>
    </w:p>
    <w:p w14:paraId="17FF6F89" w14:textId="77777777" w:rsidR="008E5FE1" w:rsidRDefault="008E5FE1">
      <w:pPr>
        <w:keepNext/>
        <w:keepLines/>
        <w:pBdr>
          <w:top w:val="nil"/>
          <w:left w:val="nil"/>
          <w:bottom w:val="nil"/>
          <w:right w:val="nil"/>
          <w:between w:val="nil"/>
        </w:pBdr>
        <w:spacing w:after="0" w:line="276" w:lineRule="auto"/>
        <w:rPr>
          <w:color w:val="2F5496"/>
          <w:sz w:val="26"/>
          <w:szCs w:val="26"/>
        </w:rPr>
      </w:pPr>
    </w:p>
    <w:p w14:paraId="3D668DDF" w14:textId="77777777" w:rsidR="008E5FE1" w:rsidRDefault="008E5FE1">
      <w:pPr>
        <w:spacing w:after="180" w:line="274" w:lineRule="auto"/>
      </w:pPr>
    </w:p>
    <w:p w14:paraId="225D7935" w14:textId="77777777" w:rsidR="008E5FE1" w:rsidRDefault="00721C74">
      <w:pPr>
        <w:keepNext/>
        <w:keepLines/>
        <w:pBdr>
          <w:top w:val="nil"/>
          <w:left w:val="nil"/>
          <w:bottom w:val="nil"/>
          <w:right w:val="nil"/>
          <w:between w:val="nil"/>
        </w:pBdr>
        <w:spacing w:after="0" w:line="276" w:lineRule="auto"/>
        <w:rPr>
          <w:color w:val="2F5496"/>
          <w:sz w:val="26"/>
          <w:szCs w:val="26"/>
        </w:rPr>
      </w:pPr>
      <w:r>
        <w:rPr>
          <w:color w:val="2F5496"/>
          <w:sz w:val="26"/>
          <w:szCs w:val="26"/>
        </w:rPr>
        <w:lastRenderedPageBreak/>
        <w:t>Rubric</w:t>
      </w:r>
    </w:p>
    <w:tbl>
      <w:tblPr>
        <w:tblStyle w:val="a0"/>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3420"/>
        <w:gridCol w:w="5580"/>
        <w:gridCol w:w="3695"/>
      </w:tblGrid>
      <w:tr w:rsidR="008E5FE1" w14:paraId="49BEA9D1" w14:textId="77777777" w:rsidTr="003934DA">
        <w:trPr>
          <w:trHeight w:val="220"/>
        </w:trPr>
        <w:tc>
          <w:tcPr>
            <w:tcW w:w="14490" w:type="dxa"/>
            <w:gridSpan w:val="4"/>
            <w:shd w:val="clear" w:color="auto" w:fill="FF9933"/>
          </w:tcPr>
          <w:p w14:paraId="76FFADE2" w14:textId="77777777" w:rsidR="008E5FE1" w:rsidRDefault="00721C74">
            <w:pPr>
              <w:pBdr>
                <w:top w:val="nil"/>
                <w:left w:val="nil"/>
                <w:bottom w:val="nil"/>
                <w:right w:val="nil"/>
                <w:between w:val="nil"/>
              </w:pBdr>
              <w:spacing w:after="180" w:line="276" w:lineRule="auto"/>
              <w:jc w:val="center"/>
              <w:rPr>
                <w:b/>
                <w:color w:val="FFFFFF"/>
              </w:rPr>
            </w:pPr>
            <w:r>
              <w:rPr>
                <w:b/>
              </w:rPr>
              <w:t>Domain: Standards Alignment</w:t>
            </w:r>
          </w:p>
        </w:tc>
      </w:tr>
      <w:tr w:rsidR="008E5FE1" w14:paraId="3546BC6D" w14:textId="77777777" w:rsidTr="003934DA">
        <w:tc>
          <w:tcPr>
            <w:tcW w:w="1795" w:type="dxa"/>
            <w:shd w:val="clear" w:color="auto" w:fill="FDE9D9"/>
          </w:tcPr>
          <w:p w14:paraId="3285945D" w14:textId="77777777" w:rsidR="008E5FE1" w:rsidRDefault="00721C74">
            <w:pPr>
              <w:pBdr>
                <w:top w:val="nil"/>
                <w:left w:val="nil"/>
                <w:bottom w:val="nil"/>
                <w:right w:val="nil"/>
                <w:between w:val="nil"/>
              </w:pBdr>
              <w:spacing w:after="180" w:line="276" w:lineRule="auto"/>
              <w:jc w:val="center"/>
              <w:rPr>
                <w:b/>
              </w:rPr>
            </w:pPr>
            <w:bookmarkStart w:id="6" w:name="_heading=h.3dy6vkm" w:colFirst="0" w:colLast="0"/>
            <w:bookmarkEnd w:id="6"/>
            <w:r>
              <w:rPr>
                <w:b/>
              </w:rPr>
              <w:t>Criterion</w:t>
            </w:r>
          </w:p>
        </w:tc>
        <w:tc>
          <w:tcPr>
            <w:tcW w:w="3420" w:type="dxa"/>
            <w:shd w:val="clear" w:color="auto" w:fill="FDE9D9"/>
          </w:tcPr>
          <w:p w14:paraId="49997AAB" w14:textId="77777777" w:rsidR="008E5FE1" w:rsidRDefault="00721C74">
            <w:pPr>
              <w:pBdr>
                <w:top w:val="nil"/>
                <w:left w:val="nil"/>
                <w:bottom w:val="nil"/>
                <w:right w:val="nil"/>
                <w:between w:val="nil"/>
              </w:pBdr>
              <w:spacing w:after="180" w:line="276" w:lineRule="auto"/>
              <w:jc w:val="center"/>
              <w:rPr>
                <w:b/>
              </w:rPr>
            </w:pPr>
            <w:r>
              <w:rPr>
                <w:b/>
              </w:rPr>
              <w:t>Indicator</w:t>
            </w:r>
          </w:p>
        </w:tc>
        <w:tc>
          <w:tcPr>
            <w:tcW w:w="5580" w:type="dxa"/>
            <w:shd w:val="clear" w:color="auto" w:fill="FDE9D9"/>
          </w:tcPr>
          <w:p w14:paraId="2003C585" w14:textId="77777777" w:rsidR="008E5FE1" w:rsidRDefault="00721C74">
            <w:pPr>
              <w:keepNext/>
              <w:spacing w:after="180" w:line="276" w:lineRule="auto"/>
              <w:jc w:val="center"/>
              <w:rPr>
                <w:b/>
              </w:rPr>
            </w:pPr>
            <w:r>
              <w:rPr>
                <w:b/>
              </w:rPr>
              <w:t>Notes and Tips</w:t>
            </w:r>
          </w:p>
        </w:tc>
        <w:tc>
          <w:tcPr>
            <w:tcW w:w="3695" w:type="dxa"/>
            <w:shd w:val="clear" w:color="auto" w:fill="FDE9D9"/>
          </w:tcPr>
          <w:p w14:paraId="4BBD3929" w14:textId="77777777" w:rsidR="008E5FE1" w:rsidRDefault="00721C74">
            <w:pPr>
              <w:keepNext/>
              <w:spacing w:after="180" w:line="276" w:lineRule="auto"/>
              <w:jc w:val="center"/>
              <w:rPr>
                <w:b/>
              </w:rPr>
            </w:pPr>
            <w:r>
              <w:rPr>
                <w:b/>
              </w:rPr>
              <w:t>Further Reading</w:t>
            </w:r>
          </w:p>
        </w:tc>
      </w:tr>
      <w:tr w:rsidR="008E5FE1" w14:paraId="1448C020" w14:textId="77777777" w:rsidTr="003934DA">
        <w:tc>
          <w:tcPr>
            <w:tcW w:w="1795" w:type="dxa"/>
            <w:vMerge w:val="restart"/>
            <w:shd w:val="clear" w:color="auto" w:fill="FDE9D9"/>
          </w:tcPr>
          <w:p w14:paraId="75B775F7" w14:textId="77777777" w:rsidR="008E5FE1" w:rsidRDefault="00721C74">
            <w:pPr>
              <w:pBdr>
                <w:top w:val="nil"/>
                <w:left w:val="nil"/>
                <w:bottom w:val="nil"/>
                <w:right w:val="nil"/>
                <w:between w:val="nil"/>
              </w:pBdr>
              <w:spacing w:after="180" w:line="276" w:lineRule="auto"/>
              <w:rPr>
                <w:b/>
                <w:color w:val="000000"/>
              </w:rPr>
            </w:pPr>
            <w:r>
              <w:rPr>
                <w:b/>
                <w:color w:val="000000"/>
              </w:rPr>
              <w:t>1. Content Standards and Organization</w:t>
            </w:r>
          </w:p>
          <w:p w14:paraId="1A3572CE" w14:textId="77777777" w:rsidR="008E5FE1" w:rsidRDefault="00721C74">
            <w:pPr>
              <w:spacing w:after="180" w:line="276" w:lineRule="auto"/>
              <w:rPr>
                <w:sz w:val="20"/>
                <w:szCs w:val="20"/>
              </w:rPr>
            </w:pPr>
            <w:r>
              <w:rPr>
                <w:i/>
                <w:sz w:val="20"/>
                <w:szCs w:val="20"/>
              </w:rPr>
              <w:t xml:space="preserve">Note: </w:t>
            </w:r>
            <w:r>
              <w:rPr>
                <w:sz w:val="20"/>
                <w:szCs w:val="20"/>
              </w:rPr>
              <w:t xml:space="preserve">This rubric was developed for CURATE, which evaluates materials that have previously been reviewed for alignment to college- and career-ready </w:t>
            </w:r>
            <w:r>
              <w:rPr>
                <w:sz w:val="20"/>
                <w:szCs w:val="20"/>
              </w:rPr>
              <w:t>standards. If using this rubric to review materials not already screened for some degree of standards alignment, consider adding or expanding indicators to ensure a comprehensive evaluation.</w:t>
            </w:r>
          </w:p>
        </w:tc>
        <w:tc>
          <w:tcPr>
            <w:tcW w:w="3420" w:type="dxa"/>
            <w:shd w:val="clear" w:color="auto" w:fill="FDE9D9"/>
          </w:tcPr>
          <w:p w14:paraId="0F81F5DF" w14:textId="77777777" w:rsidR="008E5FE1" w:rsidRDefault="00721C74">
            <w:pPr>
              <w:numPr>
                <w:ilvl w:val="0"/>
                <w:numId w:val="17"/>
              </w:numPr>
              <w:pBdr>
                <w:top w:val="nil"/>
                <w:left w:val="nil"/>
                <w:bottom w:val="nil"/>
                <w:right w:val="nil"/>
                <w:between w:val="nil"/>
              </w:pBdr>
              <w:spacing w:after="180" w:line="276" w:lineRule="auto"/>
              <w:rPr>
                <w:b/>
                <w:color w:val="000000"/>
              </w:rPr>
            </w:pPr>
            <w:r>
              <w:rPr>
                <w:b/>
                <w:color w:val="000000"/>
              </w:rPr>
              <w:t xml:space="preserve">Content progresses coherently from unit to unit and grade to </w:t>
            </w:r>
            <w:r>
              <w:rPr>
                <w:b/>
                <w:color w:val="000000"/>
              </w:rPr>
              <w:t>grade in alignment with Massachusetts standards.</w:t>
            </w:r>
          </w:p>
        </w:tc>
        <w:tc>
          <w:tcPr>
            <w:tcW w:w="5580" w:type="dxa"/>
          </w:tcPr>
          <w:p w14:paraId="07C225DC" w14:textId="77777777" w:rsidR="008E5FE1" w:rsidRDefault="00721C74">
            <w:pPr>
              <w:numPr>
                <w:ilvl w:val="0"/>
                <w:numId w:val="6"/>
              </w:numPr>
              <w:spacing w:after="180" w:line="276" w:lineRule="auto"/>
              <w:ind w:left="347" w:hanging="270"/>
              <w:rPr>
                <w:color w:val="000000"/>
              </w:rPr>
            </w:pPr>
            <w:r>
              <w:t>Focus on a comprehensive review of alignment to the MA standards. Note that EdReports does not review for alignment to MA specific standards.</w:t>
            </w:r>
          </w:p>
          <w:p w14:paraId="3E332517" w14:textId="77777777" w:rsidR="008E5FE1" w:rsidRDefault="00721C74">
            <w:pPr>
              <w:numPr>
                <w:ilvl w:val="0"/>
                <w:numId w:val="6"/>
              </w:numPr>
              <w:spacing w:after="180" w:line="276" w:lineRule="auto"/>
              <w:ind w:left="347" w:hanging="270"/>
              <w:rPr>
                <w:color w:val="000000"/>
              </w:rPr>
            </w:pPr>
            <w:r>
              <w:t>Review for coherence of content and language expectations from on</w:t>
            </w:r>
            <w:r>
              <w:t>e grade to another and from unit to unit.</w:t>
            </w:r>
          </w:p>
          <w:p w14:paraId="4B22B7B9" w14:textId="77777777" w:rsidR="008E5FE1" w:rsidRDefault="00721C74">
            <w:pPr>
              <w:numPr>
                <w:ilvl w:val="0"/>
                <w:numId w:val="38"/>
              </w:numPr>
              <w:pBdr>
                <w:top w:val="nil"/>
                <w:left w:val="nil"/>
                <w:bottom w:val="nil"/>
                <w:right w:val="nil"/>
                <w:between w:val="nil"/>
              </w:pBdr>
              <w:spacing w:after="180" w:line="276" w:lineRule="auto"/>
              <w:ind w:left="347" w:hanging="270"/>
            </w:pPr>
            <w:bookmarkStart w:id="7" w:name="_heading=h.1t3h5sf" w:colFirst="0" w:colLast="0"/>
            <w:bookmarkEnd w:id="7"/>
            <w:r>
              <w:t>For Grades 9–12, be aware that some products are developed primarily for the Traditional or Integrated course pathway, then reorganized to suit the other pathway in ways that do not always preserve coherence.</w:t>
            </w:r>
          </w:p>
        </w:tc>
        <w:tc>
          <w:tcPr>
            <w:tcW w:w="3695" w:type="dxa"/>
          </w:tcPr>
          <w:p w14:paraId="0DEF2248" w14:textId="77777777" w:rsidR="008E5FE1" w:rsidRDefault="00721C74">
            <w:pPr>
              <w:numPr>
                <w:ilvl w:val="0"/>
                <w:numId w:val="38"/>
              </w:numPr>
              <w:spacing w:after="180" w:line="276" w:lineRule="auto"/>
              <w:ind w:left="346" w:hanging="274"/>
              <w:rPr>
                <w:sz w:val="20"/>
                <w:szCs w:val="20"/>
              </w:rPr>
            </w:pPr>
            <w:hyperlink r:id="rId13">
              <w:r>
                <w:rPr>
                  <w:color w:val="1155CC"/>
                  <w:sz w:val="20"/>
                  <w:szCs w:val="20"/>
                  <w:u w:val="single"/>
                </w:rPr>
                <w:t>Standards Navigator</w:t>
              </w:r>
            </w:hyperlink>
            <w:r>
              <w:rPr>
                <w:sz w:val="20"/>
                <w:szCs w:val="20"/>
              </w:rPr>
              <w:t>: standards, related resources, and maps of connections between standards</w:t>
            </w:r>
          </w:p>
          <w:p w14:paraId="2A02D11D" w14:textId="77777777" w:rsidR="008E5FE1" w:rsidRDefault="00721C74">
            <w:pPr>
              <w:numPr>
                <w:ilvl w:val="0"/>
                <w:numId w:val="38"/>
              </w:numPr>
              <w:spacing w:after="180" w:line="276" w:lineRule="auto"/>
              <w:ind w:left="346" w:hanging="274"/>
              <w:rPr>
                <w:sz w:val="20"/>
                <w:szCs w:val="20"/>
              </w:rPr>
            </w:pPr>
            <w:hyperlink r:id="rId14">
              <w:r>
                <w:rPr>
                  <w:color w:val="1155CC"/>
                  <w:sz w:val="20"/>
                  <w:szCs w:val="20"/>
                  <w:u w:val="single"/>
                </w:rPr>
                <w:t>Aligning Curriculum to Massachusetts Standards</w:t>
              </w:r>
            </w:hyperlink>
            <w:r>
              <w:rPr>
                <w:sz w:val="20"/>
                <w:szCs w:val="20"/>
              </w:rPr>
              <w:t xml:space="preserve"> and</w:t>
            </w:r>
            <w:r>
              <w:rPr>
                <w:color w:val="4472C4"/>
                <w:sz w:val="20"/>
                <w:szCs w:val="20"/>
              </w:rPr>
              <w:t xml:space="preserve"> </w:t>
            </w:r>
            <w:hyperlink r:id="rId15">
              <w:r>
                <w:rPr>
                  <w:color w:val="4472C4"/>
                  <w:sz w:val="20"/>
                  <w:szCs w:val="20"/>
                  <w:u w:val="single"/>
                </w:rPr>
                <w:t>Math Revision Highlights</w:t>
              </w:r>
            </w:hyperlink>
            <w:r>
              <w:rPr>
                <w:color w:val="4472C4"/>
                <w:sz w:val="20"/>
                <w:szCs w:val="20"/>
              </w:rPr>
              <w:t xml:space="preserve"> (</w:t>
            </w:r>
            <w:r>
              <w:rPr>
                <w:sz w:val="20"/>
                <w:szCs w:val="20"/>
              </w:rPr>
              <w:t>differences between Massachusetts and Common Core State Standards)</w:t>
            </w:r>
          </w:p>
          <w:p w14:paraId="491D1EC6" w14:textId="77777777" w:rsidR="008E5FE1" w:rsidRDefault="00721C74">
            <w:pPr>
              <w:numPr>
                <w:ilvl w:val="0"/>
                <w:numId w:val="38"/>
              </w:numPr>
              <w:spacing w:after="180" w:line="276" w:lineRule="auto"/>
              <w:ind w:left="346" w:hanging="274"/>
              <w:rPr>
                <w:sz w:val="20"/>
                <w:szCs w:val="20"/>
              </w:rPr>
            </w:pPr>
            <w:r>
              <w:rPr>
                <w:sz w:val="20"/>
                <w:szCs w:val="20"/>
              </w:rPr>
              <w:t xml:space="preserve">Curriculum framework: progression of PK–8 domains (p. </w:t>
            </w:r>
            <w:hyperlink r:id="rId16" w:anchor="page=23">
              <w:r>
                <w:rPr>
                  <w:color w:val="1155CC"/>
                  <w:sz w:val="20"/>
                  <w:szCs w:val="20"/>
                  <w:u w:val="single"/>
                </w:rPr>
                <w:t>20</w:t>
              </w:r>
            </w:hyperlink>
            <w:r>
              <w:rPr>
                <w:sz w:val="20"/>
                <w:szCs w:val="20"/>
              </w:rPr>
              <w:t>), dist</w:t>
            </w:r>
            <w:r>
              <w:rPr>
                <w:sz w:val="20"/>
                <w:szCs w:val="20"/>
              </w:rPr>
              <w:t xml:space="preserve">ribution of Conceptual Category standards across high school model courses (Appendix III, pp. </w:t>
            </w:r>
            <w:hyperlink r:id="rId17" w:anchor="page=183">
              <w:r>
                <w:rPr>
                  <w:color w:val="1155CC"/>
                  <w:sz w:val="20"/>
                  <w:szCs w:val="20"/>
                  <w:u w:val="single"/>
                </w:rPr>
                <w:t>180–190</w:t>
              </w:r>
            </w:hyperlink>
            <w:r>
              <w:rPr>
                <w:sz w:val="20"/>
                <w:szCs w:val="20"/>
              </w:rPr>
              <w:t>)</w:t>
            </w:r>
          </w:p>
          <w:p w14:paraId="7D327894" w14:textId="77777777" w:rsidR="008E5FE1" w:rsidRDefault="00721C74">
            <w:pPr>
              <w:numPr>
                <w:ilvl w:val="0"/>
                <w:numId w:val="38"/>
              </w:numPr>
              <w:spacing w:after="180" w:line="276" w:lineRule="auto"/>
              <w:ind w:left="346" w:hanging="274"/>
              <w:rPr>
                <w:color w:val="1155CC"/>
                <w:sz w:val="20"/>
                <w:szCs w:val="20"/>
              </w:rPr>
            </w:pPr>
            <w:r>
              <w:rPr>
                <w:sz w:val="20"/>
                <w:szCs w:val="20"/>
              </w:rPr>
              <w:t xml:space="preserve">Quick reference guide: </w:t>
            </w:r>
            <w:hyperlink r:id="rId18">
              <w:r>
                <w:rPr>
                  <w:color w:val="1155CC"/>
                  <w:sz w:val="20"/>
                  <w:szCs w:val="20"/>
                  <w:u w:val="single"/>
                </w:rPr>
                <w:t>Making Decisions about Secondary Course Sequences</w:t>
              </w:r>
            </w:hyperlink>
          </w:p>
        </w:tc>
      </w:tr>
      <w:tr w:rsidR="008E5FE1" w14:paraId="247E1C7D" w14:textId="77777777" w:rsidTr="003934DA">
        <w:trPr>
          <w:trHeight w:val="3050"/>
        </w:trPr>
        <w:tc>
          <w:tcPr>
            <w:tcW w:w="1795" w:type="dxa"/>
            <w:vMerge/>
            <w:shd w:val="clear" w:color="auto" w:fill="FDE9D9"/>
          </w:tcPr>
          <w:p w14:paraId="45FF56EE" w14:textId="77777777" w:rsidR="008E5FE1" w:rsidRDefault="008E5FE1">
            <w:pPr>
              <w:widowControl w:val="0"/>
              <w:pBdr>
                <w:top w:val="nil"/>
                <w:left w:val="nil"/>
                <w:bottom w:val="nil"/>
                <w:right w:val="nil"/>
                <w:between w:val="nil"/>
              </w:pBdr>
              <w:spacing w:after="0" w:line="276" w:lineRule="auto"/>
              <w:rPr>
                <w:color w:val="1155CC"/>
                <w:sz w:val="20"/>
                <w:szCs w:val="20"/>
                <w:u w:val="single"/>
              </w:rPr>
            </w:pPr>
          </w:p>
        </w:tc>
        <w:tc>
          <w:tcPr>
            <w:tcW w:w="3420" w:type="dxa"/>
            <w:shd w:val="clear" w:color="auto" w:fill="FDE9D9"/>
          </w:tcPr>
          <w:p w14:paraId="6FB6B0FD" w14:textId="77777777" w:rsidR="008E5FE1" w:rsidRDefault="00721C74">
            <w:pPr>
              <w:numPr>
                <w:ilvl w:val="0"/>
                <w:numId w:val="17"/>
              </w:numPr>
              <w:pBdr>
                <w:top w:val="nil"/>
                <w:left w:val="nil"/>
                <w:bottom w:val="nil"/>
                <w:right w:val="nil"/>
                <w:between w:val="nil"/>
              </w:pBdr>
              <w:spacing w:after="180" w:line="276" w:lineRule="auto"/>
              <w:rPr>
                <w:b/>
              </w:rPr>
            </w:pPr>
            <w:r>
              <w:rPr>
                <w:b/>
              </w:rPr>
              <w:t xml:space="preserve">Materials build conceptual understanding, </w:t>
            </w:r>
            <w:r>
              <w:rPr>
                <w:b/>
              </w:rPr>
              <w:t>procedural fluency, and real-world application in balanced and effective ways.</w:t>
            </w:r>
          </w:p>
        </w:tc>
        <w:tc>
          <w:tcPr>
            <w:tcW w:w="5580" w:type="dxa"/>
          </w:tcPr>
          <w:p w14:paraId="4EB0D385" w14:textId="77777777" w:rsidR="008E5FE1" w:rsidRDefault="00721C74">
            <w:pPr>
              <w:spacing w:after="0" w:line="276" w:lineRule="auto"/>
            </w:pPr>
            <w:r>
              <w:rPr>
                <w:color w:val="000000"/>
              </w:rPr>
              <w:t>To meet expectations, materials must:</w:t>
            </w:r>
          </w:p>
          <w:p w14:paraId="70AF67A9" w14:textId="77777777" w:rsidR="008E5FE1" w:rsidRDefault="00721C74">
            <w:pPr>
              <w:numPr>
                <w:ilvl w:val="0"/>
                <w:numId w:val="26"/>
              </w:numPr>
              <w:pBdr>
                <w:top w:val="nil"/>
                <w:left w:val="nil"/>
                <w:bottom w:val="nil"/>
                <w:right w:val="nil"/>
                <w:between w:val="nil"/>
              </w:pBdr>
              <w:spacing w:after="0" w:line="276" w:lineRule="auto"/>
              <w:rPr>
                <w:color w:val="000000"/>
              </w:rPr>
            </w:pPr>
            <w:r>
              <w:rPr>
                <w:color w:val="000000"/>
              </w:rPr>
              <w:t xml:space="preserve">Balance conceptual understanding, procedural fluency, and real-world application across lessons and units. </w:t>
            </w:r>
          </w:p>
          <w:p w14:paraId="1428B024" w14:textId="77777777" w:rsidR="008E5FE1" w:rsidRDefault="00721C74">
            <w:pPr>
              <w:numPr>
                <w:ilvl w:val="0"/>
                <w:numId w:val="26"/>
              </w:numPr>
              <w:pBdr>
                <w:top w:val="nil"/>
                <w:left w:val="nil"/>
                <w:bottom w:val="nil"/>
                <w:right w:val="nil"/>
                <w:between w:val="nil"/>
              </w:pBdr>
              <w:spacing w:after="0" w:line="276" w:lineRule="auto"/>
              <w:rPr>
                <w:color w:val="000000"/>
              </w:rPr>
            </w:pPr>
            <w:r>
              <w:rPr>
                <w:color w:val="000000"/>
              </w:rPr>
              <w:t xml:space="preserve">Intentionally sequence conceptual understanding using visual models and/or concrete examples at all grade levels. </w:t>
            </w:r>
          </w:p>
          <w:p w14:paraId="77F9FE5C" w14:textId="77777777" w:rsidR="008E5FE1" w:rsidRDefault="00721C74">
            <w:pPr>
              <w:numPr>
                <w:ilvl w:val="0"/>
                <w:numId w:val="26"/>
              </w:numPr>
              <w:pBdr>
                <w:top w:val="nil"/>
                <w:left w:val="nil"/>
                <w:bottom w:val="nil"/>
                <w:right w:val="nil"/>
                <w:between w:val="nil"/>
              </w:pBdr>
              <w:spacing w:after="0" w:line="276" w:lineRule="auto"/>
              <w:rPr>
                <w:color w:val="000000"/>
              </w:rPr>
            </w:pPr>
            <w:r>
              <w:rPr>
                <w:color w:val="000000"/>
              </w:rPr>
              <w:t xml:space="preserve">Develop </w:t>
            </w:r>
            <w:r>
              <w:rPr>
                <w:i/>
                <w:color w:val="000000"/>
              </w:rPr>
              <w:t>procedural fluency</w:t>
            </w:r>
            <w:r>
              <w:rPr>
                <w:color w:val="000000"/>
              </w:rPr>
              <w:t xml:space="preserve"> by foc</w:t>
            </w:r>
            <w:r>
              <w:rPr>
                <w:color w:val="000000"/>
              </w:rPr>
              <w:t xml:space="preserve">using on the act of constructing quantitative relationships rather than memorizing. Procedural fluency directly </w:t>
            </w:r>
            <w:r>
              <w:rPr>
                <w:color w:val="000000"/>
              </w:rPr>
              <w:lastRenderedPageBreak/>
              <w:t xml:space="preserve">connects conceptual models and real-world applications. </w:t>
            </w:r>
          </w:p>
          <w:p w14:paraId="4CA012D8" w14:textId="77777777" w:rsidR="008E5FE1" w:rsidRDefault="008E5FE1">
            <w:pPr>
              <w:spacing w:after="0" w:line="276" w:lineRule="auto"/>
              <w:rPr>
                <w:color w:val="000000"/>
              </w:rPr>
            </w:pPr>
          </w:p>
          <w:p w14:paraId="33FFD963" w14:textId="77777777" w:rsidR="008E5FE1" w:rsidRDefault="00721C74">
            <w:pPr>
              <w:spacing w:after="180" w:line="276" w:lineRule="auto"/>
              <w:rPr>
                <w:color w:val="000000"/>
              </w:rPr>
            </w:pPr>
            <w:r>
              <w:rPr>
                <w:color w:val="000000"/>
              </w:rPr>
              <w:t xml:space="preserve">Engage with </w:t>
            </w:r>
            <w:r>
              <w:rPr>
                <w:i/>
                <w:color w:val="000000"/>
              </w:rPr>
              <w:t>real-world applications</w:t>
            </w:r>
            <w:r>
              <w:rPr>
                <w:color w:val="000000"/>
              </w:rPr>
              <w:t xml:space="preserve"> that</w:t>
            </w:r>
          </w:p>
          <w:p w14:paraId="79437A89" w14:textId="77777777" w:rsidR="008E5FE1" w:rsidRDefault="00721C74">
            <w:pPr>
              <w:numPr>
                <w:ilvl w:val="0"/>
                <w:numId w:val="28"/>
              </w:numPr>
              <w:pBdr>
                <w:top w:val="nil"/>
                <w:left w:val="nil"/>
                <w:bottom w:val="nil"/>
                <w:right w:val="nil"/>
                <w:between w:val="nil"/>
              </w:pBdr>
              <w:spacing w:after="0" w:line="276" w:lineRule="auto"/>
              <w:rPr>
                <w:color w:val="000000"/>
              </w:rPr>
            </w:pPr>
            <w:r>
              <w:rPr>
                <w:color w:val="000000"/>
              </w:rPr>
              <w:t xml:space="preserve">Approximate scenarios students may </w:t>
            </w:r>
            <w:r>
              <w:rPr>
                <w:color w:val="000000"/>
              </w:rPr>
              <w:t>encounter in their everyday lives or future careers, or help them to understand their lives in age-appropriate ways,</w:t>
            </w:r>
          </w:p>
          <w:p w14:paraId="2CC0D63A" w14:textId="77777777" w:rsidR="008E5FE1" w:rsidRDefault="00721C74">
            <w:pPr>
              <w:numPr>
                <w:ilvl w:val="0"/>
                <w:numId w:val="28"/>
              </w:numPr>
              <w:pBdr>
                <w:top w:val="nil"/>
                <w:left w:val="nil"/>
                <w:bottom w:val="nil"/>
                <w:right w:val="nil"/>
                <w:between w:val="nil"/>
              </w:pBdr>
              <w:spacing w:after="0" w:line="276" w:lineRule="auto"/>
              <w:rPr>
                <w:color w:val="000000"/>
              </w:rPr>
            </w:pPr>
            <w:r>
              <w:rPr>
                <w:color w:val="000000"/>
              </w:rPr>
              <w:t>Include real-world data that reveal systemic inequities, allow students to examine their perspectives and others’, and help them advance th</w:t>
            </w:r>
            <w:r>
              <w:rPr>
                <w:color w:val="000000"/>
              </w:rPr>
              <w:t>eir thinking and actions about equity, power, and anti-racism.</w:t>
            </w:r>
          </w:p>
          <w:p w14:paraId="7CE73DAB" w14:textId="77777777" w:rsidR="008E5FE1" w:rsidRDefault="00721C74">
            <w:pPr>
              <w:numPr>
                <w:ilvl w:val="0"/>
                <w:numId w:val="28"/>
              </w:numPr>
              <w:pBdr>
                <w:top w:val="nil"/>
                <w:left w:val="nil"/>
                <w:bottom w:val="nil"/>
                <w:right w:val="nil"/>
                <w:between w:val="nil"/>
              </w:pBdr>
              <w:spacing w:after="180" w:line="276" w:lineRule="auto"/>
              <w:rPr>
                <w:color w:val="000000"/>
              </w:rPr>
            </w:pPr>
            <w:r>
              <w:rPr>
                <w:color w:val="000000"/>
              </w:rPr>
              <w:t>Actively draw upon students’ diverse backgrounds, including students generating their own examples to help them deepen learning and make real-life connections.</w:t>
            </w:r>
          </w:p>
          <w:p w14:paraId="4E35B7B7" w14:textId="77777777" w:rsidR="008E5FE1" w:rsidRDefault="00721C74">
            <w:pPr>
              <w:spacing w:after="180" w:line="276" w:lineRule="auto"/>
              <w:rPr>
                <w:color w:val="000000"/>
              </w:rPr>
            </w:pPr>
            <w:r>
              <w:rPr>
                <w:color w:val="000000"/>
              </w:rPr>
              <w:t>All students should engage with m</w:t>
            </w:r>
            <w:r>
              <w:rPr>
                <w:color w:val="000000"/>
              </w:rPr>
              <w:t>eaningful, culturally, linguistically, and historically relevant, real-world problems in school every day, and math curriculum should contribute substantively to such engagement.</w:t>
            </w:r>
          </w:p>
        </w:tc>
        <w:tc>
          <w:tcPr>
            <w:tcW w:w="3695" w:type="dxa"/>
          </w:tcPr>
          <w:p w14:paraId="7DD5C536" w14:textId="77777777" w:rsidR="008E5FE1" w:rsidRDefault="00721C74">
            <w:pPr>
              <w:numPr>
                <w:ilvl w:val="0"/>
                <w:numId w:val="20"/>
              </w:numPr>
              <w:spacing w:after="180" w:line="276" w:lineRule="auto"/>
              <w:ind w:left="351" w:hanging="270"/>
              <w:rPr>
                <w:sz w:val="20"/>
                <w:szCs w:val="20"/>
              </w:rPr>
            </w:pPr>
            <w:hyperlink r:id="rId19">
              <w:r>
                <w:rPr>
                  <w:color w:val="1155CC"/>
                  <w:sz w:val="20"/>
                  <w:szCs w:val="20"/>
                  <w:u w:val="single"/>
                </w:rPr>
                <w:t>Neighborhood Health Ratios</w:t>
              </w:r>
            </w:hyperlink>
            <w:r>
              <w:rPr>
                <w:sz w:val="20"/>
                <w:szCs w:val="20"/>
              </w:rPr>
              <w:t xml:space="preserve"> (DESE STEM Ambassadors, 2019)</w:t>
            </w:r>
          </w:p>
          <w:p w14:paraId="0CFBB1BD" w14:textId="77777777" w:rsidR="008E5FE1" w:rsidRDefault="00721C74">
            <w:pPr>
              <w:numPr>
                <w:ilvl w:val="0"/>
                <w:numId w:val="20"/>
              </w:numPr>
              <w:spacing w:after="180" w:line="276" w:lineRule="auto"/>
              <w:ind w:left="351" w:hanging="270"/>
              <w:rPr>
                <w:sz w:val="20"/>
                <w:szCs w:val="20"/>
              </w:rPr>
            </w:pPr>
            <w:hyperlink r:id="rId20">
              <w:r>
                <w:rPr>
                  <w:color w:val="1155CC"/>
                  <w:sz w:val="20"/>
                  <w:szCs w:val="20"/>
                  <w:u w:val="single"/>
                </w:rPr>
                <w:t>The Cu</w:t>
              </w:r>
              <w:r>
                <w:rPr>
                  <w:color w:val="1155CC"/>
                  <w:sz w:val="20"/>
                  <w:szCs w:val="20"/>
                  <w:u w:val="single"/>
                </w:rPr>
                <w:t>lturally Responsive-Sustaining STEAM Curriculum Scorecard</w:t>
              </w:r>
            </w:hyperlink>
            <w:r>
              <w:rPr>
                <w:color w:val="1155CC"/>
                <w:sz w:val="20"/>
                <w:szCs w:val="20"/>
              </w:rPr>
              <w:t xml:space="preserve"> </w:t>
            </w:r>
            <w:r>
              <w:rPr>
                <w:sz w:val="20"/>
                <w:szCs w:val="20"/>
              </w:rPr>
              <w:t>(New York: Metropolitan Center for Research on Equity and the Transformation of Schools, NYU, 2021)</w:t>
            </w:r>
          </w:p>
          <w:p w14:paraId="2EDE62B9" w14:textId="77777777" w:rsidR="008E5FE1" w:rsidRDefault="008E5FE1">
            <w:pPr>
              <w:spacing w:after="180" w:line="276" w:lineRule="auto"/>
              <w:rPr>
                <w:sz w:val="20"/>
                <w:szCs w:val="20"/>
              </w:rPr>
            </w:pPr>
          </w:p>
        </w:tc>
      </w:tr>
      <w:tr w:rsidR="008E5FE1" w14:paraId="53F185A0" w14:textId="77777777" w:rsidTr="003934DA">
        <w:tc>
          <w:tcPr>
            <w:tcW w:w="1795" w:type="dxa"/>
            <w:vMerge w:val="restart"/>
            <w:shd w:val="clear" w:color="auto" w:fill="FDE9D9"/>
          </w:tcPr>
          <w:p w14:paraId="1517B39D" w14:textId="77777777" w:rsidR="008E5FE1" w:rsidRDefault="00721C74">
            <w:pPr>
              <w:pBdr>
                <w:top w:val="nil"/>
                <w:left w:val="nil"/>
                <w:bottom w:val="nil"/>
                <w:right w:val="nil"/>
                <w:between w:val="nil"/>
              </w:pBdr>
              <w:spacing w:after="180" w:line="276" w:lineRule="auto"/>
              <w:rPr>
                <w:b/>
                <w:color w:val="000000"/>
              </w:rPr>
            </w:pPr>
            <w:r>
              <w:rPr>
                <w:b/>
                <w:color w:val="000000"/>
              </w:rPr>
              <w:t>2. Grade-Appropriate Practices</w:t>
            </w:r>
          </w:p>
          <w:p w14:paraId="49525D75" w14:textId="77777777" w:rsidR="008E5FE1" w:rsidRDefault="008E5FE1">
            <w:pPr>
              <w:spacing w:after="180" w:line="276" w:lineRule="auto"/>
              <w:rPr>
                <w:i/>
                <w:sz w:val="20"/>
                <w:szCs w:val="20"/>
              </w:rPr>
            </w:pPr>
          </w:p>
        </w:tc>
        <w:tc>
          <w:tcPr>
            <w:tcW w:w="3420" w:type="dxa"/>
            <w:shd w:val="clear" w:color="auto" w:fill="FDE9D9"/>
          </w:tcPr>
          <w:p w14:paraId="77D84005" w14:textId="77777777" w:rsidR="008E5FE1" w:rsidRDefault="00721C74">
            <w:pPr>
              <w:numPr>
                <w:ilvl w:val="0"/>
                <w:numId w:val="19"/>
              </w:numPr>
              <w:pBdr>
                <w:top w:val="nil"/>
                <w:left w:val="nil"/>
                <w:bottom w:val="nil"/>
                <w:right w:val="nil"/>
                <w:between w:val="nil"/>
              </w:pBdr>
              <w:spacing w:after="180" w:line="276" w:lineRule="auto"/>
              <w:rPr>
                <w:b/>
              </w:rPr>
            </w:pPr>
            <w:r>
              <w:rPr>
                <w:b/>
              </w:rPr>
              <w:t xml:space="preserve">Materials encourage students to use multiple representations when solving problems. </w:t>
            </w:r>
          </w:p>
        </w:tc>
        <w:tc>
          <w:tcPr>
            <w:tcW w:w="5580" w:type="dxa"/>
          </w:tcPr>
          <w:p w14:paraId="3E1CFCF2" w14:textId="77777777" w:rsidR="008E5FE1" w:rsidRDefault="00721C74">
            <w:pPr>
              <w:keepNext/>
              <w:numPr>
                <w:ilvl w:val="0"/>
                <w:numId w:val="9"/>
              </w:numPr>
              <w:shd w:val="clear" w:color="auto" w:fill="FFFFFF"/>
              <w:spacing w:after="180" w:line="276" w:lineRule="auto"/>
              <w:ind w:left="346" w:hanging="274"/>
            </w:pPr>
            <w:r>
              <w:rPr>
                <w:i/>
              </w:rPr>
              <w:t xml:space="preserve">Multiple representations </w:t>
            </w:r>
            <w:r>
              <w:t>might take visual, physical, symbolic, contextual, or linguistically inclusive verbal forms and include tables, graphs, drawings, diagrams, or mod</w:t>
            </w:r>
            <w:r>
              <w:t>els.</w:t>
            </w:r>
          </w:p>
          <w:p w14:paraId="7920B6F0" w14:textId="77777777" w:rsidR="008E5FE1" w:rsidRDefault="00721C74">
            <w:pPr>
              <w:keepNext/>
              <w:numPr>
                <w:ilvl w:val="0"/>
                <w:numId w:val="9"/>
              </w:numPr>
              <w:shd w:val="clear" w:color="auto" w:fill="FFFFFF"/>
              <w:spacing w:after="180" w:line="276" w:lineRule="auto"/>
              <w:ind w:left="346" w:hanging="274"/>
            </w:pPr>
            <w:r>
              <w:t xml:space="preserve">To meet expectations, materials must provide opportunities for students to intentionally move among </w:t>
            </w:r>
            <w:r>
              <w:lastRenderedPageBreak/>
              <w:t>multiple representations and discover and explain how they connect to one another.</w:t>
            </w:r>
          </w:p>
          <w:p w14:paraId="77170C05" w14:textId="77777777" w:rsidR="008E5FE1" w:rsidRDefault="00721C74">
            <w:pPr>
              <w:numPr>
                <w:ilvl w:val="0"/>
                <w:numId w:val="12"/>
              </w:numPr>
              <w:pBdr>
                <w:top w:val="nil"/>
                <w:left w:val="nil"/>
                <w:bottom w:val="nil"/>
                <w:right w:val="nil"/>
                <w:between w:val="nil"/>
              </w:pBdr>
              <w:spacing w:after="180" w:line="276" w:lineRule="auto"/>
              <w:ind w:left="346" w:hanging="274"/>
            </w:pPr>
            <w:r>
              <w:t>This indicator relates most directly to SMPs 1, 2, and 4 but connect</w:t>
            </w:r>
            <w:r>
              <w:t>s to other practices as well.</w:t>
            </w:r>
          </w:p>
        </w:tc>
        <w:tc>
          <w:tcPr>
            <w:tcW w:w="3695" w:type="dxa"/>
            <w:vMerge w:val="restart"/>
          </w:tcPr>
          <w:p w14:paraId="4A351F51" w14:textId="77777777" w:rsidR="008E5FE1" w:rsidRDefault="00721C74">
            <w:pPr>
              <w:keepNext/>
              <w:spacing w:after="0" w:line="276" w:lineRule="auto"/>
              <w:rPr>
                <w:sz w:val="20"/>
                <w:szCs w:val="20"/>
              </w:rPr>
            </w:pPr>
            <w:r>
              <w:rPr>
                <w:sz w:val="20"/>
                <w:szCs w:val="20"/>
              </w:rPr>
              <w:lastRenderedPageBreak/>
              <w:t xml:space="preserve">Curriculum framework, Appendix II: standards for mathematical practice (SMPs) in </w:t>
            </w:r>
          </w:p>
          <w:p w14:paraId="72FF37DF" w14:textId="77777777" w:rsidR="008E5FE1" w:rsidRDefault="00721C74">
            <w:pPr>
              <w:keepNext/>
              <w:numPr>
                <w:ilvl w:val="1"/>
                <w:numId w:val="13"/>
              </w:numPr>
              <w:spacing w:after="0" w:line="276" w:lineRule="auto"/>
              <w:ind w:left="621" w:hanging="274"/>
              <w:rPr>
                <w:sz w:val="20"/>
                <w:szCs w:val="20"/>
              </w:rPr>
            </w:pPr>
            <w:r>
              <w:rPr>
                <w:sz w:val="20"/>
                <w:szCs w:val="20"/>
              </w:rPr>
              <w:t xml:space="preserve">PK–5 (pp. </w:t>
            </w:r>
            <w:hyperlink r:id="rId21" w:anchor="page=174">
              <w:r>
                <w:rPr>
                  <w:color w:val="1155CC"/>
                  <w:sz w:val="20"/>
                  <w:szCs w:val="20"/>
                  <w:u w:val="single"/>
                </w:rPr>
                <w:t>171–173</w:t>
              </w:r>
            </w:hyperlink>
            <w:r>
              <w:rPr>
                <w:sz w:val="20"/>
                <w:szCs w:val="20"/>
              </w:rPr>
              <w:t>)</w:t>
            </w:r>
          </w:p>
          <w:p w14:paraId="440F50DC" w14:textId="77777777" w:rsidR="008E5FE1" w:rsidRDefault="00721C74">
            <w:pPr>
              <w:keepNext/>
              <w:numPr>
                <w:ilvl w:val="1"/>
                <w:numId w:val="13"/>
              </w:numPr>
              <w:spacing w:after="0" w:line="276" w:lineRule="auto"/>
              <w:ind w:left="621" w:hanging="274"/>
              <w:rPr>
                <w:sz w:val="20"/>
                <w:szCs w:val="20"/>
              </w:rPr>
            </w:pPr>
            <w:r>
              <w:rPr>
                <w:sz w:val="20"/>
                <w:szCs w:val="20"/>
              </w:rPr>
              <w:t xml:space="preserve">6–8 (pp. </w:t>
            </w:r>
            <w:hyperlink r:id="rId22" w:anchor="page=177">
              <w:r>
                <w:rPr>
                  <w:color w:val="1155CC"/>
                  <w:sz w:val="20"/>
                  <w:szCs w:val="20"/>
                  <w:u w:val="single"/>
                </w:rPr>
                <w:t>174–176</w:t>
              </w:r>
            </w:hyperlink>
            <w:r>
              <w:rPr>
                <w:sz w:val="20"/>
                <w:szCs w:val="20"/>
              </w:rPr>
              <w:t>)</w:t>
            </w:r>
          </w:p>
          <w:p w14:paraId="1A9DE2AA" w14:textId="77777777" w:rsidR="008E5FE1" w:rsidRDefault="00721C74">
            <w:pPr>
              <w:keepNext/>
              <w:numPr>
                <w:ilvl w:val="1"/>
                <w:numId w:val="13"/>
              </w:numPr>
              <w:spacing w:after="0" w:line="276" w:lineRule="auto"/>
              <w:ind w:left="621" w:hanging="274"/>
              <w:rPr>
                <w:sz w:val="20"/>
                <w:szCs w:val="20"/>
              </w:rPr>
            </w:pPr>
            <w:r>
              <w:rPr>
                <w:sz w:val="20"/>
                <w:szCs w:val="20"/>
              </w:rPr>
              <w:t xml:space="preserve">9–12 (pp. </w:t>
            </w:r>
            <w:hyperlink r:id="rId23" w:anchor="page=180">
              <w:r>
                <w:rPr>
                  <w:color w:val="1155CC"/>
                  <w:sz w:val="20"/>
                  <w:szCs w:val="20"/>
                  <w:u w:val="single"/>
                </w:rPr>
                <w:t>177–179</w:t>
              </w:r>
            </w:hyperlink>
            <w:r>
              <w:rPr>
                <w:sz w:val="20"/>
                <w:szCs w:val="20"/>
              </w:rPr>
              <w:t>)</w:t>
            </w:r>
          </w:p>
          <w:p w14:paraId="360D45F6" w14:textId="77777777" w:rsidR="008E5FE1" w:rsidRDefault="008E5FE1">
            <w:pPr>
              <w:keepNext/>
              <w:spacing w:after="0" w:line="276" w:lineRule="auto"/>
              <w:ind w:left="621"/>
              <w:rPr>
                <w:sz w:val="20"/>
                <w:szCs w:val="20"/>
              </w:rPr>
            </w:pPr>
          </w:p>
          <w:p w14:paraId="3641BCAB" w14:textId="77777777" w:rsidR="008E5FE1" w:rsidRDefault="00721C74">
            <w:pPr>
              <w:keepNext/>
              <w:numPr>
                <w:ilvl w:val="0"/>
                <w:numId w:val="13"/>
              </w:numPr>
              <w:spacing w:after="0" w:line="276" w:lineRule="auto"/>
              <w:ind w:left="346" w:hanging="274"/>
              <w:rPr>
                <w:sz w:val="20"/>
                <w:szCs w:val="20"/>
              </w:rPr>
            </w:pPr>
            <w:hyperlink r:id="rId24">
              <w:r>
                <w:rPr>
                  <w:color w:val="0000FF"/>
                  <w:sz w:val="20"/>
                  <w:szCs w:val="20"/>
                  <w:u w:val="single"/>
                </w:rPr>
                <w:t>Principles for the Design of Mathematics Curricula: P</w:t>
              </w:r>
              <w:r>
                <w:rPr>
                  <w:color w:val="0000FF"/>
                  <w:sz w:val="20"/>
                  <w:szCs w:val="20"/>
                  <w:u w:val="single"/>
                </w:rPr>
                <w:t>romoting Language and Content Development</w:t>
              </w:r>
            </w:hyperlink>
            <w:r>
              <w:rPr>
                <w:sz w:val="20"/>
                <w:szCs w:val="20"/>
              </w:rPr>
              <w:t xml:space="preserve"> (Stanford University)</w:t>
            </w:r>
            <w:r>
              <w:rPr>
                <w:sz w:val="20"/>
                <w:szCs w:val="20"/>
              </w:rPr>
              <w:br/>
            </w:r>
          </w:p>
          <w:p w14:paraId="12EFBED8" w14:textId="77777777" w:rsidR="008E5FE1" w:rsidRDefault="00721C74">
            <w:pPr>
              <w:keepNext/>
              <w:numPr>
                <w:ilvl w:val="0"/>
                <w:numId w:val="13"/>
              </w:numPr>
              <w:spacing w:after="0" w:line="276" w:lineRule="auto"/>
              <w:ind w:left="346" w:hanging="274"/>
              <w:rPr>
                <w:sz w:val="20"/>
                <w:szCs w:val="20"/>
              </w:rPr>
            </w:pPr>
            <w:hyperlink r:id="rId25">
              <w:r>
                <w:rPr>
                  <w:color w:val="0000FF"/>
                  <w:sz w:val="20"/>
                  <w:szCs w:val="20"/>
                  <w:u w:val="single"/>
                </w:rPr>
                <w:t>Math Guidelines: Ar</w:t>
              </w:r>
              <w:r>
                <w:rPr>
                  <w:color w:val="0000FF"/>
                  <w:sz w:val="20"/>
                  <w:szCs w:val="20"/>
                  <w:u w:val="single"/>
                </w:rPr>
                <w:t>ea of Focus I; Interdependence of Mathematical Content, Practices, and Language</w:t>
              </w:r>
            </w:hyperlink>
            <w:r>
              <w:rPr>
                <w:sz w:val="20"/>
                <w:szCs w:val="20"/>
              </w:rPr>
              <w:t xml:space="preserve"> (The English Learner Success Forum, ELSF, p.10)</w:t>
            </w:r>
            <w:r>
              <w:rPr>
                <w:sz w:val="20"/>
                <w:szCs w:val="20"/>
              </w:rPr>
              <w:br/>
            </w:r>
          </w:p>
          <w:p w14:paraId="12792C54" w14:textId="77777777" w:rsidR="008E5FE1" w:rsidRDefault="00721C74">
            <w:pPr>
              <w:keepNext/>
              <w:numPr>
                <w:ilvl w:val="0"/>
                <w:numId w:val="13"/>
              </w:numPr>
              <w:spacing w:after="0" w:line="276" w:lineRule="auto"/>
              <w:ind w:left="346" w:hanging="274"/>
              <w:rPr>
                <w:sz w:val="20"/>
                <w:szCs w:val="20"/>
              </w:rPr>
            </w:pPr>
            <w:r>
              <w:rPr>
                <w:sz w:val="20"/>
                <w:szCs w:val="20"/>
              </w:rPr>
              <w:t>Quick reference guides: SMPs in</w:t>
            </w:r>
          </w:p>
          <w:p w14:paraId="4DA64D69" w14:textId="77777777" w:rsidR="008E5FE1" w:rsidRDefault="00721C74">
            <w:pPr>
              <w:keepNext/>
              <w:numPr>
                <w:ilvl w:val="1"/>
                <w:numId w:val="13"/>
              </w:numPr>
              <w:spacing w:after="0" w:line="276" w:lineRule="auto"/>
              <w:ind w:left="621" w:hanging="274"/>
              <w:rPr>
                <w:color w:val="1155CC"/>
                <w:sz w:val="20"/>
                <w:szCs w:val="20"/>
              </w:rPr>
            </w:pPr>
            <w:hyperlink r:id="rId26">
              <w:r>
                <w:rPr>
                  <w:color w:val="1155CC"/>
                  <w:sz w:val="20"/>
                  <w:szCs w:val="20"/>
                  <w:u w:val="single"/>
                </w:rPr>
                <w:t>PK–2</w:t>
              </w:r>
            </w:hyperlink>
          </w:p>
          <w:p w14:paraId="7FF48623" w14:textId="77777777" w:rsidR="008E5FE1" w:rsidRDefault="00721C74">
            <w:pPr>
              <w:keepNext/>
              <w:numPr>
                <w:ilvl w:val="1"/>
                <w:numId w:val="13"/>
              </w:numPr>
              <w:spacing w:after="0" w:line="276" w:lineRule="auto"/>
              <w:ind w:left="621" w:hanging="274"/>
              <w:rPr>
                <w:color w:val="1155CC"/>
                <w:sz w:val="20"/>
                <w:szCs w:val="20"/>
              </w:rPr>
            </w:pPr>
            <w:hyperlink r:id="rId27">
              <w:r>
                <w:rPr>
                  <w:color w:val="1155CC"/>
                  <w:sz w:val="20"/>
                  <w:szCs w:val="20"/>
                  <w:u w:val="single"/>
                </w:rPr>
                <w:t>3–5</w:t>
              </w:r>
            </w:hyperlink>
          </w:p>
          <w:p w14:paraId="62CAFA7A" w14:textId="77777777" w:rsidR="008E5FE1" w:rsidRDefault="00721C74">
            <w:pPr>
              <w:keepNext/>
              <w:numPr>
                <w:ilvl w:val="1"/>
                <w:numId w:val="13"/>
              </w:numPr>
              <w:spacing w:after="0" w:line="276" w:lineRule="auto"/>
              <w:ind w:left="621" w:hanging="274"/>
              <w:rPr>
                <w:color w:val="1155CC"/>
                <w:sz w:val="20"/>
                <w:szCs w:val="20"/>
              </w:rPr>
            </w:pPr>
            <w:hyperlink r:id="rId28">
              <w:r>
                <w:rPr>
                  <w:color w:val="1155CC"/>
                  <w:sz w:val="20"/>
                  <w:szCs w:val="20"/>
                  <w:u w:val="single"/>
                </w:rPr>
                <w:t>6–8</w:t>
              </w:r>
            </w:hyperlink>
          </w:p>
          <w:p w14:paraId="1FF80DA3" w14:textId="77777777" w:rsidR="008E5FE1" w:rsidRDefault="00721C74">
            <w:pPr>
              <w:keepNext/>
              <w:numPr>
                <w:ilvl w:val="1"/>
                <w:numId w:val="13"/>
              </w:numPr>
              <w:spacing w:after="0" w:line="276" w:lineRule="auto"/>
              <w:ind w:left="621" w:hanging="274"/>
              <w:rPr>
                <w:color w:val="1155CC"/>
                <w:sz w:val="20"/>
                <w:szCs w:val="20"/>
              </w:rPr>
            </w:pPr>
            <w:hyperlink r:id="rId29">
              <w:r>
                <w:rPr>
                  <w:color w:val="1155CC"/>
                  <w:sz w:val="20"/>
                  <w:szCs w:val="20"/>
                  <w:u w:val="single"/>
                </w:rPr>
                <w:t>9–12</w:t>
              </w:r>
            </w:hyperlink>
            <w:r>
              <w:rPr>
                <w:color w:val="1155CC"/>
                <w:sz w:val="20"/>
                <w:szCs w:val="20"/>
              </w:rPr>
              <w:t xml:space="preserve"> </w:t>
            </w:r>
          </w:p>
          <w:p w14:paraId="0A2FEE99" w14:textId="77777777" w:rsidR="008E5FE1" w:rsidRDefault="008E5FE1">
            <w:pPr>
              <w:keepNext/>
              <w:spacing w:after="0" w:line="276" w:lineRule="auto"/>
              <w:ind w:left="621"/>
              <w:rPr>
                <w:color w:val="1155CC"/>
                <w:sz w:val="20"/>
                <w:szCs w:val="20"/>
              </w:rPr>
            </w:pPr>
          </w:p>
          <w:p w14:paraId="6BE128E3" w14:textId="77777777" w:rsidR="008E5FE1" w:rsidRDefault="00721C74">
            <w:pPr>
              <w:keepNext/>
              <w:numPr>
                <w:ilvl w:val="0"/>
                <w:numId w:val="13"/>
              </w:numPr>
              <w:spacing w:after="0" w:line="276" w:lineRule="auto"/>
              <w:ind w:left="346" w:hanging="274"/>
              <w:rPr>
                <w:sz w:val="20"/>
                <w:szCs w:val="20"/>
              </w:rPr>
            </w:pPr>
            <w:r>
              <w:rPr>
                <w:sz w:val="20"/>
                <w:szCs w:val="20"/>
              </w:rPr>
              <w:t>ELA/literacy curriculum framework:</w:t>
            </w:r>
          </w:p>
          <w:p w14:paraId="37EA8D58" w14:textId="77777777" w:rsidR="008E5FE1" w:rsidRDefault="00721C74">
            <w:pPr>
              <w:keepNext/>
              <w:numPr>
                <w:ilvl w:val="1"/>
                <w:numId w:val="13"/>
              </w:numPr>
              <w:spacing w:after="0" w:line="276" w:lineRule="auto"/>
              <w:ind w:left="621" w:hanging="274"/>
              <w:rPr>
                <w:sz w:val="20"/>
                <w:szCs w:val="20"/>
              </w:rPr>
            </w:pPr>
            <w:r>
              <w:rPr>
                <w:sz w:val="20"/>
                <w:szCs w:val="20"/>
              </w:rPr>
              <w:t xml:space="preserve">PK–5 standards for ELA and literacy in the content areas (pp. </w:t>
            </w:r>
            <w:hyperlink r:id="rId30" w:anchor="page=23">
              <w:r>
                <w:rPr>
                  <w:color w:val="1155CC"/>
                  <w:sz w:val="20"/>
                  <w:szCs w:val="20"/>
                  <w:u w:val="single"/>
                </w:rPr>
                <w:t>20–73</w:t>
              </w:r>
            </w:hyperlink>
            <w:r>
              <w:rPr>
                <w:sz w:val="20"/>
                <w:szCs w:val="20"/>
              </w:rPr>
              <w:t>)</w:t>
            </w:r>
          </w:p>
          <w:p w14:paraId="3C3D2CA1" w14:textId="77777777" w:rsidR="008E5FE1" w:rsidRDefault="00721C74">
            <w:pPr>
              <w:keepNext/>
              <w:numPr>
                <w:ilvl w:val="1"/>
                <w:numId w:val="13"/>
              </w:numPr>
              <w:spacing w:after="0" w:line="276" w:lineRule="auto"/>
              <w:ind w:left="621" w:hanging="274"/>
              <w:rPr>
                <w:sz w:val="20"/>
                <w:szCs w:val="20"/>
              </w:rPr>
            </w:pPr>
            <w:r>
              <w:rPr>
                <w:sz w:val="20"/>
                <w:szCs w:val="20"/>
              </w:rPr>
              <w:t xml:space="preserve">Guidance on literacy and mathematics in PK–5 (pp. </w:t>
            </w:r>
            <w:hyperlink r:id="rId31" w:anchor="page=79">
              <w:r>
                <w:rPr>
                  <w:color w:val="1155CC"/>
                  <w:sz w:val="20"/>
                  <w:szCs w:val="20"/>
                  <w:u w:val="single"/>
                </w:rPr>
                <w:t>76–78</w:t>
              </w:r>
            </w:hyperlink>
            <w:r>
              <w:rPr>
                <w:sz w:val="20"/>
                <w:szCs w:val="20"/>
              </w:rPr>
              <w:t>)</w:t>
            </w:r>
          </w:p>
          <w:p w14:paraId="11E5F728" w14:textId="77777777" w:rsidR="008E5FE1" w:rsidRDefault="00721C74">
            <w:pPr>
              <w:keepNext/>
              <w:numPr>
                <w:ilvl w:val="1"/>
                <w:numId w:val="13"/>
              </w:numPr>
              <w:spacing w:after="0" w:line="276" w:lineRule="auto"/>
              <w:ind w:left="621" w:hanging="274"/>
              <w:rPr>
                <w:sz w:val="20"/>
                <w:szCs w:val="20"/>
              </w:rPr>
            </w:pPr>
            <w:r>
              <w:rPr>
                <w:sz w:val="20"/>
                <w:szCs w:val="20"/>
              </w:rPr>
              <w:t xml:space="preserve">6–12 standards for literacy in the content areas (pp. </w:t>
            </w:r>
            <w:hyperlink r:id="rId32" w:anchor="page=133">
              <w:r>
                <w:rPr>
                  <w:color w:val="1155CC"/>
                  <w:sz w:val="20"/>
                  <w:szCs w:val="20"/>
                  <w:u w:val="single"/>
                </w:rPr>
                <w:t>130–150</w:t>
              </w:r>
            </w:hyperlink>
            <w:r>
              <w:rPr>
                <w:sz w:val="20"/>
                <w:szCs w:val="20"/>
              </w:rPr>
              <w:t>)</w:t>
            </w:r>
          </w:p>
          <w:p w14:paraId="3E4764C4" w14:textId="77777777" w:rsidR="008E5FE1" w:rsidRDefault="00721C74">
            <w:pPr>
              <w:numPr>
                <w:ilvl w:val="0"/>
                <w:numId w:val="10"/>
              </w:numPr>
              <w:spacing w:after="0" w:line="276" w:lineRule="auto"/>
              <w:ind w:left="621" w:hanging="274"/>
              <w:rPr>
                <w:sz w:val="20"/>
                <w:szCs w:val="20"/>
              </w:rPr>
            </w:pPr>
            <w:r>
              <w:rPr>
                <w:sz w:val="20"/>
                <w:szCs w:val="20"/>
              </w:rPr>
              <w:t xml:space="preserve">Guidance on literacy in the content areas in 6–12 (pp. </w:t>
            </w:r>
            <w:hyperlink r:id="rId33" w:anchor="page=154">
              <w:r>
                <w:rPr>
                  <w:color w:val="1155CC"/>
                  <w:sz w:val="20"/>
                  <w:szCs w:val="20"/>
                  <w:u w:val="single"/>
                </w:rPr>
                <w:t>151–153</w:t>
              </w:r>
            </w:hyperlink>
            <w:r>
              <w:rPr>
                <w:sz w:val="20"/>
                <w:szCs w:val="20"/>
              </w:rPr>
              <w:t>)</w:t>
            </w:r>
          </w:p>
        </w:tc>
      </w:tr>
      <w:tr w:rsidR="008E5FE1" w14:paraId="194C0F83" w14:textId="77777777" w:rsidTr="003934DA">
        <w:tc>
          <w:tcPr>
            <w:tcW w:w="1795" w:type="dxa"/>
            <w:vMerge/>
            <w:shd w:val="clear" w:color="auto" w:fill="FDE9D9"/>
          </w:tcPr>
          <w:p w14:paraId="73A01D78" w14:textId="77777777" w:rsidR="008E5FE1" w:rsidRDefault="008E5FE1">
            <w:pPr>
              <w:widowControl w:val="0"/>
              <w:pBdr>
                <w:top w:val="nil"/>
                <w:left w:val="nil"/>
                <w:bottom w:val="nil"/>
                <w:right w:val="nil"/>
                <w:between w:val="nil"/>
              </w:pBdr>
              <w:spacing w:after="0" w:line="276" w:lineRule="auto"/>
              <w:rPr>
                <w:sz w:val="20"/>
                <w:szCs w:val="20"/>
              </w:rPr>
            </w:pPr>
          </w:p>
        </w:tc>
        <w:tc>
          <w:tcPr>
            <w:tcW w:w="3420" w:type="dxa"/>
            <w:shd w:val="clear" w:color="auto" w:fill="FDE9D9"/>
          </w:tcPr>
          <w:p w14:paraId="60977655" w14:textId="77777777" w:rsidR="008E5FE1" w:rsidRDefault="00721C74">
            <w:pPr>
              <w:numPr>
                <w:ilvl w:val="0"/>
                <w:numId w:val="35"/>
              </w:numPr>
              <w:pBdr>
                <w:top w:val="nil"/>
                <w:left w:val="nil"/>
                <w:bottom w:val="nil"/>
                <w:right w:val="nil"/>
                <w:between w:val="nil"/>
              </w:pBdr>
              <w:spacing w:after="180" w:line="276" w:lineRule="auto"/>
              <w:rPr>
                <w:b/>
              </w:rPr>
            </w:pPr>
            <w:r>
              <w:rPr>
                <w:b/>
              </w:rPr>
              <w:t xml:space="preserve">Materials encourage students to justify solutions to problems using clear oral and written communication. </w:t>
            </w:r>
          </w:p>
        </w:tc>
        <w:tc>
          <w:tcPr>
            <w:tcW w:w="5580" w:type="dxa"/>
          </w:tcPr>
          <w:p w14:paraId="2DA390E4" w14:textId="77777777" w:rsidR="008E5FE1" w:rsidRDefault="00721C74">
            <w:pPr>
              <w:numPr>
                <w:ilvl w:val="0"/>
                <w:numId w:val="27"/>
              </w:numPr>
              <w:spacing w:after="180" w:line="276" w:lineRule="auto"/>
              <w:ind w:left="346" w:hanging="274"/>
            </w:pPr>
            <w:r>
              <w:t>This indicator relates most directly to SMPs 3 and 6 but connects to other practices as well.</w:t>
            </w:r>
          </w:p>
          <w:p w14:paraId="76FA57E3" w14:textId="77777777" w:rsidR="008E5FE1" w:rsidRDefault="00721C74">
            <w:pPr>
              <w:numPr>
                <w:ilvl w:val="1"/>
                <w:numId w:val="27"/>
              </w:numPr>
              <w:spacing w:after="180" w:line="276" w:lineRule="auto"/>
            </w:pPr>
            <w:r>
              <w:t xml:space="preserve">Do materials </w:t>
            </w:r>
            <w:r>
              <w:t>incorporate a comprehensive approach to fostering language proficiency in the four domains (speaking, reading, listening, and writing) among Els during student academic discourse?</w:t>
            </w:r>
          </w:p>
        </w:tc>
        <w:tc>
          <w:tcPr>
            <w:tcW w:w="3695" w:type="dxa"/>
            <w:vMerge/>
          </w:tcPr>
          <w:p w14:paraId="7D0A903B" w14:textId="77777777" w:rsidR="008E5FE1" w:rsidRDefault="008E5FE1">
            <w:pPr>
              <w:widowControl w:val="0"/>
              <w:pBdr>
                <w:top w:val="nil"/>
                <w:left w:val="nil"/>
                <w:bottom w:val="nil"/>
                <w:right w:val="nil"/>
                <w:between w:val="nil"/>
              </w:pBdr>
              <w:spacing w:after="0" w:line="276" w:lineRule="auto"/>
            </w:pPr>
          </w:p>
        </w:tc>
      </w:tr>
      <w:tr w:rsidR="008E5FE1" w14:paraId="66BC3218" w14:textId="77777777" w:rsidTr="003934DA">
        <w:tc>
          <w:tcPr>
            <w:tcW w:w="1795" w:type="dxa"/>
            <w:vMerge/>
            <w:shd w:val="clear" w:color="auto" w:fill="FDE9D9"/>
          </w:tcPr>
          <w:p w14:paraId="15FBD39C" w14:textId="77777777" w:rsidR="008E5FE1" w:rsidRDefault="008E5FE1">
            <w:pPr>
              <w:widowControl w:val="0"/>
              <w:pBdr>
                <w:top w:val="nil"/>
                <w:left w:val="nil"/>
                <w:bottom w:val="nil"/>
                <w:right w:val="nil"/>
                <w:between w:val="nil"/>
              </w:pBdr>
              <w:spacing w:after="0" w:line="276" w:lineRule="auto"/>
            </w:pPr>
          </w:p>
        </w:tc>
        <w:tc>
          <w:tcPr>
            <w:tcW w:w="3420" w:type="dxa"/>
            <w:shd w:val="clear" w:color="auto" w:fill="FDE9D9"/>
          </w:tcPr>
          <w:p w14:paraId="78F1B1EE" w14:textId="77777777" w:rsidR="008E5FE1" w:rsidRDefault="00721C74">
            <w:pPr>
              <w:numPr>
                <w:ilvl w:val="0"/>
                <w:numId w:val="35"/>
              </w:numPr>
              <w:pBdr>
                <w:top w:val="nil"/>
                <w:left w:val="nil"/>
                <w:bottom w:val="nil"/>
                <w:right w:val="nil"/>
                <w:between w:val="nil"/>
              </w:pBdr>
              <w:spacing w:after="180" w:line="276" w:lineRule="auto"/>
              <w:rPr>
                <w:b/>
              </w:rPr>
            </w:pPr>
            <w:r>
              <w:rPr>
                <w:b/>
              </w:rPr>
              <w:t xml:space="preserve">Materials encourage students to solve problems through strategic </w:t>
            </w:r>
            <w:r>
              <w:rPr>
                <w:b/>
              </w:rPr>
              <w:t>selection and use of a range of appropriate tools.</w:t>
            </w:r>
          </w:p>
        </w:tc>
        <w:tc>
          <w:tcPr>
            <w:tcW w:w="5580" w:type="dxa"/>
          </w:tcPr>
          <w:p w14:paraId="6B43E262" w14:textId="77777777" w:rsidR="008E5FE1" w:rsidRDefault="00721C74">
            <w:pPr>
              <w:keepNext/>
              <w:numPr>
                <w:ilvl w:val="0"/>
                <w:numId w:val="15"/>
              </w:numPr>
              <w:pBdr>
                <w:top w:val="nil"/>
                <w:left w:val="nil"/>
                <w:bottom w:val="nil"/>
                <w:right w:val="nil"/>
                <w:between w:val="nil"/>
              </w:pBdr>
              <w:spacing w:after="180" w:line="276" w:lineRule="auto"/>
              <w:ind w:left="346" w:hanging="274"/>
            </w:pPr>
            <w:r>
              <w:t>To meet expectations, materials must provide opportunities for students to choose the tools they use, not only to use tools chosen for them.</w:t>
            </w:r>
          </w:p>
          <w:p w14:paraId="2650AB3C" w14:textId="77777777" w:rsidR="008E5FE1" w:rsidRDefault="00721C74">
            <w:pPr>
              <w:numPr>
                <w:ilvl w:val="0"/>
                <w:numId w:val="29"/>
              </w:numPr>
              <w:pBdr>
                <w:top w:val="nil"/>
                <w:left w:val="nil"/>
                <w:bottom w:val="nil"/>
                <w:right w:val="nil"/>
                <w:between w:val="nil"/>
              </w:pBdr>
              <w:spacing w:after="180" w:line="276" w:lineRule="auto"/>
              <w:ind w:left="346" w:hanging="274"/>
            </w:pPr>
            <w:r>
              <w:t>This indicator relates most directly to SMP 5 but connects to ot</w:t>
            </w:r>
            <w:r>
              <w:t>her practices as well.</w:t>
            </w:r>
          </w:p>
        </w:tc>
        <w:tc>
          <w:tcPr>
            <w:tcW w:w="3695" w:type="dxa"/>
            <w:vMerge/>
          </w:tcPr>
          <w:p w14:paraId="7FC5EA58" w14:textId="77777777" w:rsidR="008E5FE1" w:rsidRDefault="008E5FE1">
            <w:pPr>
              <w:widowControl w:val="0"/>
              <w:pBdr>
                <w:top w:val="nil"/>
                <w:left w:val="nil"/>
                <w:bottom w:val="nil"/>
                <w:right w:val="nil"/>
                <w:between w:val="nil"/>
              </w:pBdr>
              <w:spacing w:after="0" w:line="276" w:lineRule="auto"/>
            </w:pPr>
          </w:p>
        </w:tc>
      </w:tr>
      <w:tr w:rsidR="008E5FE1" w14:paraId="27F5B267" w14:textId="77777777" w:rsidTr="003934DA">
        <w:tc>
          <w:tcPr>
            <w:tcW w:w="1795" w:type="dxa"/>
            <w:vMerge/>
            <w:shd w:val="clear" w:color="auto" w:fill="FDE9D9"/>
          </w:tcPr>
          <w:p w14:paraId="5CDAB3EF" w14:textId="77777777" w:rsidR="008E5FE1" w:rsidRDefault="008E5FE1">
            <w:pPr>
              <w:widowControl w:val="0"/>
              <w:pBdr>
                <w:top w:val="nil"/>
                <w:left w:val="nil"/>
                <w:bottom w:val="nil"/>
                <w:right w:val="nil"/>
                <w:between w:val="nil"/>
              </w:pBdr>
              <w:spacing w:after="0" w:line="276" w:lineRule="auto"/>
            </w:pPr>
          </w:p>
        </w:tc>
        <w:tc>
          <w:tcPr>
            <w:tcW w:w="3420" w:type="dxa"/>
            <w:shd w:val="clear" w:color="auto" w:fill="FDE9D9"/>
          </w:tcPr>
          <w:p w14:paraId="4D35C345" w14:textId="77777777" w:rsidR="008E5FE1" w:rsidRDefault="00721C74">
            <w:pPr>
              <w:numPr>
                <w:ilvl w:val="0"/>
                <w:numId w:val="35"/>
              </w:numPr>
              <w:pBdr>
                <w:top w:val="nil"/>
                <w:left w:val="nil"/>
                <w:bottom w:val="nil"/>
                <w:right w:val="nil"/>
                <w:between w:val="nil"/>
              </w:pBdr>
              <w:spacing w:after="180" w:line="276" w:lineRule="auto"/>
              <w:rPr>
                <w:b/>
              </w:rPr>
            </w:pPr>
            <w:r>
              <w:rPr>
                <w:b/>
              </w:rPr>
              <w:t>Materials encourage students to explain their thinking to others and evaluate others’ thinking.</w:t>
            </w:r>
          </w:p>
        </w:tc>
        <w:tc>
          <w:tcPr>
            <w:tcW w:w="5580" w:type="dxa"/>
          </w:tcPr>
          <w:p w14:paraId="22911A0A" w14:textId="77777777" w:rsidR="008E5FE1" w:rsidRDefault="00721C74">
            <w:pPr>
              <w:numPr>
                <w:ilvl w:val="0"/>
                <w:numId w:val="18"/>
              </w:numPr>
              <w:spacing w:after="180" w:line="276" w:lineRule="auto"/>
              <w:ind w:left="346" w:hanging="274"/>
              <w:rPr>
                <w:color w:val="000000"/>
              </w:rPr>
            </w:pPr>
            <w:r>
              <w:t xml:space="preserve">Materials provide guidance to students on how to engage in Math discourse, how to offer and respond to critical feedback, and how to </w:t>
            </w:r>
            <w:r>
              <w:t>resolve disagreements about the content.</w:t>
            </w:r>
          </w:p>
          <w:p w14:paraId="33A0C1A8" w14:textId="77777777" w:rsidR="008E5FE1" w:rsidRDefault="00721C74">
            <w:pPr>
              <w:numPr>
                <w:ilvl w:val="0"/>
                <w:numId w:val="18"/>
              </w:numPr>
              <w:spacing w:after="180" w:line="276" w:lineRule="auto"/>
              <w:ind w:left="346" w:hanging="274"/>
              <w:rPr>
                <w:color w:val="000000"/>
              </w:rPr>
            </w:pPr>
            <w:r>
              <w:t>Materials provide resources to affirm various cultural, historic, and linguistic representations of math content knowledge. For example, this could include evaluating the reasoning of characters in fictional scenari</w:t>
            </w:r>
            <w:r>
              <w:t>os; indicator 2e focuses on communication with classmates.</w:t>
            </w:r>
          </w:p>
          <w:p w14:paraId="39322392" w14:textId="77777777" w:rsidR="008E5FE1" w:rsidRDefault="00721C74">
            <w:pPr>
              <w:numPr>
                <w:ilvl w:val="0"/>
                <w:numId w:val="16"/>
              </w:numPr>
              <w:spacing w:after="180" w:line="276" w:lineRule="auto"/>
              <w:ind w:left="346" w:hanging="274"/>
            </w:pPr>
            <w:r>
              <w:t>This indicator relates most directly to SMP 3 but connects to other practices as well.</w:t>
            </w:r>
          </w:p>
        </w:tc>
        <w:tc>
          <w:tcPr>
            <w:tcW w:w="3695" w:type="dxa"/>
            <w:vMerge/>
          </w:tcPr>
          <w:p w14:paraId="538B7433" w14:textId="77777777" w:rsidR="008E5FE1" w:rsidRDefault="008E5FE1">
            <w:pPr>
              <w:widowControl w:val="0"/>
              <w:pBdr>
                <w:top w:val="nil"/>
                <w:left w:val="nil"/>
                <w:bottom w:val="nil"/>
                <w:right w:val="nil"/>
                <w:between w:val="nil"/>
              </w:pBdr>
              <w:spacing w:after="0" w:line="276" w:lineRule="auto"/>
            </w:pPr>
          </w:p>
        </w:tc>
      </w:tr>
      <w:tr w:rsidR="008E5FE1" w14:paraId="6DBE871B" w14:textId="77777777" w:rsidTr="003934DA">
        <w:tc>
          <w:tcPr>
            <w:tcW w:w="1795" w:type="dxa"/>
            <w:vMerge/>
            <w:shd w:val="clear" w:color="auto" w:fill="FDE9D9"/>
          </w:tcPr>
          <w:p w14:paraId="17C9E626" w14:textId="77777777" w:rsidR="008E5FE1" w:rsidRDefault="008E5FE1">
            <w:pPr>
              <w:widowControl w:val="0"/>
              <w:pBdr>
                <w:top w:val="nil"/>
                <w:left w:val="nil"/>
                <w:bottom w:val="nil"/>
                <w:right w:val="nil"/>
                <w:between w:val="nil"/>
              </w:pBdr>
              <w:spacing w:after="0" w:line="276" w:lineRule="auto"/>
            </w:pPr>
          </w:p>
        </w:tc>
        <w:tc>
          <w:tcPr>
            <w:tcW w:w="3420" w:type="dxa"/>
            <w:tcBorders>
              <w:bottom w:val="single" w:sz="4" w:space="0" w:color="000000"/>
            </w:tcBorders>
            <w:shd w:val="clear" w:color="auto" w:fill="FDE9D9"/>
          </w:tcPr>
          <w:p w14:paraId="378EF348" w14:textId="77777777" w:rsidR="008E5FE1" w:rsidRDefault="00721C74">
            <w:pPr>
              <w:numPr>
                <w:ilvl w:val="0"/>
                <w:numId w:val="35"/>
              </w:numPr>
              <w:pBdr>
                <w:top w:val="nil"/>
                <w:left w:val="nil"/>
                <w:bottom w:val="nil"/>
                <w:right w:val="nil"/>
                <w:between w:val="nil"/>
              </w:pBdr>
              <w:spacing w:after="180" w:line="276" w:lineRule="auto"/>
              <w:rPr>
                <w:b/>
              </w:rPr>
            </w:pPr>
            <w:r>
              <w:rPr>
                <w:b/>
              </w:rPr>
              <w:t xml:space="preserve">Materials provide opportunities for students to participate in regular conversation and collaboration with peers focused on lesson content.  </w:t>
            </w:r>
          </w:p>
        </w:tc>
        <w:tc>
          <w:tcPr>
            <w:tcW w:w="5580" w:type="dxa"/>
          </w:tcPr>
          <w:p w14:paraId="0217E2D5" w14:textId="77777777" w:rsidR="008E5FE1" w:rsidRDefault="00721C74">
            <w:pPr>
              <w:numPr>
                <w:ilvl w:val="0"/>
                <w:numId w:val="29"/>
              </w:numPr>
              <w:spacing w:after="180" w:line="276" w:lineRule="auto"/>
              <w:ind w:left="346" w:hanging="274"/>
            </w:pPr>
            <w:r>
              <w:t xml:space="preserve">In 2017, Massachusetts adopted speaking and listening standards applicable to math among other subjects at all grade levels. </w:t>
            </w:r>
            <w:r>
              <w:rPr>
                <w:i/>
              </w:rPr>
              <w:t>Comprehension and collaboration</w:t>
            </w:r>
            <w:r>
              <w:t xml:space="preserve"> is the first cluster.</w:t>
            </w:r>
          </w:p>
          <w:p w14:paraId="6965B867" w14:textId="77777777" w:rsidR="008E5FE1" w:rsidRDefault="00721C74">
            <w:pPr>
              <w:numPr>
                <w:ilvl w:val="1"/>
                <w:numId w:val="29"/>
              </w:numPr>
              <w:spacing w:after="180" w:line="276" w:lineRule="auto"/>
            </w:pPr>
            <w:r>
              <w:t>Do materials adeptly facilitate the cultivation of students’ capacity to just</w:t>
            </w:r>
            <w:r>
              <w:t xml:space="preserve">ify solutions to problems through proficient oral and written communication in diverse linguistic contexts, including during academic discourse? </w:t>
            </w:r>
          </w:p>
        </w:tc>
        <w:tc>
          <w:tcPr>
            <w:tcW w:w="3695" w:type="dxa"/>
          </w:tcPr>
          <w:p w14:paraId="7E603C01" w14:textId="77777777" w:rsidR="008E5FE1" w:rsidRDefault="00721C74">
            <w:pPr>
              <w:numPr>
                <w:ilvl w:val="0"/>
                <w:numId w:val="29"/>
              </w:numPr>
              <w:spacing w:after="180" w:line="276" w:lineRule="auto"/>
              <w:ind w:left="346" w:hanging="274"/>
              <w:rPr>
                <w:sz w:val="20"/>
                <w:szCs w:val="20"/>
              </w:rPr>
            </w:pPr>
            <w:r>
              <w:rPr>
                <w:sz w:val="20"/>
                <w:szCs w:val="20"/>
              </w:rPr>
              <w:t xml:space="preserve">ELA/literacy curriculum framework: PK–12 anchor standards for speaking and listening (pp. </w:t>
            </w:r>
            <w:hyperlink r:id="rId34" w:anchor="page=27">
              <w:r>
                <w:rPr>
                  <w:color w:val="1155CC"/>
                  <w:sz w:val="20"/>
                  <w:szCs w:val="20"/>
                  <w:u w:val="single"/>
                </w:rPr>
                <w:t>24</w:t>
              </w:r>
            </w:hyperlink>
            <w:r>
              <w:rPr>
                <w:sz w:val="20"/>
                <w:szCs w:val="20"/>
              </w:rPr>
              <w:t xml:space="preserve">, </w:t>
            </w:r>
            <w:hyperlink r:id="rId35" w:anchor="page=137">
              <w:r>
                <w:rPr>
                  <w:color w:val="1155CC"/>
                  <w:sz w:val="20"/>
                  <w:szCs w:val="20"/>
                  <w:u w:val="single"/>
                </w:rPr>
                <w:t>134</w:t>
              </w:r>
            </w:hyperlink>
            <w:r>
              <w:rPr>
                <w:sz w:val="20"/>
                <w:szCs w:val="20"/>
              </w:rPr>
              <w:t>)</w:t>
            </w:r>
          </w:p>
          <w:p w14:paraId="4CEAFB7B" w14:textId="77777777" w:rsidR="008E5FE1" w:rsidRDefault="00721C74">
            <w:pPr>
              <w:numPr>
                <w:ilvl w:val="0"/>
                <w:numId w:val="29"/>
              </w:numPr>
              <w:spacing w:after="180" w:line="276" w:lineRule="auto"/>
              <w:ind w:left="346" w:hanging="274"/>
              <w:rPr>
                <w:sz w:val="20"/>
                <w:szCs w:val="20"/>
              </w:rPr>
            </w:pPr>
            <w:hyperlink r:id="rId36">
              <w:r>
                <w:rPr>
                  <w:color w:val="0000FF"/>
                  <w:sz w:val="20"/>
                  <w:szCs w:val="20"/>
                  <w:u w:val="single"/>
                </w:rPr>
                <w:t>Math Guidelines: Area of Focus III; Mathematical Rigor Through Language</w:t>
              </w:r>
            </w:hyperlink>
            <w:r>
              <w:rPr>
                <w:sz w:val="20"/>
                <w:szCs w:val="20"/>
              </w:rPr>
              <w:t xml:space="preserve"> (The English Learner Success Forum, ELSF, p.12</w:t>
            </w:r>
            <w:r>
              <w:rPr>
                <w:sz w:val="20"/>
                <w:szCs w:val="20"/>
              </w:rPr>
              <w:t>)</w:t>
            </w:r>
          </w:p>
        </w:tc>
      </w:tr>
    </w:tbl>
    <w:p w14:paraId="41520674" w14:textId="77777777" w:rsidR="008E5FE1" w:rsidRDefault="008E5FE1">
      <w:pPr>
        <w:widowControl w:val="0"/>
        <w:pBdr>
          <w:top w:val="nil"/>
          <w:left w:val="nil"/>
          <w:bottom w:val="nil"/>
          <w:right w:val="nil"/>
          <w:between w:val="nil"/>
        </w:pBdr>
        <w:spacing w:after="0" w:line="276" w:lineRule="auto"/>
        <w:rPr>
          <w:b/>
          <w:color w:val="FFFFFF"/>
        </w:rPr>
      </w:pPr>
    </w:p>
    <w:tbl>
      <w:tblPr>
        <w:tblStyle w:val="a1"/>
        <w:tblW w:w="14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3420"/>
        <w:gridCol w:w="5580"/>
        <w:gridCol w:w="3725"/>
      </w:tblGrid>
      <w:tr w:rsidR="008E5FE1" w14:paraId="41BF2B22" w14:textId="77777777" w:rsidTr="003934DA">
        <w:trPr>
          <w:trHeight w:val="220"/>
        </w:trPr>
        <w:tc>
          <w:tcPr>
            <w:tcW w:w="14520" w:type="dxa"/>
            <w:gridSpan w:val="4"/>
            <w:shd w:val="clear" w:color="auto" w:fill="003366"/>
          </w:tcPr>
          <w:p w14:paraId="02CE5C7F" w14:textId="77777777" w:rsidR="008E5FE1" w:rsidRDefault="00721C74">
            <w:pPr>
              <w:pBdr>
                <w:top w:val="nil"/>
                <w:left w:val="nil"/>
                <w:bottom w:val="nil"/>
                <w:right w:val="nil"/>
                <w:between w:val="nil"/>
              </w:pBdr>
              <w:spacing w:after="180" w:line="276" w:lineRule="auto"/>
              <w:jc w:val="center"/>
              <w:rPr>
                <w:b/>
                <w:color w:val="FFFFFF"/>
              </w:rPr>
            </w:pPr>
            <w:r>
              <w:rPr>
                <w:b/>
                <w:color w:val="FFFFFF"/>
              </w:rPr>
              <w:t>Domain: Classroom Application</w:t>
            </w:r>
          </w:p>
        </w:tc>
      </w:tr>
      <w:tr w:rsidR="008E5FE1" w14:paraId="257123F3" w14:textId="77777777" w:rsidTr="003934DA">
        <w:tc>
          <w:tcPr>
            <w:tcW w:w="1795" w:type="dxa"/>
            <w:shd w:val="clear" w:color="auto" w:fill="C6D9F1"/>
          </w:tcPr>
          <w:p w14:paraId="5DE69DA1" w14:textId="77777777" w:rsidR="008E5FE1" w:rsidRDefault="00721C74">
            <w:pPr>
              <w:pBdr>
                <w:top w:val="nil"/>
                <w:left w:val="nil"/>
                <w:bottom w:val="nil"/>
                <w:right w:val="nil"/>
                <w:between w:val="nil"/>
              </w:pBdr>
              <w:spacing w:after="180" w:line="276" w:lineRule="auto"/>
              <w:jc w:val="center"/>
              <w:rPr>
                <w:b/>
              </w:rPr>
            </w:pPr>
            <w:r>
              <w:rPr>
                <w:b/>
              </w:rPr>
              <w:t>Criterion</w:t>
            </w:r>
          </w:p>
        </w:tc>
        <w:tc>
          <w:tcPr>
            <w:tcW w:w="3420" w:type="dxa"/>
            <w:shd w:val="clear" w:color="auto" w:fill="C6D9F1"/>
          </w:tcPr>
          <w:p w14:paraId="733A1801" w14:textId="77777777" w:rsidR="008E5FE1" w:rsidRDefault="00721C74">
            <w:pPr>
              <w:pBdr>
                <w:top w:val="nil"/>
                <w:left w:val="nil"/>
                <w:bottom w:val="nil"/>
                <w:right w:val="nil"/>
                <w:between w:val="nil"/>
              </w:pBdr>
              <w:spacing w:after="180" w:line="276" w:lineRule="auto"/>
              <w:jc w:val="center"/>
            </w:pPr>
            <w:r>
              <w:rPr>
                <w:b/>
              </w:rPr>
              <w:t>Indicator</w:t>
            </w:r>
          </w:p>
        </w:tc>
        <w:tc>
          <w:tcPr>
            <w:tcW w:w="5580" w:type="dxa"/>
            <w:shd w:val="clear" w:color="auto" w:fill="C6D9F1"/>
          </w:tcPr>
          <w:p w14:paraId="16B7DB7F" w14:textId="77777777" w:rsidR="008E5FE1" w:rsidRDefault="00721C74">
            <w:pPr>
              <w:keepNext/>
              <w:spacing w:after="180" w:line="276" w:lineRule="auto"/>
              <w:jc w:val="center"/>
              <w:rPr>
                <w:b/>
              </w:rPr>
            </w:pPr>
            <w:r>
              <w:rPr>
                <w:b/>
              </w:rPr>
              <w:t>Notes and Tips</w:t>
            </w:r>
          </w:p>
        </w:tc>
        <w:tc>
          <w:tcPr>
            <w:tcW w:w="3725" w:type="dxa"/>
            <w:shd w:val="clear" w:color="auto" w:fill="C6D9F1"/>
          </w:tcPr>
          <w:p w14:paraId="266C57CD" w14:textId="77777777" w:rsidR="008E5FE1" w:rsidRDefault="00721C74">
            <w:pPr>
              <w:keepNext/>
              <w:spacing w:after="180" w:line="276" w:lineRule="auto"/>
              <w:jc w:val="center"/>
              <w:rPr>
                <w:b/>
              </w:rPr>
            </w:pPr>
            <w:r>
              <w:rPr>
                <w:b/>
              </w:rPr>
              <w:t>Further Reading</w:t>
            </w:r>
          </w:p>
        </w:tc>
      </w:tr>
      <w:tr w:rsidR="008E5FE1" w14:paraId="01E8D722" w14:textId="77777777" w:rsidTr="003934DA">
        <w:trPr>
          <w:trHeight w:val="220"/>
        </w:trPr>
        <w:tc>
          <w:tcPr>
            <w:tcW w:w="1795" w:type="dxa"/>
            <w:vMerge w:val="restart"/>
            <w:shd w:val="clear" w:color="auto" w:fill="C6D9F1"/>
          </w:tcPr>
          <w:p w14:paraId="007CD7E7" w14:textId="77777777" w:rsidR="008E5FE1" w:rsidRDefault="00721C74">
            <w:pPr>
              <w:pBdr>
                <w:top w:val="nil"/>
                <w:left w:val="nil"/>
                <w:bottom w:val="nil"/>
                <w:right w:val="nil"/>
                <w:between w:val="nil"/>
              </w:pBdr>
              <w:spacing w:after="180" w:line="276" w:lineRule="auto"/>
              <w:rPr>
                <w:b/>
                <w:color w:val="000000"/>
              </w:rPr>
            </w:pPr>
            <w:r>
              <w:rPr>
                <w:b/>
                <w:color w:val="000000"/>
              </w:rPr>
              <w:t>3. Accessibility for Students</w:t>
            </w:r>
          </w:p>
          <w:p w14:paraId="50737C5A" w14:textId="77777777" w:rsidR="008E5FE1" w:rsidRDefault="00721C74">
            <w:pPr>
              <w:pBdr>
                <w:top w:val="nil"/>
                <w:left w:val="nil"/>
                <w:bottom w:val="nil"/>
                <w:right w:val="nil"/>
                <w:between w:val="nil"/>
              </w:pBdr>
              <w:spacing w:after="180" w:line="276" w:lineRule="auto"/>
              <w:rPr>
                <w:sz w:val="20"/>
                <w:szCs w:val="20"/>
              </w:rPr>
            </w:pPr>
            <w:r>
              <w:rPr>
                <w:i/>
                <w:sz w:val="20"/>
                <w:szCs w:val="20"/>
              </w:rPr>
              <w:t xml:space="preserve">Note: </w:t>
            </w:r>
            <w:r>
              <w:rPr>
                <w:sz w:val="20"/>
                <w:szCs w:val="20"/>
              </w:rPr>
              <w:t xml:space="preserve">While no one set of materials can serve all students’ needs, they should strongly support teachers tasked with doing so. Standard II of the </w:t>
            </w:r>
            <w:hyperlink r:id="rId37">
              <w:r>
                <w:rPr>
                  <w:color w:val="1155CC"/>
                  <w:sz w:val="20"/>
                  <w:szCs w:val="20"/>
                  <w:u w:val="single"/>
                </w:rPr>
                <w:t>MA model teacher evaluation rubric</w:t>
              </w:r>
            </w:hyperlink>
            <w:r>
              <w:rPr>
                <w:color w:val="1155CC"/>
                <w:sz w:val="20"/>
                <w:szCs w:val="20"/>
              </w:rPr>
              <w:t xml:space="preserve"> </w:t>
            </w:r>
            <w:r>
              <w:rPr>
                <w:sz w:val="20"/>
                <w:szCs w:val="20"/>
              </w:rPr>
              <w:t>sets expectations for teaching all students.</w:t>
            </w:r>
          </w:p>
          <w:p w14:paraId="797674D1" w14:textId="77777777" w:rsidR="008E5FE1" w:rsidRDefault="008E5FE1">
            <w:pPr>
              <w:pBdr>
                <w:top w:val="nil"/>
                <w:left w:val="nil"/>
                <w:bottom w:val="nil"/>
                <w:right w:val="nil"/>
                <w:between w:val="nil"/>
              </w:pBdr>
              <w:spacing w:after="180" w:line="276" w:lineRule="auto"/>
              <w:rPr>
                <w:b/>
                <w:color w:val="000000"/>
              </w:rPr>
            </w:pPr>
          </w:p>
          <w:p w14:paraId="506C5F59" w14:textId="77777777" w:rsidR="008E5FE1" w:rsidRDefault="008E5FE1">
            <w:pPr>
              <w:pBdr>
                <w:top w:val="nil"/>
                <w:left w:val="nil"/>
                <w:bottom w:val="nil"/>
                <w:right w:val="nil"/>
                <w:between w:val="nil"/>
              </w:pBdr>
              <w:spacing w:after="180" w:line="276" w:lineRule="auto"/>
            </w:pPr>
          </w:p>
        </w:tc>
        <w:tc>
          <w:tcPr>
            <w:tcW w:w="3420" w:type="dxa"/>
            <w:shd w:val="clear" w:color="auto" w:fill="C6D9F1"/>
          </w:tcPr>
          <w:p w14:paraId="6892C90C" w14:textId="77777777" w:rsidR="008E5FE1" w:rsidRDefault="00721C74">
            <w:pPr>
              <w:numPr>
                <w:ilvl w:val="0"/>
                <w:numId w:val="14"/>
              </w:numPr>
              <w:spacing w:after="180" w:line="276" w:lineRule="auto"/>
              <w:rPr>
                <w:b/>
              </w:rPr>
            </w:pPr>
            <w:r>
              <w:rPr>
                <w:b/>
              </w:rPr>
              <w:t>Materials provide for varied means of accessing content, helping teachers meet the diverse needs of students with disabilities and those working above or below grade level.</w:t>
            </w:r>
          </w:p>
        </w:tc>
        <w:tc>
          <w:tcPr>
            <w:tcW w:w="5580" w:type="dxa"/>
          </w:tcPr>
          <w:p w14:paraId="6237CAE4" w14:textId="77777777" w:rsidR="008E5FE1" w:rsidRDefault="00721C74">
            <w:pPr>
              <w:numPr>
                <w:ilvl w:val="0"/>
                <w:numId w:val="2"/>
              </w:numPr>
              <w:spacing w:after="180" w:line="276" w:lineRule="auto"/>
              <w:ind w:left="346" w:hanging="274"/>
            </w:pPr>
            <w:r>
              <w:t xml:space="preserve">Consider whether materials provide differentiated strategies and/or activities to meet the diverse needs of students working below proficiency, English Learners (ELs), and those of advanced learners. </w:t>
            </w:r>
          </w:p>
          <w:p w14:paraId="116F7E7F" w14:textId="77777777" w:rsidR="008E5FE1" w:rsidRDefault="00721C74">
            <w:pPr>
              <w:numPr>
                <w:ilvl w:val="0"/>
                <w:numId w:val="2"/>
              </w:numPr>
              <w:spacing w:after="180" w:line="276" w:lineRule="auto"/>
              <w:ind w:left="346" w:hanging="274"/>
            </w:pPr>
            <w:r>
              <w:t>Focus here on access to grade level content, not interv</w:t>
            </w:r>
            <w:r>
              <w:t>ention or remediation.</w:t>
            </w:r>
          </w:p>
          <w:p w14:paraId="7D5496AA" w14:textId="77777777" w:rsidR="008E5FE1" w:rsidRDefault="00721C74">
            <w:pPr>
              <w:numPr>
                <w:ilvl w:val="0"/>
                <w:numId w:val="2"/>
              </w:numPr>
              <w:spacing w:after="180" w:line="276" w:lineRule="auto"/>
              <w:ind w:left="346" w:hanging="274"/>
            </w:pPr>
            <w:r>
              <w:t xml:space="preserve">Consider whether materials provide </w:t>
            </w:r>
            <w:hyperlink r:id="rId38">
              <w:r>
                <w:rPr>
                  <w:color w:val="1155CC"/>
                  <w:u w:val="single"/>
                </w:rPr>
                <w:t>multiple means of representation</w:t>
              </w:r>
            </w:hyperlink>
            <w:r>
              <w:t xml:space="preserve"> and opportunities for collaborative learning (e.g., partner work).</w:t>
            </w:r>
          </w:p>
          <w:p w14:paraId="3124F15E" w14:textId="77777777" w:rsidR="008E5FE1" w:rsidRDefault="00721C74">
            <w:pPr>
              <w:numPr>
                <w:ilvl w:val="0"/>
                <w:numId w:val="2"/>
              </w:numPr>
              <w:spacing w:after="180" w:line="276" w:lineRule="auto"/>
              <w:ind w:left="346" w:hanging="274"/>
            </w:pPr>
            <w:r>
              <w:t>C</w:t>
            </w:r>
            <w:r>
              <w:t>onsider intentional and varied points of access as an important strategy for ELs.</w:t>
            </w:r>
          </w:p>
        </w:tc>
        <w:tc>
          <w:tcPr>
            <w:tcW w:w="3725" w:type="dxa"/>
            <w:vMerge w:val="restart"/>
          </w:tcPr>
          <w:p w14:paraId="714C757E" w14:textId="77777777" w:rsidR="008E5FE1" w:rsidRDefault="00721C74">
            <w:pPr>
              <w:numPr>
                <w:ilvl w:val="0"/>
                <w:numId w:val="22"/>
              </w:numPr>
              <w:spacing w:after="180" w:line="276" w:lineRule="auto"/>
              <w:ind w:left="346" w:hanging="274"/>
              <w:rPr>
                <w:sz w:val="20"/>
                <w:szCs w:val="20"/>
              </w:rPr>
            </w:pPr>
            <w:r>
              <w:rPr>
                <w:sz w:val="20"/>
                <w:szCs w:val="20"/>
              </w:rPr>
              <w:t xml:space="preserve">Guidebook for Inclusive Practice, </w:t>
            </w:r>
            <w:hyperlink r:id="rId39">
              <w:r>
                <w:rPr>
                  <w:color w:val="1155CC"/>
                  <w:sz w:val="20"/>
                  <w:szCs w:val="20"/>
                  <w:u w:val="single"/>
                </w:rPr>
                <w:t>Example Artifact List</w:t>
              </w:r>
            </w:hyperlink>
            <w:r>
              <w:rPr>
                <w:sz w:val="20"/>
                <w:szCs w:val="20"/>
              </w:rPr>
              <w:t>: illus</w:t>
            </w:r>
            <w:r>
              <w:rPr>
                <w:sz w:val="20"/>
                <w:szCs w:val="20"/>
              </w:rPr>
              <w:t xml:space="preserve">trates ways in which instructional materials can support </w:t>
            </w:r>
            <w:r>
              <w:rPr>
                <w:i/>
                <w:sz w:val="20"/>
                <w:szCs w:val="20"/>
              </w:rPr>
              <w:t>inclusive practice</w:t>
            </w:r>
            <w:r>
              <w:rPr>
                <w:sz w:val="20"/>
                <w:szCs w:val="20"/>
              </w:rPr>
              <w:t>, which encompasses Universal Design for Learning (the focus of these two indicators), Positive Behavioral Interventions and Supports, and Social and Emotional Learning</w:t>
            </w:r>
          </w:p>
          <w:p w14:paraId="1D445484" w14:textId="77777777" w:rsidR="008E5FE1" w:rsidRDefault="00721C74">
            <w:pPr>
              <w:numPr>
                <w:ilvl w:val="0"/>
                <w:numId w:val="22"/>
              </w:numPr>
              <w:spacing w:after="180" w:line="276" w:lineRule="auto"/>
              <w:ind w:left="346" w:hanging="274"/>
              <w:rPr>
                <w:sz w:val="20"/>
                <w:szCs w:val="20"/>
              </w:rPr>
            </w:pPr>
            <w:hyperlink r:id="rId40">
              <w:r>
                <w:rPr>
                  <w:color w:val="1155CC"/>
                  <w:sz w:val="20"/>
                  <w:szCs w:val="20"/>
                  <w:u w:val="single"/>
                </w:rPr>
                <w:t>Universal Design for Learning Guidelines</w:t>
              </w:r>
            </w:hyperlink>
            <w:r>
              <w:rPr>
                <w:color w:val="1155CC"/>
                <w:sz w:val="20"/>
                <w:szCs w:val="20"/>
              </w:rPr>
              <w:t xml:space="preserve"> </w:t>
            </w:r>
            <w:r>
              <w:rPr>
                <w:sz w:val="20"/>
                <w:szCs w:val="20"/>
              </w:rPr>
              <w:t>(CAST, 2018)</w:t>
            </w:r>
          </w:p>
          <w:p w14:paraId="616B1B9A" w14:textId="77777777" w:rsidR="008E5FE1" w:rsidRDefault="00721C74">
            <w:pPr>
              <w:numPr>
                <w:ilvl w:val="0"/>
                <w:numId w:val="22"/>
              </w:numPr>
              <w:spacing w:after="180" w:line="276" w:lineRule="auto"/>
              <w:ind w:left="346" w:hanging="274"/>
              <w:rPr>
                <w:sz w:val="20"/>
                <w:szCs w:val="20"/>
              </w:rPr>
            </w:pPr>
            <w:hyperlink r:id="rId41">
              <w:r>
                <w:rPr>
                  <w:color w:val="0000FF"/>
                  <w:sz w:val="20"/>
                  <w:szCs w:val="20"/>
                  <w:u w:val="single"/>
                </w:rPr>
                <w:t>Math Guidelines: Area of Focus II; Scaffolding and Supports for Simultaneous Development</w:t>
              </w:r>
            </w:hyperlink>
            <w:r>
              <w:rPr>
                <w:sz w:val="20"/>
                <w:szCs w:val="20"/>
              </w:rPr>
              <w:t xml:space="preserve"> (ELSF, p.11)</w:t>
            </w:r>
          </w:p>
          <w:p w14:paraId="650EC001" w14:textId="77777777" w:rsidR="008E5FE1" w:rsidRDefault="008E5FE1">
            <w:pPr>
              <w:spacing w:after="180" w:line="276" w:lineRule="auto"/>
              <w:ind w:left="346" w:hanging="274"/>
              <w:rPr>
                <w:sz w:val="20"/>
                <w:szCs w:val="20"/>
              </w:rPr>
            </w:pPr>
          </w:p>
        </w:tc>
      </w:tr>
      <w:tr w:rsidR="008E5FE1" w14:paraId="37401549" w14:textId="77777777" w:rsidTr="003934DA">
        <w:trPr>
          <w:trHeight w:val="220"/>
        </w:trPr>
        <w:tc>
          <w:tcPr>
            <w:tcW w:w="1795" w:type="dxa"/>
            <w:vMerge/>
            <w:shd w:val="clear" w:color="auto" w:fill="C6D9F1"/>
          </w:tcPr>
          <w:p w14:paraId="5C91F4FD" w14:textId="77777777" w:rsidR="008E5FE1" w:rsidRDefault="008E5FE1">
            <w:pPr>
              <w:widowControl w:val="0"/>
              <w:pBdr>
                <w:top w:val="nil"/>
                <w:left w:val="nil"/>
                <w:bottom w:val="nil"/>
                <w:right w:val="nil"/>
                <w:between w:val="nil"/>
              </w:pBdr>
              <w:spacing w:after="0" w:line="276" w:lineRule="auto"/>
              <w:rPr>
                <w:sz w:val="20"/>
                <w:szCs w:val="20"/>
              </w:rPr>
            </w:pPr>
          </w:p>
        </w:tc>
        <w:tc>
          <w:tcPr>
            <w:tcW w:w="3420" w:type="dxa"/>
            <w:shd w:val="clear" w:color="auto" w:fill="C6D9F1"/>
          </w:tcPr>
          <w:p w14:paraId="66706C3F" w14:textId="77777777" w:rsidR="008E5FE1" w:rsidRDefault="00721C74">
            <w:pPr>
              <w:numPr>
                <w:ilvl w:val="0"/>
                <w:numId w:val="14"/>
              </w:numPr>
              <w:pBdr>
                <w:top w:val="nil"/>
                <w:left w:val="nil"/>
                <w:bottom w:val="nil"/>
                <w:right w:val="nil"/>
                <w:between w:val="nil"/>
              </w:pBdr>
              <w:spacing w:after="180" w:line="276" w:lineRule="auto"/>
              <w:rPr>
                <w:b/>
              </w:rPr>
            </w:pPr>
            <w:r>
              <w:rPr>
                <w:b/>
              </w:rPr>
              <w:t xml:space="preserve">Materials provide for varied means of </w:t>
            </w:r>
            <w:r>
              <w:rPr>
                <w:b/>
              </w:rPr>
              <w:t>demonstrating learning, helping teachers meet the diverse needs of students with disabilities and those working above or below grade level.</w:t>
            </w:r>
          </w:p>
        </w:tc>
        <w:tc>
          <w:tcPr>
            <w:tcW w:w="5580" w:type="dxa"/>
          </w:tcPr>
          <w:p w14:paraId="01F591AB" w14:textId="77777777" w:rsidR="008E5FE1" w:rsidRDefault="00721C74">
            <w:pPr>
              <w:numPr>
                <w:ilvl w:val="0"/>
                <w:numId w:val="21"/>
              </w:numPr>
              <w:spacing w:after="180" w:line="276" w:lineRule="auto"/>
              <w:ind w:left="346" w:hanging="274"/>
            </w:pPr>
            <w:r>
              <w:t xml:space="preserve">Consider whether materials provide students the support needed to succeed on tasks and activities, helping meet the diverse needs of students with disabilities, English Learners, and those below and above grade level. </w:t>
            </w:r>
          </w:p>
          <w:p w14:paraId="44E20C5C" w14:textId="77777777" w:rsidR="008E5FE1" w:rsidRDefault="00721C74">
            <w:pPr>
              <w:numPr>
                <w:ilvl w:val="0"/>
                <w:numId w:val="21"/>
              </w:numPr>
              <w:spacing w:after="180" w:line="276" w:lineRule="auto"/>
              <w:ind w:left="346" w:hanging="274"/>
            </w:pPr>
            <w:r>
              <w:t xml:space="preserve"> Focus here on demonstration of grade</w:t>
            </w:r>
            <w:r>
              <w:t xml:space="preserve"> level learning, not intervention or remediation.</w:t>
            </w:r>
          </w:p>
          <w:p w14:paraId="2F010AF4" w14:textId="77777777" w:rsidR="008E5FE1" w:rsidRDefault="00721C74">
            <w:pPr>
              <w:numPr>
                <w:ilvl w:val="0"/>
                <w:numId w:val="21"/>
              </w:numPr>
              <w:spacing w:after="180" w:line="276" w:lineRule="auto"/>
              <w:ind w:left="346" w:hanging="274"/>
            </w:pPr>
            <w:r>
              <w:t xml:space="preserve">Consider whether materials provide </w:t>
            </w:r>
            <w:hyperlink r:id="rId42">
              <w:r>
                <w:rPr>
                  <w:color w:val="1155CC"/>
                  <w:u w:val="single"/>
                </w:rPr>
                <w:t>multiple means of action and expression</w:t>
              </w:r>
            </w:hyperlink>
            <w:r>
              <w:t xml:space="preserve"> and opportunities for students</w:t>
            </w:r>
            <w:r>
              <w:t xml:space="preserve"> to make choices.</w:t>
            </w:r>
          </w:p>
          <w:p w14:paraId="560E01D7" w14:textId="77777777" w:rsidR="008E5FE1" w:rsidRDefault="00721C74">
            <w:pPr>
              <w:numPr>
                <w:ilvl w:val="0"/>
                <w:numId w:val="21"/>
              </w:numPr>
              <w:spacing w:after="0" w:line="276" w:lineRule="auto"/>
              <w:ind w:left="346" w:hanging="274"/>
              <w:rPr>
                <w:rFonts w:ascii="Arial" w:eastAsia="Arial" w:hAnsi="Arial" w:cs="Arial"/>
                <w:color w:val="000000"/>
                <w:sz w:val="23"/>
                <w:szCs w:val="23"/>
              </w:rPr>
            </w:pPr>
            <w:r>
              <w:t xml:space="preserve">Materials should </w:t>
            </w:r>
            <w:r>
              <w:rPr>
                <w:color w:val="000000"/>
              </w:rPr>
              <w:t>include multiple modes of assessment to demonstrate learning.</w:t>
            </w:r>
            <w:r>
              <w:rPr>
                <w:rFonts w:ascii="Arial" w:eastAsia="Arial" w:hAnsi="Arial" w:cs="Arial"/>
                <w:color w:val="000000"/>
                <w:sz w:val="23"/>
                <w:szCs w:val="23"/>
              </w:rPr>
              <w:t> </w:t>
            </w:r>
            <w:r>
              <w:br/>
            </w:r>
          </w:p>
          <w:p w14:paraId="72696EB8" w14:textId="77777777" w:rsidR="008E5FE1" w:rsidRDefault="00721C74">
            <w:pPr>
              <w:numPr>
                <w:ilvl w:val="0"/>
                <w:numId w:val="21"/>
              </w:numPr>
              <w:spacing w:after="180" w:line="276" w:lineRule="auto"/>
              <w:ind w:left="346" w:hanging="274"/>
            </w:pPr>
            <w:r>
              <w:t>Consider intentional means of demonstrating learning as an important strategy for ELs.</w:t>
            </w:r>
          </w:p>
        </w:tc>
        <w:tc>
          <w:tcPr>
            <w:tcW w:w="3725" w:type="dxa"/>
            <w:vMerge/>
          </w:tcPr>
          <w:p w14:paraId="51C96BF9" w14:textId="77777777" w:rsidR="008E5FE1" w:rsidRDefault="008E5FE1">
            <w:pPr>
              <w:widowControl w:val="0"/>
              <w:pBdr>
                <w:top w:val="nil"/>
                <w:left w:val="nil"/>
                <w:bottom w:val="nil"/>
                <w:right w:val="nil"/>
                <w:between w:val="nil"/>
              </w:pBdr>
              <w:spacing w:after="0" w:line="276" w:lineRule="auto"/>
            </w:pPr>
          </w:p>
        </w:tc>
      </w:tr>
      <w:tr w:rsidR="008E5FE1" w14:paraId="1F214817" w14:textId="77777777" w:rsidTr="003934DA">
        <w:tc>
          <w:tcPr>
            <w:tcW w:w="1795" w:type="dxa"/>
            <w:vMerge/>
            <w:shd w:val="clear" w:color="auto" w:fill="C6D9F1"/>
          </w:tcPr>
          <w:p w14:paraId="307D6597" w14:textId="77777777" w:rsidR="008E5FE1" w:rsidRDefault="008E5FE1">
            <w:pPr>
              <w:widowControl w:val="0"/>
              <w:pBdr>
                <w:top w:val="nil"/>
                <w:left w:val="nil"/>
                <w:bottom w:val="nil"/>
                <w:right w:val="nil"/>
                <w:between w:val="nil"/>
              </w:pBdr>
              <w:spacing w:after="0" w:line="276" w:lineRule="auto"/>
            </w:pPr>
          </w:p>
        </w:tc>
        <w:tc>
          <w:tcPr>
            <w:tcW w:w="3420" w:type="dxa"/>
            <w:shd w:val="clear" w:color="auto" w:fill="C6D9F1"/>
          </w:tcPr>
          <w:p w14:paraId="55AF240D" w14:textId="77777777" w:rsidR="008E5FE1" w:rsidRDefault="00721C74">
            <w:pPr>
              <w:numPr>
                <w:ilvl w:val="0"/>
                <w:numId w:val="14"/>
              </w:numPr>
              <w:pBdr>
                <w:top w:val="nil"/>
                <w:left w:val="nil"/>
                <w:bottom w:val="nil"/>
                <w:right w:val="nil"/>
                <w:between w:val="nil"/>
              </w:pBdr>
              <w:spacing w:after="180" w:line="276" w:lineRule="auto"/>
              <w:rPr>
                <w:b/>
              </w:rPr>
            </w:pPr>
            <w:r>
              <w:rPr>
                <w:b/>
              </w:rPr>
              <w:t xml:space="preserve">Materials help teachers ensure that students at various </w:t>
            </w:r>
            <w:r>
              <w:rPr>
                <w:b/>
              </w:rPr>
              <w:t>levels of English proficiency have access to grade level content, cognitively demanding tasks, and opportunities to develop academic language in English.</w:t>
            </w:r>
          </w:p>
        </w:tc>
        <w:tc>
          <w:tcPr>
            <w:tcW w:w="5580" w:type="dxa"/>
          </w:tcPr>
          <w:p w14:paraId="3B06EA87" w14:textId="77777777" w:rsidR="008E5FE1" w:rsidRDefault="00721C74">
            <w:pPr>
              <w:numPr>
                <w:ilvl w:val="0"/>
                <w:numId w:val="7"/>
              </w:numPr>
              <w:spacing w:after="180" w:line="276" w:lineRule="auto"/>
              <w:ind w:left="346" w:hanging="274"/>
            </w:pPr>
            <w:r>
              <w:t xml:space="preserve">Materials should offer supports specific to ELs (e.g., references to cognates, as-needed </w:t>
            </w:r>
            <w:r>
              <w:t>scaffolding, and entry points to amplify—rather than simplify—complex language) as well as supports that benefit ELs among other learners (e.g., repeated exposure to academic vocabulary, and opportunities to develop academic language in English).</w:t>
            </w:r>
          </w:p>
          <w:p w14:paraId="136014C9" w14:textId="77777777" w:rsidR="008E5FE1" w:rsidRDefault="00721C74">
            <w:pPr>
              <w:numPr>
                <w:ilvl w:val="0"/>
                <w:numId w:val="7"/>
              </w:numPr>
              <w:spacing w:after="180" w:line="276" w:lineRule="auto"/>
              <w:ind w:left="346" w:hanging="274"/>
              <w:rPr>
                <w:color w:val="4472C4"/>
              </w:rPr>
            </w:pPr>
            <w:r>
              <w:t>Materials</w:t>
            </w:r>
            <w:r>
              <w:t xml:space="preserve"> should support teachers to </w:t>
            </w:r>
            <w:hyperlink r:id="rId43">
              <w:r>
                <w:rPr>
                  <w:color w:val="0000FF"/>
                  <w:u w:val="single"/>
                </w:rPr>
                <w:t>develop ELs’ content knowledge and English proficiency simultaneously</w:t>
              </w:r>
            </w:hyperlink>
            <w:r>
              <w:rPr>
                <w:color w:val="4472C4"/>
                <w:u w:val="single"/>
              </w:rPr>
              <w:t xml:space="preserve"> </w:t>
            </w:r>
            <w:r>
              <w:t>by using the WIDA standards framework to identify the language expectations, forms, and features students need to communicate information, ideas and concepts necessary for academic success in the science content.</w:t>
            </w:r>
          </w:p>
          <w:p w14:paraId="680A3164" w14:textId="77777777" w:rsidR="008E5FE1" w:rsidRDefault="00721C74">
            <w:pPr>
              <w:numPr>
                <w:ilvl w:val="0"/>
                <w:numId w:val="7"/>
              </w:numPr>
              <w:spacing w:after="180" w:line="276" w:lineRule="auto"/>
              <w:ind w:left="346" w:hanging="274"/>
            </w:pPr>
            <w:r>
              <w:t xml:space="preserve">Materials should support teachers to </w:t>
            </w:r>
            <w:hyperlink r:id="rId44" w:anchor="page=13">
              <w:r>
                <w:rPr>
                  <w:color w:val="1155CC"/>
                  <w:u w:val="single"/>
                </w:rPr>
                <w:t>differentiate language demands for ELs while maintaining cognitive demand</w:t>
              </w:r>
            </w:hyperlink>
            <w:r>
              <w:t xml:space="preserve"> and access to grade level content.</w:t>
            </w:r>
          </w:p>
          <w:p w14:paraId="6A15C961" w14:textId="77777777" w:rsidR="008E5FE1" w:rsidRDefault="00721C74">
            <w:pPr>
              <w:numPr>
                <w:ilvl w:val="0"/>
                <w:numId w:val="7"/>
              </w:numPr>
              <w:spacing w:after="180" w:line="276" w:lineRule="auto"/>
              <w:ind w:left="346" w:hanging="274"/>
            </w:pPr>
            <w:r>
              <w:t>Supports coul</w:t>
            </w:r>
            <w:r>
              <w:t>d be language specific, language family generalized, and/or inclusive of home languages.</w:t>
            </w:r>
          </w:p>
        </w:tc>
        <w:tc>
          <w:tcPr>
            <w:tcW w:w="3725" w:type="dxa"/>
          </w:tcPr>
          <w:p w14:paraId="60DB7856" w14:textId="77777777" w:rsidR="008E5FE1" w:rsidRDefault="00721C74">
            <w:pPr>
              <w:numPr>
                <w:ilvl w:val="0"/>
                <w:numId w:val="7"/>
              </w:numPr>
              <w:spacing w:after="180" w:line="276" w:lineRule="auto"/>
              <w:ind w:left="346" w:hanging="274"/>
              <w:rPr>
                <w:sz w:val="20"/>
                <w:szCs w:val="20"/>
              </w:rPr>
            </w:pPr>
            <w:r>
              <w:rPr>
                <w:color w:val="000000"/>
                <w:sz w:val="20"/>
                <w:szCs w:val="20"/>
              </w:rPr>
              <w:t>DESE’s</w:t>
            </w:r>
            <w:r>
              <w:rPr>
                <w:color w:val="4472C4"/>
                <w:sz w:val="20"/>
                <w:szCs w:val="20"/>
              </w:rPr>
              <w:t xml:space="preserve"> </w:t>
            </w:r>
            <w:hyperlink r:id="rId45">
              <w:r>
                <w:rPr>
                  <w:color w:val="4472C4"/>
                  <w:sz w:val="20"/>
                  <w:szCs w:val="20"/>
                  <w:u w:val="single"/>
                </w:rPr>
                <w:t>EL Blueprint for Success</w:t>
              </w:r>
            </w:hyperlink>
          </w:p>
          <w:p w14:paraId="5EA45CDF" w14:textId="77777777" w:rsidR="008E5FE1" w:rsidRDefault="00721C74">
            <w:pPr>
              <w:numPr>
                <w:ilvl w:val="0"/>
                <w:numId w:val="7"/>
              </w:numPr>
              <w:spacing w:after="180" w:line="276" w:lineRule="auto"/>
              <w:ind w:left="346" w:hanging="274"/>
              <w:rPr>
                <w:sz w:val="20"/>
                <w:szCs w:val="20"/>
              </w:rPr>
            </w:pPr>
            <w:hyperlink r:id="rId46">
              <w:r>
                <w:rPr>
                  <w:color w:val="1155CC"/>
                  <w:sz w:val="20"/>
                  <w:szCs w:val="20"/>
                  <w:u w:val="single"/>
                </w:rPr>
                <w:t>Guidelines for Improving Math Materials for ELs</w:t>
              </w:r>
            </w:hyperlink>
            <w:r>
              <w:rPr>
                <w:sz w:val="20"/>
                <w:szCs w:val="20"/>
              </w:rPr>
              <w:t xml:space="preserve"> (English L</w:t>
            </w:r>
            <w:r>
              <w:rPr>
                <w:sz w:val="20"/>
                <w:szCs w:val="20"/>
              </w:rPr>
              <w:t>earner Success Forum)</w:t>
            </w:r>
          </w:p>
          <w:p w14:paraId="628BCAD9" w14:textId="77777777" w:rsidR="008E5FE1" w:rsidRDefault="00721C74">
            <w:pPr>
              <w:numPr>
                <w:ilvl w:val="0"/>
                <w:numId w:val="7"/>
              </w:numPr>
              <w:spacing w:after="0" w:line="276" w:lineRule="auto"/>
              <w:ind w:left="346" w:hanging="274"/>
              <w:rPr>
                <w:sz w:val="20"/>
                <w:szCs w:val="20"/>
              </w:rPr>
            </w:pPr>
            <w:hyperlink r:id="rId47">
              <w:r>
                <w:rPr>
                  <w:color w:val="0000FF"/>
                  <w:sz w:val="20"/>
                  <w:szCs w:val="20"/>
                  <w:u w:val="single"/>
                </w:rPr>
                <w:t>The 2020 Edition</w:t>
              </w:r>
            </w:hyperlink>
            <w:r>
              <w:rPr>
                <w:sz w:val="20"/>
                <w:szCs w:val="20"/>
              </w:rPr>
              <w:t xml:space="preserve"> (WIDA Consortium)</w:t>
            </w:r>
            <w:r>
              <w:rPr>
                <w:sz w:val="20"/>
                <w:szCs w:val="20"/>
              </w:rPr>
              <w:br/>
            </w:r>
          </w:p>
          <w:p w14:paraId="27F1DFFE" w14:textId="77777777" w:rsidR="008E5FE1" w:rsidRDefault="00721C74">
            <w:pPr>
              <w:numPr>
                <w:ilvl w:val="0"/>
                <w:numId w:val="7"/>
              </w:numPr>
              <w:spacing w:after="0" w:line="276" w:lineRule="auto"/>
              <w:ind w:left="346" w:hanging="274"/>
              <w:rPr>
                <w:sz w:val="20"/>
                <w:szCs w:val="20"/>
              </w:rPr>
            </w:pPr>
            <w:hyperlink r:id="rId48">
              <w:r>
                <w:rPr>
                  <w:color w:val="1155CC"/>
                  <w:sz w:val="20"/>
                  <w:szCs w:val="20"/>
                  <w:u w:val="single"/>
                </w:rPr>
                <w:t>Examples of relevant resources</w:t>
              </w:r>
            </w:hyperlink>
            <w:r>
              <w:rPr>
                <w:sz w:val="20"/>
                <w:szCs w:val="20"/>
              </w:rPr>
              <w:t xml:space="preserve"> (WIDA Consortium):</w:t>
            </w:r>
            <w:r>
              <w:rPr>
                <w:color w:val="FF0000"/>
                <w:sz w:val="20"/>
                <w:szCs w:val="20"/>
              </w:rPr>
              <w:t xml:space="preserve"> </w:t>
            </w:r>
          </w:p>
          <w:p w14:paraId="052AE21A" w14:textId="77777777" w:rsidR="008E5FE1" w:rsidRDefault="00721C74">
            <w:pPr>
              <w:numPr>
                <w:ilvl w:val="1"/>
                <w:numId w:val="7"/>
              </w:numPr>
              <w:spacing w:after="0" w:line="276" w:lineRule="auto"/>
              <w:ind w:left="621" w:hanging="274"/>
              <w:rPr>
                <w:sz w:val="20"/>
                <w:szCs w:val="20"/>
              </w:rPr>
            </w:pPr>
            <w:r>
              <w:rPr>
                <w:sz w:val="20"/>
                <w:szCs w:val="20"/>
              </w:rPr>
              <w:t>Sensory supports (e.g., real-life objects, manipulatives, videos)</w:t>
            </w:r>
          </w:p>
          <w:p w14:paraId="5930B637" w14:textId="77777777" w:rsidR="008E5FE1" w:rsidRDefault="00721C74">
            <w:pPr>
              <w:numPr>
                <w:ilvl w:val="1"/>
                <w:numId w:val="7"/>
              </w:numPr>
              <w:spacing w:after="0" w:line="276" w:lineRule="auto"/>
              <w:ind w:left="621" w:hanging="274"/>
              <w:rPr>
                <w:sz w:val="20"/>
                <w:szCs w:val="20"/>
              </w:rPr>
            </w:pPr>
            <w:r>
              <w:rPr>
                <w:sz w:val="20"/>
                <w:szCs w:val="20"/>
              </w:rPr>
              <w:t>Graphic supports (e.g., charts, tables, graphs, timelines)</w:t>
            </w:r>
          </w:p>
          <w:p w14:paraId="3CCB53B7" w14:textId="77777777" w:rsidR="008E5FE1" w:rsidRDefault="00721C74">
            <w:pPr>
              <w:numPr>
                <w:ilvl w:val="1"/>
                <w:numId w:val="7"/>
              </w:numPr>
              <w:spacing w:after="0" w:line="276" w:lineRule="auto"/>
              <w:ind w:left="621" w:hanging="274"/>
              <w:rPr>
                <w:sz w:val="20"/>
                <w:szCs w:val="20"/>
              </w:rPr>
            </w:pPr>
            <w:r>
              <w:rPr>
                <w:sz w:val="20"/>
                <w:szCs w:val="20"/>
              </w:rPr>
              <w:t>Interactive support</w:t>
            </w:r>
            <w:r>
              <w:rPr>
                <w:sz w:val="20"/>
                <w:szCs w:val="20"/>
              </w:rPr>
              <w:t>s (e.g., pair and group work, software)</w:t>
            </w:r>
          </w:p>
          <w:p w14:paraId="5F57775C" w14:textId="77777777" w:rsidR="008E5FE1" w:rsidRDefault="008E5FE1">
            <w:pPr>
              <w:spacing w:after="0" w:line="276" w:lineRule="auto"/>
              <w:ind w:left="347"/>
              <w:rPr>
                <w:sz w:val="20"/>
                <w:szCs w:val="20"/>
              </w:rPr>
            </w:pPr>
          </w:p>
          <w:p w14:paraId="398AE322" w14:textId="77777777" w:rsidR="008E5FE1" w:rsidRDefault="00721C74">
            <w:pPr>
              <w:numPr>
                <w:ilvl w:val="0"/>
                <w:numId w:val="7"/>
              </w:numPr>
              <w:pBdr>
                <w:top w:val="nil"/>
                <w:left w:val="nil"/>
                <w:bottom w:val="nil"/>
                <w:right w:val="nil"/>
                <w:between w:val="nil"/>
              </w:pBdr>
              <w:spacing w:after="0" w:line="276" w:lineRule="auto"/>
              <w:ind w:left="346" w:hanging="274"/>
              <w:rPr>
                <w:sz w:val="20"/>
                <w:szCs w:val="20"/>
              </w:rPr>
            </w:pPr>
            <w:r>
              <w:rPr>
                <w:sz w:val="20"/>
                <w:szCs w:val="20"/>
              </w:rPr>
              <w:t>On the importance of language support for ELs in math:</w:t>
            </w:r>
          </w:p>
          <w:p w14:paraId="2038599C" w14:textId="77777777" w:rsidR="008E5FE1" w:rsidRDefault="00721C74">
            <w:pPr>
              <w:numPr>
                <w:ilvl w:val="1"/>
                <w:numId w:val="7"/>
              </w:numPr>
              <w:pBdr>
                <w:top w:val="nil"/>
                <w:left w:val="nil"/>
                <w:bottom w:val="nil"/>
                <w:right w:val="nil"/>
                <w:between w:val="nil"/>
              </w:pBdr>
              <w:spacing w:after="0" w:line="276" w:lineRule="auto"/>
              <w:ind w:left="621" w:hanging="274"/>
              <w:rPr>
                <w:sz w:val="20"/>
                <w:szCs w:val="20"/>
              </w:rPr>
            </w:pPr>
            <w:hyperlink r:id="rId49">
              <w:r>
                <w:rPr>
                  <w:color w:val="1155CC"/>
                  <w:sz w:val="20"/>
                  <w:szCs w:val="20"/>
                  <w:u w:val="single"/>
                </w:rPr>
                <w:t>ELLs Count on Language Support in Math</w:t>
              </w:r>
            </w:hyperlink>
            <w:r>
              <w:rPr>
                <w:sz w:val="20"/>
                <w:szCs w:val="20"/>
              </w:rPr>
              <w:t xml:space="preserve"> (Varlas, 2018)</w:t>
            </w:r>
          </w:p>
          <w:p w14:paraId="2CD26960" w14:textId="77777777" w:rsidR="008E5FE1" w:rsidRDefault="00721C74">
            <w:pPr>
              <w:numPr>
                <w:ilvl w:val="1"/>
                <w:numId w:val="7"/>
              </w:numPr>
              <w:spacing w:after="180" w:line="276" w:lineRule="auto"/>
              <w:ind w:left="621" w:hanging="270"/>
              <w:rPr>
                <w:sz w:val="20"/>
                <w:szCs w:val="20"/>
              </w:rPr>
            </w:pPr>
            <w:hyperlink r:id="rId50">
              <w:r>
                <w:rPr>
                  <w:color w:val="1155CC"/>
                  <w:sz w:val="20"/>
                  <w:szCs w:val="20"/>
                  <w:u w:val="single"/>
                </w:rPr>
                <w:t>Math Instruction for English Language Learners</w:t>
              </w:r>
            </w:hyperlink>
            <w:r>
              <w:rPr>
                <w:sz w:val="20"/>
                <w:szCs w:val="20"/>
              </w:rPr>
              <w:t xml:space="preserve"> (Robertson)</w:t>
            </w:r>
          </w:p>
        </w:tc>
      </w:tr>
      <w:tr w:rsidR="008E5FE1" w14:paraId="39D5F834" w14:textId="77777777" w:rsidTr="003934DA">
        <w:tc>
          <w:tcPr>
            <w:tcW w:w="1795" w:type="dxa"/>
            <w:vMerge/>
            <w:shd w:val="clear" w:color="auto" w:fill="C6D9F1"/>
          </w:tcPr>
          <w:p w14:paraId="5AD76761" w14:textId="77777777" w:rsidR="008E5FE1" w:rsidRDefault="008E5FE1">
            <w:pPr>
              <w:widowControl w:val="0"/>
              <w:pBdr>
                <w:top w:val="nil"/>
                <w:left w:val="nil"/>
                <w:bottom w:val="nil"/>
                <w:right w:val="nil"/>
                <w:between w:val="nil"/>
              </w:pBdr>
              <w:spacing w:after="0" w:line="276" w:lineRule="auto"/>
              <w:rPr>
                <w:sz w:val="20"/>
                <w:szCs w:val="20"/>
              </w:rPr>
            </w:pPr>
          </w:p>
        </w:tc>
        <w:tc>
          <w:tcPr>
            <w:tcW w:w="3420" w:type="dxa"/>
            <w:shd w:val="clear" w:color="auto" w:fill="C6D9F1"/>
          </w:tcPr>
          <w:p w14:paraId="14A5E9F4" w14:textId="77777777" w:rsidR="008E5FE1" w:rsidRDefault="00721C74">
            <w:pPr>
              <w:numPr>
                <w:ilvl w:val="0"/>
                <w:numId w:val="14"/>
              </w:numPr>
              <w:pBdr>
                <w:top w:val="nil"/>
                <w:left w:val="nil"/>
                <w:bottom w:val="nil"/>
                <w:right w:val="nil"/>
                <w:between w:val="nil"/>
              </w:pBdr>
              <w:spacing w:after="180" w:line="276" w:lineRule="auto"/>
              <w:rPr>
                <w:b/>
              </w:rPr>
            </w:pPr>
            <w:r>
              <w:rPr>
                <w:b/>
                <w:color w:val="000000"/>
              </w:rPr>
              <w:t xml:space="preserve">Materials include questions and tasks that affirm and value diverse </w:t>
            </w:r>
            <w:r>
              <w:rPr>
                <w:b/>
                <w:color w:val="000000"/>
              </w:rPr>
              <w:t>identities, backgrounds, and perspectives.</w:t>
            </w:r>
          </w:p>
        </w:tc>
        <w:tc>
          <w:tcPr>
            <w:tcW w:w="5580" w:type="dxa"/>
          </w:tcPr>
          <w:p w14:paraId="3C0CF6D4" w14:textId="77777777" w:rsidR="008E5FE1" w:rsidRDefault="00721C74">
            <w:pPr>
              <w:spacing w:after="0" w:line="276" w:lineRule="auto"/>
              <w:ind w:left="77" w:hanging="4"/>
            </w:pPr>
            <w:r>
              <w:t>Questions to consider:</w:t>
            </w:r>
          </w:p>
          <w:p w14:paraId="5865FDE7" w14:textId="77777777" w:rsidR="008E5FE1" w:rsidRDefault="00721C74">
            <w:pPr>
              <w:numPr>
                <w:ilvl w:val="0"/>
                <w:numId w:val="39"/>
              </w:numPr>
              <w:spacing w:after="0" w:line="276" w:lineRule="auto"/>
              <w:rPr>
                <w:color w:val="000000"/>
              </w:rPr>
            </w:pPr>
            <w:r>
              <w:rPr>
                <w:color w:val="000000"/>
              </w:rPr>
              <w:t>Do the materials elevate diverse backgrounds, perspectives, languages, and identities to deepen learning?</w:t>
            </w:r>
          </w:p>
          <w:p w14:paraId="5BCA6D6B" w14:textId="77777777" w:rsidR="008E5FE1" w:rsidRDefault="008E5FE1">
            <w:pPr>
              <w:spacing w:after="0" w:line="276" w:lineRule="auto"/>
              <w:ind w:left="720"/>
              <w:rPr>
                <w:color w:val="000000"/>
              </w:rPr>
            </w:pPr>
          </w:p>
          <w:p w14:paraId="7FD48E4A" w14:textId="77777777" w:rsidR="008E5FE1" w:rsidRDefault="00721C74">
            <w:pPr>
              <w:numPr>
                <w:ilvl w:val="0"/>
                <w:numId w:val="39"/>
              </w:numPr>
              <w:spacing w:after="180" w:line="276" w:lineRule="auto"/>
              <w:rPr>
                <w:color w:val="000000"/>
              </w:rPr>
            </w:pPr>
            <w:r>
              <w:t xml:space="preserve">Do the materials challenge existing narratives about historically </w:t>
            </w:r>
            <w:r>
              <w:t>marginalized and historically centered or normed cultures including challenges rooted in systemic oppression?</w:t>
            </w:r>
          </w:p>
          <w:p w14:paraId="1863A6B8" w14:textId="77777777" w:rsidR="008E5FE1" w:rsidRDefault="00721C74">
            <w:pPr>
              <w:numPr>
                <w:ilvl w:val="0"/>
                <w:numId w:val="39"/>
              </w:numPr>
              <w:spacing w:after="0" w:line="276" w:lineRule="auto"/>
              <w:rPr>
                <w:color w:val="000000"/>
              </w:rPr>
            </w:pPr>
            <w:r>
              <w:t>Do the materials promote recognition of the validity and worth of all cultures and languages?</w:t>
            </w:r>
          </w:p>
          <w:p w14:paraId="41FFA1CF" w14:textId="77777777" w:rsidR="008E5FE1" w:rsidRDefault="008E5FE1">
            <w:pPr>
              <w:spacing w:after="0" w:line="276" w:lineRule="auto"/>
              <w:ind w:left="720"/>
              <w:rPr>
                <w:color w:val="000000"/>
              </w:rPr>
            </w:pPr>
          </w:p>
          <w:p w14:paraId="06EF4830" w14:textId="77777777" w:rsidR="008E5FE1" w:rsidRDefault="00721C74">
            <w:pPr>
              <w:numPr>
                <w:ilvl w:val="0"/>
                <w:numId w:val="39"/>
              </w:numPr>
              <w:spacing w:after="0" w:line="276" w:lineRule="auto"/>
              <w:rPr>
                <w:color w:val="000000"/>
              </w:rPr>
            </w:pPr>
            <w:r>
              <w:rPr>
                <w:color w:val="000000"/>
              </w:rPr>
              <w:t>Do the materials provide factual, historical attrib</w:t>
            </w:r>
            <w:r>
              <w:rPr>
                <w:color w:val="000000"/>
              </w:rPr>
              <w:t>utions for the development of concepts and applications related to the content?</w:t>
            </w:r>
          </w:p>
          <w:p w14:paraId="24B0FF94" w14:textId="77777777" w:rsidR="008E5FE1" w:rsidRDefault="008E5FE1">
            <w:pPr>
              <w:spacing w:after="0" w:line="276" w:lineRule="auto"/>
              <w:rPr>
                <w:color w:val="000000"/>
              </w:rPr>
            </w:pPr>
          </w:p>
          <w:p w14:paraId="354995B3" w14:textId="77777777" w:rsidR="008E5FE1" w:rsidRDefault="00721C74">
            <w:pPr>
              <w:numPr>
                <w:ilvl w:val="0"/>
                <w:numId w:val="39"/>
              </w:numPr>
              <w:spacing w:after="0" w:line="276" w:lineRule="auto"/>
              <w:rPr>
                <w:color w:val="000000"/>
              </w:rPr>
            </w:pPr>
            <w:r>
              <w:t>Consider whether the questions and tasks support students to:</w:t>
            </w:r>
          </w:p>
          <w:p w14:paraId="6300D20F" w14:textId="77777777" w:rsidR="008E5FE1" w:rsidRDefault="00721C74">
            <w:pPr>
              <w:numPr>
                <w:ilvl w:val="1"/>
                <w:numId w:val="39"/>
              </w:numPr>
              <w:spacing w:after="0" w:line="276" w:lineRule="auto"/>
              <w:rPr>
                <w:color w:val="000000"/>
              </w:rPr>
            </w:pPr>
            <w:r>
              <w:t xml:space="preserve">Actively draw upon students’ diverse backgrounds </w:t>
            </w:r>
          </w:p>
          <w:p w14:paraId="31878814" w14:textId="77777777" w:rsidR="008E5FE1" w:rsidRDefault="00721C74">
            <w:pPr>
              <w:numPr>
                <w:ilvl w:val="1"/>
                <w:numId w:val="39"/>
              </w:numPr>
              <w:spacing w:after="0" w:line="276" w:lineRule="auto"/>
              <w:rPr>
                <w:color w:val="000000"/>
              </w:rPr>
            </w:pPr>
            <w:r>
              <w:t>Make real-life connections</w:t>
            </w:r>
          </w:p>
          <w:p w14:paraId="377C400E" w14:textId="77777777" w:rsidR="008E5FE1" w:rsidRDefault="00721C74">
            <w:pPr>
              <w:numPr>
                <w:ilvl w:val="1"/>
                <w:numId w:val="39"/>
              </w:numPr>
              <w:spacing w:after="0" w:line="276" w:lineRule="auto"/>
              <w:rPr>
                <w:color w:val="000000"/>
              </w:rPr>
            </w:pPr>
            <w:r>
              <w:t>Examine their own and others’ perspe</w:t>
            </w:r>
            <w:r>
              <w:t>ctives</w:t>
            </w:r>
          </w:p>
          <w:p w14:paraId="34B23C4B" w14:textId="77777777" w:rsidR="008E5FE1" w:rsidRDefault="00721C74">
            <w:pPr>
              <w:numPr>
                <w:ilvl w:val="1"/>
                <w:numId w:val="39"/>
              </w:numPr>
              <w:spacing w:after="180" w:line="276" w:lineRule="auto"/>
              <w:rPr>
                <w:color w:val="000000"/>
              </w:rPr>
            </w:pPr>
            <w:r>
              <w:t>Help advance student thinking and actions about identity, equity, power, and oppression</w:t>
            </w:r>
          </w:p>
        </w:tc>
        <w:tc>
          <w:tcPr>
            <w:tcW w:w="3725" w:type="dxa"/>
          </w:tcPr>
          <w:p w14:paraId="34BFCF9B" w14:textId="77777777" w:rsidR="008E5FE1" w:rsidRDefault="00721C74">
            <w:pPr>
              <w:numPr>
                <w:ilvl w:val="0"/>
                <w:numId w:val="8"/>
              </w:numPr>
              <w:spacing w:after="180" w:line="276" w:lineRule="auto"/>
              <w:rPr>
                <w:sz w:val="20"/>
                <w:szCs w:val="20"/>
              </w:rPr>
            </w:pPr>
            <w:hyperlink r:id="rId51">
              <w:r>
                <w:rPr>
                  <w:color w:val="1155CC"/>
                  <w:sz w:val="20"/>
                  <w:szCs w:val="20"/>
                  <w:u w:val="single"/>
                </w:rPr>
                <w:t>Assessing Bias in Standards and Curricular Materials</w:t>
              </w:r>
            </w:hyperlink>
            <w:r>
              <w:rPr>
                <w:sz w:val="20"/>
                <w:szCs w:val="20"/>
              </w:rPr>
              <w:t xml:space="preserve"> (Coomer, Skelton, Kyser, Thorius, &amp; Warren, 2017)</w:t>
            </w:r>
          </w:p>
          <w:p w14:paraId="3D8C364A" w14:textId="77777777" w:rsidR="008E5FE1" w:rsidRDefault="00721C74">
            <w:pPr>
              <w:numPr>
                <w:ilvl w:val="0"/>
                <w:numId w:val="8"/>
              </w:numPr>
              <w:spacing w:after="180" w:line="276" w:lineRule="auto"/>
              <w:rPr>
                <w:color w:val="1155CC"/>
                <w:sz w:val="20"/>
                <w:szCs w:val="20"/>
              </w:rPr>
            </w:pPr>
            <w:hyperlink r:id="rId52">
              <w:r>
                <w:rPr>
                  <w:color w:val="1155CC"/>
                  <w:sz w:val="20"/>
                  <w:szCs w:val="20"/>
                  <w:u w:val="single"/>
                </w:rPr>
                <w:t>Education Week article and linked resources</w:t>
              </w:r>
            </w:hyperlink>
            <w:r>
              <w:rPr>
                <w:color w:val="1155CC"/>
                <w:sz w:val="20"/>
                <w:szCs w:val="20"/>
              </w:rPr>
              <w:t xml:space="preserve"> </w:t>
            </w:r>
          </w:p>
          <w:p w14:paraId="470B8B93" w14:textId="77777777" w:rsidR="008E5FE1" w:rsidRDefault="00721C74">
            <w:pPr>
              <w:numPr>
                <w:ilvl w:val="0"/>
                <w:numId w:val="8"/>
              </w:numPr>
              <w:spacing w:after="180" w:line="276" w:lineRule="auto"/>
              <w:rPr>
                <w:color w:val="0000FF"/>
                <w:sz w:val="20"/>
                <w:szCs w:val="20"/>
              </w:rPr>
            </w:pPr>
            <w:hyperlink r:id="rId53">
              <w:r>
                <w:rPr>
                  <w:color w:val="1155CC"/>
                  <w:sz w:val="20"/>
                  <w:szCs w:val="20"/>
                  <w:u w:val="single"/>
                </w:rPr>
                <w:t>The Culturally Responsive-Sustaining STEAM Curriculum Scorecard</w:t>
              </w:r>
            </w:hyperlink>
            <w:r>
              <w:rPr>
                <w:sz w:val="20"/>
                <w:szCs w:val="20"/>
              </w:rPr>
              <w:t xml:space="preserve"> (New York: Metropolitan </w:t>
            </w:r>
            <w:r>
              <w:rPr>
                <w:sz w:val="20"/>
                <w:szCs w:val="20"/>
              </w:rPr>
              <w:t>Center for Research on Equity and the Transformation of Schools, NYU, 2021)</w:t>
            </w:r>
          </w:p>
          <w:p w14:paraId="20F66650" w14:textId="77777777" w:rsidR="008E5FE1" w:rsidRDefault="00721C74">
            <w:pPr>
              <w:numPr>
                <w:ilvl w:val="0"/>
                <w:numId w:val="8"/>
              </w:numPr>
              <w:spacing w:after="180" w:line="276" w:lineRule="auto"/>
              <w:rPr>
                <w:color w:val="1155CC"/>
                <w:sz w:val="20"/>
                <w:szCs w:val="20"/>
              </w:rPr>
            </w:pPr>
            <w:hyperlink r:id="rId54">
              <w:r>
                <w:rPr>
                  <w:color w:val="1155CC"/>
                  <w:sz w:val="20"/>
                  <w:szCs w:val="20"/>
                  <w:u w:val="single"/>
                </w:rPr>
                <w:t>Culturally Responsive Curriculum (H</w:t>
              </w:r>
              <w:r>
                <w:rPr>
                  <w:color w:val="1155CC"/>
                  <w:sz w:val="20"/>
                  <w:szCs w:val="20"/>
                  <w:u w:val="single"/>
                </w:rPr>
                <w:t>anover Research, 2020)</w:t>
              </w:r>
            </w:hyperlink>
          </w:p>
          <w:p w14:paraId="27BFD1B9" w14:textId="77777777" w:rsidR="008E5FE1" w:rsidRDefault="00721C74">
            <w:pPr>
              <w:numPr>
                <w:ilvl w:val="0"/>
                <w:numId w:val="8"/>
              </w:numPr>
              <w:spacing w:after="180" w:line="276" w:lineRule="auto"/>
              <w:rPr>
                <w:color w:val="1155CC"/>
                <w:sz w:val="20"/>
                <w:szCs w:val="20"/>
              </w:rPr>
            </w:pPr>
            <w:hyperlink r:id="rId55">
              <w:r>
                <w:rPr>
                  <w:color w:val="1155CC"/>
                  <w:sz w:val="20"/>
                  <w:szCs w:val="20"/>
                  <w:u w:val="single"/>
                </w:rPr>
                <w:t>Mathematics for Whom: Reframing and Humanizing Mathematics</w:t>
              </w:r>
            </w:hyperlink>
          </w:p>
          <w:p w14:paraId="04DD64B3" w14:textId="77777777" w:rsidR="008E5FE1" w:rsidRDefault="00721C74">
            <w:pPr>
              <w:numPr>
                <w:ilvl w:val="0"/>
                <w:numId w:val="8"/>
              </w:numPr>
              <w:spacing w:after="180" w:line="276" w:lineRule="auto"/>
              <w:rPr>
                <w:color w:val="000000"/>
                <w:sz w:val="20"/>
                <w:szCs w:val="20"/>
              </w:rPr>
            </w:pPr>
            <w:hyperlink r:id="rId56">
              <w:r>
                <w:rPr>
                  <w:color w:val="1155CC"/>
                  <w:sz w:val="20"/>
                  <w:szCs w:val="20"/>
                  <w:u w:val="single"/>
                </w:rPr>
                <w:t>Culturally and Linguistically Sustaining Practices</w:t>
              </w:r>
            </w:hyperlink>
            <w:r>
              <w:rPr>
                <w:sz w:val="20"/>
                <w:szCs w:val="20"/>
              </w:rPr>
              <w:t>: MA DESE definition of cultural responsivene</w:t>
            </w:r>
            <w:r>
              <w:rPr>
                <w:sz w:val="20"/>
                <w:szCs w:val="20"/>
              </w:rPr>
              <w:t xml:space="preserve">ss and tools for professional development </w:t>
            </w:r>
          </w:p>
          <w:p w14:paraId="3C6CED3C" w14:textId="77777777" w:rsidR="008E5FE1" w:rsidRDefault="00721C74">
            <w:pPr>
              <w:numPr>
                <w:ilvl w:val="0"/>
                <w:numId w:val="8"/>
              </w:numPr>
              <w:spacing w:after="180" w:line="276" w:lineRule="auto"/>
              <w:rPr>
                <w:sz w:val="20"/>
                <w:szCs w:val="20"/>
              </w:rPr>
            </w:pPr>
            <w:hyperlink r:id="rId57">
              <w:r>
                <w:rPr>
                  <w:color w:val="0000FF"/>
                  <w:sz w:val="20"/>
                  <w:szCs w:val="20"/>
                  <w:u w:val="single"/>
                </w:rPr>
                <w:t>Math Guidelines: Area of Focus IV; Leveraging Students' Assets</w:t>
              </w:r>
            </w:hyperlink>
            <w:r>
              <w:rPr>
                <w:sz w:val="20"/>
                <w:szCs w:val="20"/>
              </w:rPr>
              <w:t xml:space="preserve"> (The English Learner Success Forum, ELSF, p.13)</w:t>
            </w:r>
          </w:p>
        </w:tc>
      </w:tr>
      <w:tr w:rsidR="008E5FE1" w14:paraId="0D546D89" w14:textId="77777777" w:rsidTr="003934DA">
        <w:trPr>
          <w:trHeight w:val="220"/>
        </w:trPr>
        <w:tc>
          <w:tcPr>
            <w:tcW w:w="1795" w:type="dxa"/>
            <w:vMerge w:val="restart"/>
            <w:shd w:val="clear" w:color="auto" w:fill="C6D9F1"/>
          </w:tcPr>
          <w:p w14:paraId="609FC1D3" w14:textId="77777777" w:rsidR="008E5FE1" w:rsidRDefault="00721C74">
            <w:pPr>
              <w:pBdr>
                <w:top w:val="nil"/>
                <w:left w:val="nil"/>
                <w:bottom w:val="nil"/>
                <w:right w:val="nil"/>
                <w:between w:val="nil"/>
              </w:pBdr>
              <w:spacing w:after="180" w:line="276" w:lineRule="auto"/>
              <w:rPr>
                <w:b/>
                <w:color w:val="000000"/>
              </w:rPr>
            </w:pPr>
            <w:r>
              <w:rPr>
                <w:b/>
                <w:color w:val="000000"/>
              </w:rPr>
              <w:t>4. Usability for Teachers</w:t>
            </w:r>
          </w:p>
          <w:p w14:paraId="6BDB9ACF" w14:textId="77777777" w:rsidR="008E5FE1" w:rsidRDefault="00721C74">
            <w:pPr>
              <w:spacing w:after="180" w:line="276" w:lineRule="auto"/>
              <w:rPr>
                <w:color w:val="0563C1"/>
                <w:sz w:val="20"/>
                <w:szCs w:val="20"/>
                <w:u w:val="single"/>
              </w:rPr>
            </w:pPr>
            <w:r>
              <w:rPr>
                <w:i/>
                <w:sz w:val="20"/>
                <w:szCs w:val="20"/>
              </w:rPr>
              <w:t xml:space="preserve">Note: </w:t>
            </w:r>
            <w:r>
              <w:rPr>
                <w:sz w:val="20"/>
                <w:szCs w:val="20"/>
              </w:rPr>
              <w:t xml:space="preserve">Materials should strongly support teachers in their everyday work. Standard I of the </w:t>
            </w:r>
            <w:hyperlink r:id="rId58">
              <w:r>
                <w:rPr>
                  <w:color w:val="1155CC"/>
                  <w:sz w:val="20"/>
                  <w:szCs w:val="20"/>
                  <w:u w:val="single"/>
                </w:rPr>
                <w:t>MA model teacher evaluation rubric</w:t>
              </w:r>
            </w:hyperlink>
            <w:r>
              <w:rPr>
                <w:sz w:val="20"/>
                <w:szCs w:val="20"/>
              </w:rPr>
              <w:t xml:space="preserve"> defines expectations for tea</w:t>
            </w:r>
            <w:r>
              <w:rPr>
                <w:sz w:val="20"/>
                <w:szCs w:val="20"/>
              </w:rPr>
              <w:t>chers related to curriculum, planning, and assessment.</w:t>
            </w:r>
          </w:p>
          <w:p w14:paraId="62CEEB43" w14:textId="77777777" w:rsidR="008E5FE1" w:rsidRDefault="008E5FE1">
            <w:pPr>
              <w:pBdr>
                <w:top w:val="nil"/>
                <w:left w:val="nil"/>
                <w:bottom w:val="nil"/>
                <w:right w:val="nil"/>
                <w:between w:val="nil"/>
              </w:pBdr>
              <w:spacing w:after="180" w:line="276" w:lineRule="auto"/>
              <w:rPr>
                <w:color w:val="0563C1"/>
                <w:u w:val="single"/>
              </w:rPr>
            </w:pPr>
          </w:p>
          <w:p w14:paraId="3724511E" w14:textId="77777777" w:rsidR="008E5FE1" w:rsidRDefault="008E5FE1">
            <w:pPr>
              <w:pBdr>
                <w:top w:val="nil"/>
                <w:left w:val="nil"/>
                <w:bottom w:val="nil"/>
                <w:right w:val="nil"/>
                <w:between w:val="nil"/>
              </w:pBdr>
              <w:spacing w:after="180" w:line="276" w:lineRule="auto"/>
            </w:pPr>
          </w:p>
        </w:tc>
        <w:tc>
          <w:tcPr>
            <w:tcW w:w="3420" w:type="dxa"/>
            <w:shd w:val="clear" w:color="auto" w:fill="C6D9F1"/>
          </w:tcPr>
          <w:p w14:paraId="0748B555" w14:textId="77777777" w:rsidR="008E5FE1" w:rsidRDefault="00721C74">
            <w:pPr>
              <w:numPr>
                <w:ilvl w:val="0"/>
                <w:numId w:val="11"/>
              </w:numPr>
              <w:pBdr>
                <w:top w:val="nil"/>
                <w:left w:val="nil"/>
                <w:bottom w:val="nil"/>
                <w:right w:val="nil"/>
                <w:between w:val="nil"/>
              </w:pBdr>
              <w:spacing w:after="180" w:line="276" w:lineRule="auto"/>
              <w:rPr>
                <w:b/>
              </w:rPr>
            </w:pPr>
            <w:r>
              <w:rPr>
                <w:b/>
              </w:rPr>
              <w:t xml:space="preserve">Lessons and tasks advance student learning with clear purpose. </w:t>
            </w:r>
          </w:p>
        </w:tc>
        <w:tc>
          <w:tcPr>
            <w:tcW w:w="5580" w:type="dxa"/>
          </w:tcPr>
          <w:p w14:paraId="0B6131A8" w14:textId="77777777" w:rsidR="008E5FE1" w:rsidRDefault="00721C74">
            <w:pPr>
              <w:spacing w:after="0" w:line="276" w:lineRule="auto"/>
              <w:ind w:left="77" w:hanging="5"/>
            </w:pPr>
            <w:r>
              <w:t>Consider whether:</w:t>
            </w:r>
          </w:p>
          <w:p w14:paraId="2ABAC137" w14:textId="77777777" w:rsidR="008E5FE1" w:rsidRDefault="00721C74">
            <w:pPr>
              <w:numPr>
                <w:ilvl w:val="0"/>
                <w:numId w:val="23"/>
              </w:numPr>
              <w:spacing w:after="0" w:line="276" w:lineRule="auto"/>
              <w:ind w:left="346" w:hanging="274"/>
            </w:pPr>
            <w:r>
              <w:t>The intended purpose of each lesson and task is clear, and content and language learning are interdependent.</w:t>
            </w:r>
            <w:r>
              <w:br/>
              <w:t>.</w:t>
            </w:r>
          </w:p>
          <w:p w14:paraId="599323E2" w14:textId="77777777" w:rsidR="008E5FE1" w:rsidRDefault="00721C74">
            <w:pPr>
              <w:numPr>
                <w:ilvl w:val="0"/>
                <w:numId w:val="23"/>
              </w:numPr>
              <w:spacing w:after="180" w:line="276" w:lineRule="auto"/>
              <w:ind w:left="346" w:hanging="274"/>
            </w:pPr>
            <w:r>
              <w:t>Lessons and tasks serve their intended purposes effectively.</w:t>
            </w:r>
          </w:p>
        </w:tc>
        <w:tc>
          <w:tcPr>
            <w:tcW w:w="3725" w:type="dxa"/>
            <w:vMerge w:val="restart"/>
          </w:tcPr>
          <w:p w14:paraId="7CD48B2F" w14:textId="77777777" w:rsidR="008E5FE1" w:rsidRDefault="00721C74">
            <w:pPr>
              <w:numPr>
                <w:ilvl w:val="0"/>
                <w:numId w:val="31"/>
              </w:numPr>
              <w:pBdr>
                <w:top w:val="nil"/>
                <w:left w:val="nil"/>
                <w:bottom w:val="nil"/>
                <w:right w:val="nil"/>
                <w:between w:val="nil"/>
              </w:pBdr>
              <w:spacing w:after="180" w:line="276" w:lineRule="auto"/>
              <w:rPr>
                <w:color w:val="000000"/>
                <w:sz w:val="20"/>
                <w:szCs w:val="20"/>
              </w:rPr>
            </w:pPr>
            <w:hyperlink r:id="rId59">
              <w:r>
                <w:rPr>
                  <w:color w:val="0000FF"/>
                  <w:sz w:val="20"/>
                  <w:szCs w:val="20"/>
                  <w:u w:val="single"/>
                </w:rPr>
                <w:t>Principles for the Design of Mathematics Curricu</w:t>
              </w:r>
              <w:r>
                <w:rPr>
                  <w:color w:val="0000FF"/>
                  <w:sz w:val="20"/>
                  <w:szCs w:val="20"/>
                  <w:u w:val="single"/>
                </w:rPr>
                <w:t>la: Promoting Language and Content Development</w:t>
              </w:r>
            </w:hyperlink>
            <w:r>
              <w:rPr>
                <w:color w:val="000000"/>
                <w:sz w:val="20"/>
                <w:szCs w:val="20"/>
              </w:rPr>
              <w:t xml:space="preserve"> (Stanford University) </w:t>
            </w:r>
          </w:p>
          <w:p w14:paraId="00EC9479" w14:textId="77777777" w:rsidR="008E5FE1" w:rsidRDefault="00721C74">
            <w:pPr>
              <w:pBdr>
                <w:top w:val="nil"/>
                <w:left w:val="nil"/>
                <w:bottom w:val="nil"/>
                <w:right w:val="nil"/>
                <w:between w:val="nil"/>
              </w:pBdr>
              <w:spacing w:after="180" w:line="276" w:lineRule="auto"/>
              <w:ind w:left="81" w:hanging="9"/>
            </w:pPr>
            <w:r>
              <w:rPr>
                <w:sz w:val="20"/>
                <w:szCs w:val="20"/>
              </w:rPr>
              <w:t xml:space="preserve">[DESE is collecting samples of openly available curricular materials that exemplify various aspects of usability. To nominate a resource to be featured here, contact </w:t>
            </w:r>
            <w:hyperlink r:id="rId60">
              <w:r>
                <w:rPr>
                  <w:color w:val="0000FF"/>
                  <w:sz w:val="20"/>
                  <w:szCs w:val="20"/>
                  <w:u w:val="single"/>
                </w:rPr>
                <w:t>DESE-CURATE@mass.gov</w:t>
              </w:r>
            </w:hyperlink>
            <w:r>
              <w:t>.]</w:t>
            </w:r>
          </w:p>
          <w:p w14:paraId="0F0885F4" w14:textId="77777777" w:rsidR="008E5FE1" w:rsidRDefault="00721C74">
            <w:pPr>
              <w:numPr>
                <w:ilvl w:val="0"/>
                <w:numId w:val="31"/>
              </w:numPr>
              <w:spacing w:after="180" w:line="276" w:lineRule="auto"/>
              <w:rPr>
                <w:sz w:val="20"/>
                <w:szCs w:val="20"/>
              </w:rPr>
            </w:pPr>
            <w:hyperlink r:id="rId61">
              <w:r>
                <w:rPr>
                  <w:color w:val="0000FF"/>
                  <w:sz w:val="20"/>
                  <w:szCs w:val="20"/>
                  <w:u w:val="single"/>
                </w:rPr>
                <w:t>Math Guidelines: Area of Focus V; Assessment of Mathematical Content, Practice, and Language</w:t>
              </w:r>
            </w:hyperlink>
            <w:r>
              <w:rPr>
                <w:sz w:val="20"/>
                <w:szCs w:val="20"/>
              </w:rPr>
              <w:t xml:space="preserve"> (ELSF, p.14)</w:t>
            </w:r>
          </w:p>
          <w:p w14:paraId="5507AA9F" w14:textId="77777777" w:rsidR="008E5FE1" w:rsidRDefault="008E5FE1">
            <w:pPr>
              <w:spacing w:after="180" w:line="276" w:lineRule="auto"/>
              <w:ind w:left="81" w:hanging="9"/>
              <w:rPr>
                <w:sz w:val="20"/>
                <w:szCs w:val="20"/>
              </w:rPr>
            </w:pPr>
          </w:p>
          <w:p w14:paraId="222977F5" w14:textId="77777777" w:rsidR="008E5FE1" w:rsidRDefault="008E5FE1">
            <w:pPr>
              <w:spacing w:after="180" w:line="276" w:lineRule="auto"/>
              <w:ind w:left="81" w:hanging="9"/>
              <w:rPr>
                <w:sz w:val="20"/>
                <w:szCs w:val="20"/>
              </w:rPr>
            </w:pPr>
          </w:p>
          <w:p w14:paraId="2BEBBA3D" w14:textId="77777777" w:rsidR="008E5FE1" w:rsidRDefault="008E5FE1">
            <w:pPr>
              <w:spacing w:after="180" w:line="276" w:lineRule="auto"/>
              <w:rPr>
                <w:sz w:val="20"/>
                <w:szCs w:val="20"/>
              </w:rPr>
            </w:pPr>
          </w:p>
        </w:tc>
      </w:tr>
      <w:tr w:rsidR="008E5FE1" w14:paraId="73CE18EE" w14:textId="77777777" w:rsidTr="003934DA">
        <w:trPr>
          <w:trHeight w:val="220"/>
        </w:trPr>
        <w:tc>
          <w:tcPr>
            <w:tcW w:w="1795" w:type="dxa"/>
            <w:vMerge/>
            <w:shd w:val="clear" w:color="auto" w:fill="C6D9F1"/>
          </w:tcPr>
          <w:p w14:paraId="7AFADD29" w14:textId="77777777" w:rsidR="008E5FE1" w:rsidRDefault="008E5FE1">
            <w:pPr>
              <w:widowControl w:val="0"/>
              <w:pBdr>
                <w:top w:val="nil"/>
                <w:left w:val="nil"/>
                <w:bottom w:val="nil"/>
                <w:right w:val="nil"/>
                <w:between w:val="nil"/>
              </w:pBdr>
              <w:spacing w:after="0" w:line="276" w:lineRule="auto"/>
              <w:rPr>
                <w:sz w:val="20"/>
                <w:szCs w:val="20"/>
              </w:rPr>
            </w:pPr>
          </w:p>
        </w:tc>
        <w:tc>
          <w:tcPr>
            <w:tcW w:w="3420" w:type="dxa"/>
            <w:shd w:val="clear" w:color="auto" w:fill="C6D9F1"/>
          </w:tcPr>
          <w:p w14:paraId="0503572C" w14:textId="77777777" w:rsidR="008E5FE1" w:rsidRDefault="00721C74">
            <w:pPr>
              <w:numPr>
                <w:ilvl w:val="0"/>
                <w:numId w:val="11"/>
              </w:numPr>
              <w:pBdr>
                <w:top w:val="nil"/>
                <w:left w:val="nil"/>
                <w:bottom w:val="nil"/>
                <w:right w:val="nil"/>
                <w:between w:val="nil"/>
              </w:pBdr>
              <w:spacing w:after="180" w:line="276" w:lineRule="auto"/>
              <w:rPr>
                <w:b/>
              </w:rPr>
            </w:pPr>
            <w:r>
              <w:rPr>
                <w:b/>
              </w:rPr>
              <w:t>Materials support teachers with suggested classroom routines and structures (e.g., grouping strategies).</w:t>
            </w:r>
          </w:p>
        </w:tc>
        <w:tc>
          <w:tcPr>
            <w:tcW w:w="5580" w:type="dxa"/>
          </w:tcPr>
          <w:p w14:paraId="6C33EE66" w14:textId="77777777" w:rsidR="008E5FE1" w:rsidRDefault="00721C74">
            <w:pPr>
              <w:numPr>
                <w:ilvl w:val="0"/>
                <w:numId w:val="33"/>
              </w:numPr>
              <w:spacing w:after="180" w:line="276" w:lineRule="auto"/>
              <w:ind w:left="346" w:hanging="274"/>
            </w:pPr>
            <w:r>
              <w:rPr>
                <w:i/>
              </w:rPr>
              <w:t>Routines</w:t>
            </w:r>
            <w:r>
              <w:t xml:space="preserve"> might involve math vocabulary, fact fluency, mental math, number talks, or math manipulatives.</w:t>
            </w:r>
          </w:p>
          <w:p w14:paraId="1F4DC0D5" w14:textId="77777777" w:rsidR="008E5FE1" w:rsidRDefault="00721C74">
            <w:pPr>
              <w:numPr>
                <w:ilvl w:val="1"/>
                <w:numId w:val="33"/>
              </w:numPr>
              <w:spacing w:after="180" w:line="276" w:lineRule="auto"/>
            </w:pPr>
            <w:r>
              <w:rPr>
                <w:i/>
              </w:rPr>
              <w:t>Routines</w:t>
            </w:r>
            <w:r>
              <w:t xml:space="preserve"> should encourage equitable and inclusive student participation that support the simultaneous development of language and content learning.</w:t>
            </w:r>
          </w:p>
          <w:p w14:paraId="04EB75F0" w14:textId="77777777" w:rsidR="008E5FE1" w:rsidRDefault="00721C74">
            <w:pPr>
              <w:numPr>
                <w:ilvl w:val="0"/>
                <w:numId w:val="33"/>
              </w:numPr>
              <w:spacing w:after="180" w:line="276" w:lineRule="auto"/>
              <w:ind w:left="346" w:hanging="274"/>
            </w:pPr>
            <w:r>
              <w:rPr>
                <w:i/>
              </w:rPr>
              <w:t>Structures</w:t>
            </w:r>
            <w:r>
              <w:t xml:space="preserve"> (</w:t>
            </w:r>
            <w:r>
              <w:t>e.g., pair work, math stations, talk protocols, speaking prompts, listening/note taking tools, group work roles) might be designed to broaden participation and cultivate collaboration among students, including English learners.</w:t>
            </w:r>
          </w:p>
          <w:p w14:paraId="58182166" w14:textId="77777777" w:rsidR="008E5FE1" w:rsidRDefault="00721C74">
            <w:pPr>
              <w:numPr>
                <w:ilvl w:val="1"/>
                <w:numId w:val="33"/>
              </w:numPr>
              <w:spacing w:after="0" w:line="276" w:lineRule="auto"/>
            </w:pPr>
            <w:r>
              <w:t>Structures should be designe</w:t>
            </w:r>
            <w:r>
              <w:t>d to broaden participation and cultivate collaboration among students, including English learners.</w:t>
            </w:r>
            <w:r>
              <w:br/>
            </w:r>
          </w:p>
          <w:p w14:paraId="30C61C26" w14:textId="77777777" w:rsidR="008E5FE1" w:rsidRDefault="00721C74">
            <w:pPr>
              <w:numPr>
                <w:ilvl w:val="0"/>
                <w:numId w:val="33"/>
              </w:numPr>
              <w:spacing w:after="180" w:line="276" w:lineRule="auto"/>
              <w:ind w:left="346" w:hanging="274"/>
              <w:rPr>
                <w:color w:val="000000"/>
              </w:rPr>
            </w:pPr>
            <w:r>
              <w:t xml:space="preserve">Materials provide resources to support productive student discourse. </w:t>
            </w:r>
          </w:p>
          <w:p w14:paraId="3B32AC55" w14:textId="77777777" w:rsidR="008E5FE1" w:rsidRDefault="00721C74">
            <w:pPr>
              <w:numPr>
                <w:ilvl w:val="0"/>
                <w:numId w:val="33"/>
              </w:numPr>
              <w:spacing w:after="180" w:line="276" w:lineRule="auto"/>
              <w:ind w:left="346" w:hanging="274"/>
              <w:rPr>
                <w:color w:val="000000"/>
              </w:rPr>
            </w:pPr>
            <w:r>
              <w:t>Materials provide resources to actively avoid potential bias in grouping strategies.</w:t>
            </w:r>
          </w:p>
        </w:tc>
        <w:tc>
          <w:tcPr>
            <w:tcW w:w="3725" w:type="dxa"/>
            <w:vMerge/>
          </w:tcPr>
          <w:p w14:paraId="2209FA25" w14:textId="77777777" w:rsidR="008E5FE1" w:rsidRDefault="008E5FE1">
            <w:pPr>
              <w:widowControl w:val="0"/>
              <w:pBdr>
                <w:top w:val="nil"/>
                <w:left w:val="nil"/>
                <w:bottom w:val="nil"/>
                <w:right w:val="nil"/>
                <w:between w:val="nil"/>
              </w:pBdr>
              <w:spacing w:after="0" w:line="276" w:lineRule="auto"/>
              <w:rPr>
                <w:color w:val="000000"/>
              </w:rPr>
            </w:pPr>
          </w:p>
        </w:tc>
      </w:tr>
      <w:tr w:rsidR="008E5FE1" w14:paraId="1FB2FA75" w14:textId="77777777" w:rsidTr="003934DA">
        <w:trPr>
          <w:trHeight w:val="220"/>
        </w:trPr>
        <w:tc>
          <w:tcPr>
            <w:tcW w:w="1795" w:type="dxa"/>
            <w:vMerge/>
            <w:shd w:val="clear" w:color="auto" w:fill="C6D9F1"/>
          </w:tcPr>
          <w:p w14:paraId="449F6B35" w14:textId="77777777" w:rsidR="008E5FE1" w:rsidRDefault="008E5FE1">
            <w:pPr>
              <w:widowControl w:val="0"/>
              <w:pBdr>
                <w:top w:val="nil"/>
                <w:left w:val="nil"/>
                <w:bottom w:val="nil"/>
                <w:right w:val="nil"/>
                <w:between w:val="nil"/>
              </w:pBdr>
              <w:spacing w:after="0" w:line="276" w:lineRule="auto"/>
              <w:rPr>
                <w:color w:val="000000"/>
              </w:rPr>
            </w:pPr>
          </w:p>
        </w:tc>
        <w:tc>
          <w:tcPr>
            <w:tcW w:w="3420" w:type="dxa"/>
            <w:shd w:val="clear" w:color="auto" w:fill="C6D9F1"/>
          </w:tcPr>
          <w:p w14:paraId="32E096C3" w14:textId="77777777" w:rsidR="008E5FE1" w:rsidRDefault="00721C74">
            <w:pPr>
              <w:numPr>
                <w:ilvl w:val="0"/>
                <w:numId w:val="11"/>
              </w:numPr>
              <w:pBdr>
                <w:top w:val="nil"/>
                <w:left w:val="nil"/>
                <w:bottom w:val="nil"/>
                <w:right w:val="nil"/>
                <w:between w:val="nil"/>
              </w:pBdr>
              <w:spacing w:after="180" w:line="276" w:lineRule="auto"/>
              <w:rPr>
                <w:b/>
              </w:rPr>
            </w:pPr>
            <w:r>
              <w:rPr>
                <w:b/>
              </w:rPr>
              <w:t>Pacing is reasonable and flexible; the curriculum can be implemented effectively within a typical school year.</w:t>
            </w:r>
          </w:p>
        </w:tc>
        <w:tc>
          <w:tcPr>
            <w:tcW w:w="5580" w:type="dxa"/>
          </w:tcPr>
          <w:p w14:paraId="6D048DC1" w14:textId="77777777" w:rsidR="008E5FE1" w:rsidRDefault="00721C74">
            <w:pPr>
              <w:spacing w:after="0" w:line="276" w:lineRule="auto"/>
              <w:ind w:left="77"/>
            </w:pPr>
            <w:r>
              <w:t>Consider whether:</w:t>
            </w:r>
          </w:p>
          <w:p w14:paraId="62BF19ED" w14:textId="77777777" w:rsidR="008E5FE1" w:rsidRDefault="00721C74">
            <w:pPr>
              <w:numPr>
                <w:ilvl w:val="0"/>
                <w:numId w:val="5"/>
              </w:numPr>
              <w:spacing w:after="0" w:line="276" w:lineRule="auto"/>
              <w:ind w:left="346" w:hanging="274"/>
            </w:pPr>
            <w:r>
              <w:t>Time estimates for lessons and units are accurate.</w:t>
            </w:r>
            <w:r>
              <w:br/>
            </w:r>
          </w:p>
          <w:p w14:paraId="585279D4" w14:textId="77777777" w:rsidR="008E5FE1" w:rsidRDefault="00721C74">
            <w:pPr>
              <w:numPr>
                <w:ilvl w:val="0"/>
                <w:numId w:val="5"/>
              </w:numPr>
              <w:spacing w:after="180" w:line="276" w:lineRule="auto"/>
              <w:ind w:left="346" w:hanging="274"/>
            </w:pPr>
            <w:r>
              <w:t xml:space="preserve">Required number of minutes per day and days per year are </w:t>
            </w:r>
            <w:r>
              <w:t>feasible.</w:t>
            </w:r>
          </w:p>
          <w:p w14:paraId="6F18A6F5" w14:textId="77777777" w:rsidR="008E5FE1" w:rsidRDefault="00721C74">
            <w:pPr>
              <w:numPr>
                <w:ilvl w:val="0"/>
                <w:numId w:val="5"/>
              </w:numPr>
              <w:spacing w:after="180" w:line="276" w:lineRule="auto"/>
              <w:ind w:left="346" w:hanging="274"/>
            </w:pPr>
            <w:r>
              <w:t>Flexible options exist for a variety of school schedules and unforeseen circumstances.</w:t>
            </w:r>
          </w:p>
          <w:p w14:paraId="1FCA0941" w14:textId="77777777" w:rsidR="008E5FE1" w:rsidRDefault="00721C74">
            <w:pPr>
              <w:numPr>
                <w:ilvl w:val="0"/>
                <w:numId w:val="5"/>
              </w:numPr>
              <w:spacing w:after="180" w:line="276" w:lineRule="auto"/>
              <w:ind w:left="346" w:hanging="274"/>
              <w:rPr>
                <w:color w:val="000000"/>
              </w:rPr>
            </w:pPr>
            <w:r>
              <w:t xml:space="preserve">Guidance is provided to make educated decisions for what resources and aspects of the lesson to be prioritized on a daily basis.  </w:t>
            </w:r>
          </w:p>
        </w:tc>
        <w:tc>
          <w:tcPr>
            <w:tcW w:w="3725" w:type="dxa"/>
            <w:vMerge/>
          </w:tcPr>
          <w:p w14:paraId="24D1CD05" w14:textId="77777777" w:rsidR="008E5FE1" w:rsidRDefault="008E5FE1">
            <w:pPr>
              <w:widowControl w:val="0"/>
              <w:pBdr>
                <w:top w:val="nil"/>
                <w:left w:val="nil"/>
                <w:bottom w:val="nil"/>
                <w:right w:val="nil"/>
                <w:between w:val="nil"/>
              </w:pBdr>
              <w:spacing w:after="0" w:line="276" w:lineRule="auto"/>
              <w:rPr>
                <w:color w:val="000000"/>
              </w:rPr>
            </w:pPr>
          </w:p>
        </w:tc>
      </w:tr>
      <w:tr w:rsidR="008E5FE1" w14:paraId="2F2E191F" w14:textId="77777777" w:rsidTr="003934DA">
        <w:trPr>
          <w:trHeight w:val="220"/>
        </w:trPr>
        <w:tc>
          <w:tcPr>
            <w:tcW w:w="1795" w:type="dxa"/>
            <w:vMerge/>
            <w:shd w:val="clear" w:color="auto" w:fill="C6D9F1"/>
          </w:tcPr>
          <w:p w14:paraId="303F127A" w14:textId="77777777" w:rsidR="008E5FE1" w:rsidRDefault="008E5FE1">
            <w:pPr>
              <w:widowControl w:val="0"/>
              <w:pBdr>
                <w:top w:val="nil"/>
                <w:left w:val="nil"/>
                <w:bottom w:val="nil"/>
                <w:right w:val="nil"/>
                <w:between w:val="nil"/>
              </w:pBdr>
              <w:spacing w:after="0" w:line="276" w:lineRule="auto"/>
              <w:rPr>
                <w:color w:val="000000"/>
              </w:rPr>
            </w:pPr>
          </w:p>
        </w:tc>
        <w:tc>
          <w:tcPr>
            <w:tcW w:w="3420" w:type="dxa"/>
            <w:shd w:val="clear" w:color="auto" w:fill="C6D9F1"/>
          </w:tcPr>
          <w:p w14:paraId="7EB4A018" w14:textId="77777777" w:rsidR="008E5FE1" w:rsidRDefault="00721C74">
            <w:pPr>
              <w:numPr>
                <w:ilvl w:val="0"/>
                <w:numId w:val="11"/>
              </w:numPr>
              <w:pBdr>
                <w:top w:val="nil"/>
                <w:left w:val="nil"/>
                <w:bottom w:val="nil"/>
                <w:right w:val="nil"/>
                <w:between w:val="nil"/>
              </w:pBdr>
              <w:spacing w:after="180" w:line="276" w:lineRule="auto"/>
              <w:rPr>
                <w:b/>
              </w:rPr>
            </w:pPr>
            <w:r>
              <w:rPr>
                <w:b/>
              </w:rPr>
              <w:t xml:space="preserve">Materials include </w:t>
            </w:r>
            <w:r>
              <w:rPr>
                <w:b/>
              </w:rPr>
              <w:t>informal and formal assessments that help teachers measure learning and adjust instruction.</w:t>
            </w:r>
          </w:p>
        </w:tc>
        <w:tc>
          <w:tcPr>
            <w:tcW w:w="5580" w:type="dxa"/>
          </w:tcPr>
          <w:p w14:paraId="726EA763" w14:textId="77777777" w:rsidR="008E5FE1" w:rsidRDefault="00721C74">
            <w:pPr>
              <w:spacing w:after="0" w:line="276" w:lineRule="auto"/>
              <w:ind w:left="77"/>
            </w:pPr>
            <w:r>
              <w:t>Consider whether:</w:t>
            </w:r>
          </w:p>
          <w:p w14:paraId="1A1865BF" w14:textId="77777777" w:rsidR="008E5FE1" w:rsidRDefault="00721C74">
            <w:pPr>
              <w:numPr>
                <w:ilvl w:val="0"/>
                <w:numId w:val="40"/>
              </w:numPr>
              <w:spacing w:after="0" w:line="276" w:lineRule="auto"/>
              <w:ind w:left="346" w:hanging="274"/>
            </w:pPr>
            <w:r>
              <w:t>Assessments provide multiple opportunities to identify students’ misconceptions about taught skills or themes within and across units, and surface</w:t>
            </w:r>
            <w:r>
              <w:t xml:space="preserve"> gaps in skills knowledge, including language learning. </w:t>
            </w:r>
            <w:r>
              <w:br/>
            </w:r>
          </w:p>
          <w:p w14:paraId="35040FB4" w14:textId="77777777" w:rsidR="008E5FE1" w:rsidRDefault="00721C74">
            <w:pPr>
              <w:numPr>
                <w:ilvl w:val="0"/>
                <w:numId w:val="40"/>
              </w:numPr>
              <w:spacing w:after="180" w:line="276" w:lineRule="auto"/>
              <w:ind w:left="346" w:hanging="274"/>
            </w:pPr>
            <w:r>
              <w:t>Materials guide teachers toward next steps based on assessment data (e.g., reteaching, reassessing, continued practice).</w:t>
            </w:r>
          </w:p>
        </w:tc>
        <w:tc>
          <w:tcPr>
            <w:tcW w:w="3725" w:type="dxa"/>
            <w:vMerge/>
          </w:tcPr>
          <w:p w14:paraId="77DB3285" w14:textId="77777777" w:rsidR="008E5FE1" w:rsidRDefault="008E5FE1">
            <w:pPr>
              <w:widowControl w:val="0"/>
              <w:pBdr>
                <w:top w:val="nil"/>
                <w:left w:val="nil"/>
                <w:bottom w:val="nil"/>
                <w:right w:val="nil"/>
                <w:between w:val="nil"/>
              </w:pBdr>
              <w:spacing w:after="0" w:line="276" w:lineRule="auto"/>
            </w:pPr>
          </w:p>
        </w:tc>
      </w:tr>
      <w:tr w:rsidR="008E5FE1" w14:paraId="2DEC4360" w14:textId="77777777" w:rsidTr="003934DA">
        <w:trPr>
          <w:trHeight w:val="220"/>
        </w:trPr>
        <w:tc>
          <w:tcPr>
            <w:tcW w:w="1795" w:type="dxa"/>
            <w:vMerge/>
            <w:shd w:val="clear" w:color="auto" w:fill="C6D9F1"/>
          </w:tcPr>
          <w:p w14:paraId="16867708" w14:textId="77777777" w:rsidR="008E5FE1" w:rsidRDefault="008E5FE1">
            <w:pPr>
              <w:widowControl w:val="0"/>
              <w:pBdr>
                <w:top w:val="nil"/>
                <w:left w:val="nil"/>
                <w:bottom w:val="nil"/>
                <w:right w:val="nil"/>
                <w:between w:val="nil"/>
              </w:pBdr>
              <w:spacing w:after="0" w:line="276" w:lineRule="auto"/>
            </w:pPr>
          </w:p>
        </w:tc>
        <w:tc>
          <w:tcPr>
            <w:tcW w:w="3420" w:type="dxa"/>
            <w:shd w:val="clear" w:color="auto" w:fill="C6D9F1"/>
          </w:tcPr>
          <w:p w14:paraId="3F912D4C" w14:textId="77777777" w:rsidR="008E5FE1" w:rsidRDefault="00721C74">
            <w:pPr>
              <w:numPr>
                <w:ilvl w:val="0"/>
                <w:numId w:val="11"/>
              </w:numPr>
              <w:pBdr>
                <w:top w:val="nil"/>
                <w:left w:val="nil"/>
                <w:bottom w:val="nil"/>
                <w:right w:val="nil"/>
                <w:between w:val="nil"/>
              </w:pBdr>
              <w:spacing w:after="180" w:line="276" w:lineRule="auto"/>
              <w:rPr>
                <w:b/>
              </w:rPr>
            </w:pPr>
            <w:r>
              <w:rPr>
                <w:b/>
              </w:rPr>
              <w:t xml:space="preserve">Materials include rubrics, exemplars, or other resources to help teachers set clear and high expectations for students. </w:t>
            </w:r>
          </w:p>
        </w:tc>
        <w:tc>
          <w:tcPr>
            <w:tcW w:w="5580" w:type="dxa"/>
          </w:tcPr>
          <w:p w14:paraId="3F8389B6" w14:textId="77777777" w:rsidR="008E5FE1" w:rsidRDefault="00721C74">
            <w:pPr>
              <w:spacing w:after="0" w:line="276" w:lineRule="auto"/>
              <w:ind w:left="77"/>
            </w:pPr>
            <w:r>
              <w:t xml:space="preserve">In addition to rubrics and exemplars, relevant resources might include: </w:t>
            </w:r>
          </w:p>
          <w:p w14:paraId="3446E170" w14:textId="77777777" w:rsidR="008E5FE1" w:rsidRDefault="00721C74">
            <w:pPr>
              <w:numPr>
                <w:ilvl w:val="0"/>
                <w:numId w:val="24"/>
              </w:numPr>
              <w:spacing w:after="0" w:line="276" w:lineRule="auto"/>
              <w:ind w:left="346" w:hanging="274"/>
            </w:pPr>
            <w:r>
              <w:t>Checklists for students to use in peer or self-assessments.</w:t>
            </w:r>
            <w:r>
              <w:br/>
            </w:r>
          </w:p>
          <w:p w14:paraId="1E4342C2" w14:textId="77777777" w:rsidR="008E5FE1" w:rsidRDefault="00721C74">
            <w:pPr>
              <w:numPr>
                <w:ilvl w:val="0"/>
                <w:numId w:val="25"/>
              </w:numPr>
              <w:spacing w:after="180" w:line="276" w:lineRule="auto"/>
              <w:ind w:left="346" w:hanging="274"/>
            </w:pPr>
            <w:r>
              <w:t xml:space="preserve">Annotated student work at various levels of achievement, including non-exemplars, or student work at different levels of English development  </w:t>
            </w:r>
          </w:p>
          <w:p w14:paraId="1564C161" w14:textId="77777777" w:rsidR="008E5FE1" w:rsidRDefault="00721C74">
            <w:pPr>
              <w:numPr>
                <w:ilvl w:val="0"/>
                <w:numId w:val="25"/>
              </w:numPr>
              <w:spacing w:after="180" w:line="276" w:lineRule="auto"/>
              <w:ind w:left="346" w:hanging="274"/>
            </w:pPr>
            <w:r>
              <w:t>Guidance for the teacher to avoid bias in setting expectations for students.</w:t>
            </w:r>
          </w:p>
        </w:tc>
        <w:tc>
          <w:tcPr>
            <w:tcW w:w="3725" w:type="dxa"/>
            <w:vMerge/>
          </w:tcPr>
          <w:p w14:paraId="555B62DB" w14:textId="77777777" w:rsidR="008E5FE1" w:rsidRDefault="008E5FE1">
            <w:pPr>
              <w:widowControl w:val="0"/>
              <w:pBdr>
                <w:top w:val="nil"/>
                <w:left w:val="nil"/>
                <w:bottom w:val="nil"/>
                <w:right w:val="nil"/>
                <w:between w:val="nil"/>
              </w:pBdr>
              <w:spacing w:after="0" w:line="276" w:lineRule="auto"/>
            </w:pPr>
          </w:p>
        </w:tc>
      </w:tr>
      <w:tr w:rsidR="008E5FE1" w14:paraId="05A328FD" w14:textId="77777777" w:rsidTr="003934DA">
        <w:tc>
          <w:tcPr>
            <w:tcW w:w="1795" w:type="dxa"/>
            <w:vMerge/>
            <w:shd w:val="clear" w:color="auto" w:fill="C6D9F1"/>
          </w:tcPr>
          <w:p w14:paraId="5BE18F38" w14:textId="77777777" w:rsidR="008E5FE1" w:rsidRDefault="008E5FE1">
            <w:pPr>
              <w:widowControl w:val="0"/>
              <w:pBdr>
                <w:top w:val="nil"/>
                <w:left w:val="nil"/>
                <w:bottom w:val="nil"/>
                <w:right w:val="nil"/>
                <w:between w:val="nil"/>
              </w:pBdr>
              <w:spacing w:after="0" w:line="276" w:lineRule="auto"/>
            </w:pPr>
          </w:p>
        </w:tc>
        <w:tc>
          <w:tcPr>
            <w:tcW w:w="3420" w:type="dxa"/>
            <w:tcBorders>
              <w:bottom w:val="single" w:sz="4" w:space="0" w:color="000000"/>
            </w:tcBorders>
            <w:shd w:val="clear" w:color="auto" w:fill="C6D9F1"/>
          </w:tcPr>
          <w:p w14:paraId="77402CE9" w14:textId="77777777" w:rsidR="008E5FE1" w:rsidRDefault="00721C74">
            <w:pPr>
              <w:numPr>
                <w:ilvl w:val="0"/>
                <w:numId w:val="11"/>
              </w:numPr>
              <w:pBdr>
                <w:top w:val="nil"/>
                <w:left w:val="nil"/>
                <w:bottom w:val="nil"/>
                <w:right w:val="nil"/>
                <w:between w:val="nil"/>
              </w:pBdr>
              <w:spacing w:after="180" w:line="276" w:lineRule="auto"/>
              <w:rPr>
                <w:b/>
              </w:rPr>
            </w:pPr>
            <w:r>
              <w:rPr>
                <w:b/>
              </w:rPr>
              <w:t xml:space="preserve">Materials include </w:t>
            </w:r>
            <w:r>
              <w:rPr>
                <w:b/>
              </w:rPr>
              <w:t>guidance and resources designed specifically to build teachers’ knowledge.</w:t>
            </w:r>
          </w:p>
        </w:tc>
        <w:tc>
          <w:tcPr>
            <w:tcW w:w="5580" w:type="dxa"/>
            <w:tcBorders>
              <w:bottom w:val="single" w:sz="4" w:space="0" w:color="000000"/>
            </w:tcBorders>
          </w:tcPr>
          <w:p w14:paraId="7407D11D" w14:textId="77777777" w:rsidR="008E5FE1" w:rsidRDefault="00721C74">
            <w:pPr>
              <w:spacing w:after="180" w:line="276" w:lineRule="auto"/>
              <w:rPr>
                <w:color w:val="000000"/>
              </w:rPr>
            </w:pPr>
            <w:r>
              <w:rPr>
                <w:color w:val="000000"/>
              </w:rPr>
              <w:t xml:space="preserve">Relevant supports might bolster aspects of </w:t>
            </w:r>
            <w:r>
              <w:rPr>
                <w:i/>
                <w:color w:val="000000"/>
              </w:rPr>
              <w:t>content knowledge</w:t>
            </w:r>
            <w:r>
              <w:rPr>
                <w:color w:val="000000"/>
              </w:rPr>
              <w:t xml:space="preserve"> (e.g., math vocabulary, fundamental math theory), </w:t>
            </w:r>
            <w:r>
              <w:rPr>
                <w:i/>
                <w:color w:val="000000"/>
              </w:rPr>
              <w:t>pedagogical content knowledge</w:t>
            </w:r>
            <w:r>
              <w:rPr>
                <w:color w:val="000000"/>
              </w:rPr>
              <w:t xml:space="preserve"> (e.g., development of number sense or algebraic reasoning), and </w:t>
            </w:r>
            <w:r>
              <w:rPr>
                <w:i/>
                <w:color w:val="000000"/>
              </w:rPr>
              <w:t>inclusive and culturally and linguistically sustaining practice</w:t>
            </w:r>
            <w:r>
              <w:rPr>
                <w:color w:val="000000"/>
              </w:rPr>
              <w:t>.</w:t>
            </w:r>
          </w:p>
          <w:p w14:paraId="6AEE4A15" w14:textId="77777777" w:rsidR="008E5FE1" w:rsidRDefault="00721C74">
            <w:pPr>
              <w:numPr>
                <w:ilvl w:val="0"/>
                <w:numId w:val="37"/>
              </w:numPr>
              <w:spacing w:after="0" w:line="276" w:lineRule="auto"/>
              <w:rPr>
                <w:color w:val="000000"/>
              </w:rPr>
            </w:pPr>
            <w:r>
              <w:rPr>
                <w:color w:val="000000"/>
              </w:rPr>
              <w:t>Do the materials provide a range of supports for teachers that include both topic understanding, language development, and spe</w:t>
            </w:r>
            <w:r>
              <w:rPr>
                <w:color w:val="000000"/>
              </w:rPr>
              <w:t>cific lesson/standards guidance?</w:t>
            </w:r>
          </w:p>
          <w:p w14:paraId="529CEDE8" w14:textId="77777777" w:rsidR="008E5FE1" w:rsidRDefault="00721C74">
            <w:pPr>
              <w:numPr>
                <w:ilvl w:val="1"/>
                <w:numId w:val="37"/>
              </w:numPr>
              <w:spacing w:after="0" w:line="276" w:lineRule="auto"/>
              <w:rPr>
                <w:color w:val="000000"/>
              </w:rPr>
            </w:pPr>
            <w:r>
              <w:rPr>
                <w:color w:val="000000"/>
              </w:rPr>
              <w:t xml:space="preserve">Formats might vary: consider callout boxes and annotations in lessons, videos of classroom instruction, implementation guides, and more. </w:t>
            </w:r>
            <w:r>
              <w:rPr>
                <w:color w:val="000000"/>
              </w:rPr>
              <w:br/>
            </w:r>
          </w:p>
          <w:p w14:paraId="695FB4DF" w14:textId="77777777" w:rsidR="008E5FE1" w:rsidRDefault="00721C74">
            <w:pPr>
              <w:numPr>
                <w:ilvl w:val="0"/>
                <w:numId w:val="37"/>
              </w:numPr>
              <w:spacing w:after="0" w:line="276" w:lineRule="auto"/>
              <w:rPr>
                <w:color w:val="000000"/>
              </w:rPr>
            </w:pPr>
            <w:r>
              <w:rPr>
                <w:color w:val="000000"/>
              </w:rPr>
              <w:t>Do the materials support teachers to recognize their own pedagogical biases?</w:t>
            </w:r>
            <w:r>
              <w:rPr>
                <w:color w:val="000000"/>
              </w:rPr>
              <w:br/>
            </w:r>
          </w:p>
          <w:p w14:paraId="17AAB5D1" w14:textId="77777777" w:rsidR="008E5FE1" w:rsidRDefault="00721C74">
            <w:pPr>
              <w:numPr>
                <w:ilvl w:val="0"/>
                <w:numId w:val="37"/>
              </w:numPr>
              <w:spacing w:after="0" w:line="276" w:lineRule="auto"/>
              <w:rPr>
                <w:color w:val="000000"/>
              </w:rPr>
            </w:pPr>
            <w:r>
              <w:t>Do the</w:t>
            </w:r>
            <w:r>
              <w:t xml:space="preserve"> materials provide context for teachers to develop their sociocultural consciousness by contextualizing historical frames and providing various cultural developments for similar concepts?</w:t>
            </w:r>
            <w:r>
              <w:br/>
              <w:t xml:space="preserve"> </w:t>
            </w:r>
          </w:p>
          <w:p w14:paraId="0B0DCE7F" w14:textId="77777777" w:rsidR="008E5FE1" w:rsidRDefault="00721C74">
            <w:pPr>
              <w:numPr>
                <w:ilvl w:val="0"/>
                <w:numId w:val="37"/>
              </w:numPr>
              <w:spacing w:after="180" w:line="276" w:lineRule="auto"/>
              <w:rPr>
                <w:color w:val="000000"/>
              </w:rPr>
            </w:pPr>
            <w:r>
              <w:t>Do the materials provide teachers with guidance on how to approach</w:t>
            </w:r>
            <w:r>
              <w:t>, enhance, and customize lessons to be inclusive and responsive to the diverse identities of students, inclusive of linguistic, racial, ethnic, and gender diversity?</w:t>
            </w:r>
            <w:r>
              <w:br/>
            </w:r>
          </w:p>
        </w:tc>
        <w:tc>
          <w:tcPr>
            <w:tcW w:w="3725" w:type="dxa"/>
            <w:tcBorders>
              <w:bottom w:val="single" w:sz="4" w:space="0" w:color="000000"/>
            </w:tcBorders>
          </w:tcPr>
          <w:p w14:paraId="2BB7A120" w14:textId="77777777" w:rsidR="008E5FE1" w:rsidRDefault="00721C74">
            <w:pPr>
              <w:numPr>
                <w:ilvl w:val="0"/>
                <w:numId w:val="36"/>
              </w:numPr>
              <w:spacing w:after="180" w:line="276" w:lineRule="auto"/>
              <w:ind w:left="346" w:hanging="274"/>
              <w:rPr>
                <w:sz w:val="20"/>
                <w:szCs w:val="20"/>
              </w:rPr>
            </w:pPr>
            <w:r>
              <w:rPr>
                <w:sz w:val="20"/>
                <w:szCs w:val="20"/>
              </w:rPr>
              <w:t>Subject Matter Knowledge (SMK) Guidelines set expectations for Massachusetts educators’ c</w:t>
            </w:r>
            <w:r>
              <w:rPr>
                <w:sz w:val="20"/>
                <w:szCs w:val="20"/>
              </w:rPr>
              <w:t>ontent knowledge. Information about SMKs is available on DESE’s</w:t>
            </w:r>
            <w:r>
              <w:rPr>
                <w:color w:val="1155CC"/>
                <w:sz w:val="20"/>
                <w:szCs w:val="20"/>
              </w:rPr>
              <w:t xml:space="preserve"> </w:t>
            </w:r>
            <w:hyperlink r:id="rId62">
              <w:r>
                <w:rPr>
                  <w:color w:val="1155CC"/>
                  <w:sz w:val="20"/>
                  <w:szCs w:val="20"/>
                  <w:u w:val="single"/>
                </w:rPr>
                <w:t>educator preparation page</w:t>
              </w:r>
            </w:hyperlink>
            <w:r>
              <w:rPr>
                <w:sz w:val="20"/>
                <w:szCs w:val="20"/>
              </w:rPr>
              <w:t xml:space="preserve">. </w:t>
            </w:r>
          </w:p>
          <w:p w14:paraId="3EAD0AF0" w14:textId="77777777" w:rsidR="008E5FE1" w:rsidRDefault="00721C74">
            <w:pPr>
              <w:numPr>
                <w:ilvl w:val="0"/>
                <w:numId w:val="36"/>
              </w:numPr>
              <w:spacing w:after="180" w:line="276" w:lineRule="auto"/>
              <w:ind w:left="346" w:hanging="274"/>
              <w:rPr>
                <w:sz w:val="20"/>
                <w:szCs w:val="20"/>
              </w:rPr>
            </w:pPr>
            <w:hyperlink r:id="rId63">
              <w:r>
                <w:rPr>
                  <w:color w:val="1155CC"/>
                  <w:sz w:val="20"/>
                  <w:szCs w:val="20"/>
                  <w:u w:val="single"/>
                </w:rPr>
                <w:t>Designing Educative Curriculum Materials to Promote Teacher Learning</w:t>
              </w:r>
            </w:hyperlink>
            <w:r>
              <w:rPr>
                <w:color w:val="1155CC"/>
                <w:sz w:val="20"/>
                <w:szCs w:val="20"/>
              </w:rPr>
              <w:t xml:space="preserve"> </w:t>
            </w:r>
            <w:r>
              <w:rPr>
                <w:sz w:val="20"/>
                <w:szCs w:val="20"/>
              </w:rPr>
              <w:t>(Davis &amp; Krajcik, 2005)</w:t>
            </w:r>
          </w:p>
          <w:p w14:paraId="0F896984" w14:textId="77777777" w:rsidR="008E5FE1" w:rsidRDefault="00721C74">
            <w:pPr>
              <w:numPr>
                <w:ilvl w:val="0"/>
                <w:numId w:val="36"/>
              </w:numPr>
              <w:spacing w:after="180" w:line="276" w:lineRule="auto"/>
              <w:ind w:left="346" w:hanging="274"/>
              <w:rPr>
                <w:color w:val="1155CC"/>
                <w:sz w:val="20"/>
                <w:szCs w:val="20"/>
              </w:rPr>
            </w:pPr>
            <w:hyperlink r:id="rId64">
              <w:r>
                <w:rPr>
                  <w:color w:val="1155CC"/>
                  <w:sz w:val="20"/>
                  <w:szCs w:val="20"/>
                  <w:u w:val="single"/>
                </w:rPr>
                <w:t>Culturally and Linguistically Sustaining Practices</w:t>
              </w:r>
            </w:hyperlink>
            <w:r>
              <w:rPr>
                <w:sz w:val="20"/>
                <w:szCs w:val="20"/>
              </w:rPr>
              <w:t xml:space="preserve">: MA DESE definition of cultural responsiveness and tools for professional development </w:t>
            </w:r>
          </w:p>
          <w:p w14:paraId="25A195A4" w14:textId="77777777" w:rsidR="008E5FE1" w:rsidRDefault="00721C74">
            <w:pPr>
              <w:numPr>
                <w:ilvl w:val="0"/>
                <w:numId w:val="36"/>
              </w:numPr>
              <w:spacing w:after="180" w:line="276" w:lineRule="auto"/>
              <w:ind w:left="346" w:hanging="274"/>
              <w:rPr>
                <w:color w:val="1155CC"/>
                <w:sz w:val="20"/>
                <w:szCs w:val="20"/>
              </w:rPr>
            </w:pPr>
            <w:hyperlink r:id="rId65">
              <w:r>
                <w:rPr>
                  <w:color w:val="1155CC"/>
                  <w:sz w:val="20"/>
                  <w:szCs w:val="20"/>
                  <w:u w:val="single"/>
                </w:rPr>
                <w:t>Culturally Responsive Curriculum (Hanover Research, 2020)</w:t>
              </w:r>
            </w:hyperlink>
          </w:p>
          <w:p w14:paraId="42F68041" w14:textId="77777777" w:rsidR="008E5FE1" w:rsidRDefault="008E5FE1">
            <w:pPr>
              <w:spacing w:after="180" w:line="276" w:lineRule="auto"/>
              <w:rPr>
                <w:sz w:val="20"/>
                <w:szCs w:val="20"/>
              </w:rPr>
            </w:pPr>
          </w:p>
        </w:tc>
      </w:tr>
      <w:tr w:rsidR="008E5FE1" w14:paraId="66D8F973" w14:textId="77777777" w:rsidTr="003934DA">
        <w:trPr>
          <w:trHeight w:val="2798"/>
        </w:trPr>
        <w:tc>
          <w:tcPr>
            <w:tcW w:w="1795" w:type="dxa"/>
            <w:tcBorders>
              <w:bottom w:val="single" w:sz="8" w:space="0" w:color="000000"/>
            </w:tcBorders>
            <w:shd w:val="clear" w:color="auto" w:fill="C6D9F1"/>
          </w:tcPr>
          <w:p w14:paraId="5F68308C" w14:textId="77777777" w:rsidR="008E5FE1" w:rsidRDefault="00721C74">
            <w:pPr>
              <w:spacing w:after="180" w:line="276" w:lineRule="auto"/>
              <w:rPr>
                <w:b/>
              </w:rPr>
            </w:pPr>
            <w:r>
              <w:rPr>
                <w:b/>
              </w:rPr>
              <w:t>5. Impact on Learning</w:t>
            </w:r>
          </w:p>
          <w:p w14:paraId="3B1B655E" w14:textId="77777777" w:rsidR="008E5FE1" w:rsidRDefault="00721C74">
            <w:pPr>
              <w:spacing w:after="180" w:line="276" w:lineRule="auto"/>
              <w:rPr>
                <w:b/>
              </w:rPr>
            </w:pPr>
            <w:r>
              <w:rPr>
                <w:i/>
                <w:sz w:val="20"/>
                <w:szCs w:val="20"/>
              </w:rPr>
              <w:t xml:space="preserve">Note: </w:t>
            </w:r>
            <w:r>
              <w:rPr>
                <w:sz w:val="20"/>
                <w:szCs w:val="20"/>
              </w:rPr>
              <w:t xml:space="preserve">For CURATE reviews, DESE’s research </w:t>
            </w:r>
            <w:r>
              <w:rPr>
                <w:sz w:val="20"/>
                <w:szCs w:val="20"/>
              </w:rPr>
              <w:t>office determines ratings for this indicator and criterion.</w:t>
            </w:r>
          </w:p>
        </w:tc>
        <w:tc>
          <w:tcPr>
            <w:tcW w:w="3420" w:type="dxa"/>
            <w:tcBorders>
              <w:bottom w:val="single" w:sz="8" w:space="0" w:color="000000"/>
            </w:tcBorders>
            <w:shd w:val="clear" w:color="auto" w:fill="C6D9F1"/>
          </w:tcPr>
          <w:p w14:paraId="250CA051" w14:textId="77777777" w:rsidR="008E5FE1" w:rsidRDefault="00721C74">
            <w:pPr>
              <w:numPr>
                <w:ilvl w:val="0"/>
                <w:numId w:val="3"/>
              </w:numPr>
              <w:spacing w:after="180" w:line="276" w:lineRule="auto"/>
              <w:rPr>
                <w:b/>
              </w:rPr>
            </w:pPr>
            <w:r>
              <w:rPr>
                <w:b/>
              </w:rPr>
              <w:t xml:space="preserve">Research demonstrates that the materials have a positive impact on student learning. </w:t>
            </w:r>
          </w:p>
        </w:tc>
        <w:tc>
          <w:tcPr>
            <w:tcW w:w="5580" w:type="dxa"/>
            <w:tcBorders>
              <w:bottom w:val="single" w:sz="8" w:space="0" w:color="000000"/>
            </w:tcBorders>
          </w:tcPr>
          <w:p w14:paraId="706EFCBE" w14:textId="77777777" w:rsidR="008E5FE1" w:rsidRDefault="00721C74">
            <w:pPr>
              <w:numPr>
                <w:ilvl w:val="0"/>
                <w:numId w:val="1"/>
              </w:numPr>
              <w:spacing w:after="0" w:line="276" w:lineRule="auto"/>
              <w:ind w:left="346" w:hanging="274"/>
            </w:pPr>
            <w:r>
              <w:t>Research that meets expectations:</w:t>
            </w:r>
          </w:p>
          <w:p w14:paraId="6CE30380" w14:textId="77777777" w:rsidR="008E5FE1" w:rsidRDefault="00721C74">
            <w:pPr>
              <w:numPr>
                <w:ilvl w:val="1"/>
                <w:numId w:val="1"/>
              </w:numPr>
              <w:spacing w:after="0" w:line="276" w:lineRule="auto"/>
              <w:ind w:left="617" w:hanging="274"/>
            </w:pPr>
            <w:r>
              <w:t xml:space="preserve">Falls into evidence tiers 1, 2, or 3 as </w:t>
            </w:r>
            <w:hyperlink r:id="rId66">
              <w:r>
                <w:rPr>
                  <w:color w:val="1155CC"/>
                  <w:u w:val="single"/>
                </w:rPr>
                <w:t>defined by ESSA</w:t>
              </w:r>
            </w:hyperlink>
          </w:p>
          <w:p w14:paraId="5C0A36B7" w14:textId="77777777" w:rsidR="008E5FE1" w:rsidRDefault="00721C74">
            <w:pPr>
              <w:numPr>
                <w:ilvl w:val="1"/>
                <w:numId w:val="1"/>
              </w:numPr>
              <w:spacing w:after="0" w:line="276" w:lineRule="auto"/>
              <w:ind w:left="617" w:hanging="274"/>
            </w:pPr>
            <w:r>
              <w:t>Concerns the specific product under review, not just pedagogical strategies the product incorporates</w:t>
            </w:r>
          </w:p>
          <w:p w14:paraId="0EE1F602" w14:textId="77777777" w:rsidR="008E5FE1" w:rsidRDefault="00721C74">
            <w:pPr>
              <w:numPr>
                <w:ilvl w:val="1"/>
                <w:numId w:val="1"/>
              </w:numPr>
              <w:spacing w:after="0" w:line="276" w:lineRule="auto"/>
              <w:ind w:left="617" w:hanging="274"/>
            </w:pPr>
            <w:r>
              <w:t xml:space="preserve">Is conducted by an independent, </w:t>
            </w:r>
            <w:r>
              <w:t>disinterested party</w:t>
            </w:r>
          </w:p>
        </w:tc>
        <w:tc>
          <w:tcPr>
            <w:tcW w:w="3725" w:type="dxa"/>
            <w:tcBorders>
              <w:bottom w:val="single" w:sz="8" w:space="0" w:color="000000"/>
            </w:tcBorders>
          </w:tcPr>
          <w:p w14:paraId="0DA750F2" w14:textId="77777777" w:rsidR="008E5FE1" w:rsidRDefault="00721C74">
            <w:pPr>
              <w:numPr>
                <w:ilvl w:val="0"/>
                <w:numId w:val="32"/>
              </w:numPr>
              <w:spacing w:after="180" w:line="276" w:lineRule="auto"/>
              <w:ind w:left="346" w:hanging="274"/>
              <w:rPr>
                <w:sz w:val="20"/>
                <w:szCs w:val="20"/>
              </w:rPr>
            </w:pPr>
            <w:r>
              <w:rPr>
                <w:sz w:val="20"/>
                <w:szCs w:val="20"/>
              </w:rPr>
              <w:t xml:space="preserve">DESE’s </w:t>
            </w:r>
            <w:hyperlink r:id="rId67">
              <w:r>
                <w:rPr>
                  <w:color w:val="1155CC"/>
                  <w:sz w:val="20"/>
                  <w:szCs w:val="20"/>
                  <w:u w:val="single"/>
                </w:rPr>
                <w:t>“How Do We Know?” Initiative</w:t>
              </w:r>
            </w:hyperlink>
            <w:r>
              <w:rPr>
                <w:color w:val="1155CC"/>
                <w:sz w:val="20"/>
                <w:szCs w:val="20"/>
              </w:rPr>
              <w:t xml:space="preserve"> </w:t>
            </w:r>
            <w:r>
              <w:rPr>
                <w:sz w:val="20"/>
                <w:szCs w:val="20"/>
              </w:rPr>
              <w:t>helps educators gather, assess, and use evidence to make informed decisions about programs and practic</w:t>
            </w:r>
            <w:r>
              <w:rPr>
                <w:sz w:val="20"/>
                <w:szCs w:val="20"/>
              </w:rPr>
              <w:t>es.</w:t>
            </w:r>
          </w:p>
        </w:tc>
      </w:tr>
    </w:tbl>
    <w:p w14:paraId="2CE6B10E" w14:textId="77777777" w:rsidR="008E5FE1" w:rsidRDefault="008E5FE1">
      <w:pPr>
        <w:pBdr>
          <w:top w:val="nil"/>
          <w:left w:val="nil"/>
          <w:bottom w:val="nil"/>
          <w:right w:val="nil"/>
          <w:between w:val="nil"/>
        </w:pBdr>
        <w:spacing w:after="0" w:line="276" w:lineRule="auto"/>
      </w:pPr>
    </w:p>
    <w:p w14:paraId="29233EBA" w14:textId="77777777" w:rsidR="008E5FE1" w:rsidRDefault="008E5FE1">
      <w:pPr>
        <w:spacing w:line="276" w:lineRule="auto"/>
      </w:pPr>
    </w:p>
    <w:sectPr w:rsidR="008E5FE1">
      <w:footerReference w:type="default" r:id="rId68"/>
      <w:footerReference w:type="first" r:id="rId69"/>
      <w:pgSz w:w="15840" w:h="12240" w:orient="landscape"/>
      <w:pgMar w:top="540" w:right="720" w:bottom="720" w:left="720" w:header="720" w:footer="12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92B5" w14:textId="77777777" w:rsidR="001C7EFE" w:rsidRDefault="001C7EFE">
      <w:pPr>
        <w:spacing w:after="0" w:line="240" w:lineRule="auto"/>
      </w:pPr>
      <w:r>
        <w:separator/>
      </w:r>
    </w:p>
  </w:endnote>
  <w:endnote w:type="continuationSeparator" w:id="0">
    <w:p w14:paraId="09C18BC2" w14:textId="77777777" w:rsidR="001C7EFE" w:rsidRDefault="001C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84F0" w14:textId="77777777" w:rsidR="008E5FE1" w:rsidRDefault="008E5FE1">
    <w:pPr>
      <w:pBdr>
        <w:top w:val="nil"/>
        <w:left w:val="nil"/>
        <w:bottom w:val="nil"/>
        <w:right w:val="nil"/>
        <w:between w:val="nil"/>
      </w:pBdr>
      <w:tabs>
        <w:tab w:val="center" w:pos="4680"/>
        <w:tab w:val="right" w:pos="9360"/>
      </w:tabs>
      <w:spacing w:after="0" w:line="240"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80DB" w14:textId="77777777" w:rsidR="008E5FE1" w:rsidRDefault="008E5FE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2AC8" w14:textId="77777777" w:rsidR="001C7EFE" w:rsidRDefault="001C7EFE">
      <w:pPr>
        <w:spacing w:after="0" w:line="240" w:lineRule="auto"/>
      </w:pPr>
      <w:r>
        <w:separator/>
      </w:r>
    </w:p>
  </w:footnote>
  <w:footnote w:type="continuationSeparator" w:id="0">
    <w:p w14:paraId="02254B56" w14:textId="77777777" w:rsidR="001C7EFE" w:rsidRDefault="001C7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02E"/>
    <w:multiLevelType w:val="multilevel"/>
    <w:tmpl w:val="604EE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713892"/>
    <w:multiLevelType w:val="multilevel"/>
    <w:tmpl w:val="F1BC49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4C22CD2"/>
    <w:multiLevelType w:val="multilevel"/>
    <w:tmpl w:val="5C4C3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47354C"/>
    <w:multiLevelType w:val="multilevel"/>
    <w:tmpl w:val="CB0C0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0D70B1"/>
    <w:multiLevelType w:val="multilevel"/>
    <w:tmpl w:val="22046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C35D80"/>
    <w:multiLevelType w:val="multilevel"/>
    <w:tmpl w:val="821A9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0B0C4F"/>
    <w:multiLevelType w:val="multilevel"/>
    <w:tmpl w:val="E4A0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102A90"/>
    <w:multiLevelType w:val="multilevel"/>
    <w:tmpl w:val="3F9CC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DA06B6"/>
    <w:multiLevelType w:val="multilevel"/>
    <w:tmpl w:val="376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CA1B41"/>
    <w:multiLevelType w:val="multilevel"/>
    <w:tmpl w:val="A51A7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A77B6C"/>
    <w:multiLevelType w:val="multilevel"/>
    <w:tmpl w:val="6524A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A96B28"/>
    <w:multiLevelType w:val="multilevel"/>
    <w:tmpl w:val="6EA416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60262A5"/>
    <w:multiLevelType w:val="multilevel"/>
    <w:tmpl w:val="327C3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70E05A2"/>
    <w:multiLevelType w:val="multilevel"/>
    <w:tmpl w:val="85662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8951EEE"/>
    <w:multiLevelType w:val="multilevel"/>
    <w:tmpl w:val="7632F69E"/>
    <w:lvl w:ilvl="0">
      <w:start w:val="1"/>
      <w:numFmt w:val="bullet"/>
      <w:lvlText w:val="●"/>
      <w:lvlJc w:val="left"/>
      <w:pPr>
        <w:ind w:left="45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C678D8"/>
    <w:multiLevelType w:val="multilevel"/>
    <w:tmpl w:val="7C8A17FA"/>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2FA50AB3"/>
    <w:multiLevelType w:val="multilevel"/>
    <w:tmpl w:val="41DA9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D20DE8"/>
    <w:multiLevelType w:val="multilevel"/>
    <w:tmpl w:val="619AE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6960F4"/>
    <w:multiLevelType w:val="multilevel"/>
    <w:tmpl w:val="7AB8609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B31FFB"/>
    <w:multiLevelType w:val="multilevel"/>
    <w:tmpl w:val="46F229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39565224"/>
    <w:multiLevelType w:val="multilevel"/>
    <w:tmpl w:val="C7A0C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B310CD4"/>
    <w:multiLevelType w:val="multilevel"/>
    <w:tmpl w:val="C26C5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1BA48D0"/>
    <w:multiLevelType w:val="multilevel"/>
    <w:tmpl w:val="37E494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5D17BAB"/>
    <w:multiLevelType w:val="multilevel"/>
    <w:tmpl w:val="1F8E0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810EB8"/>
    <w:multiLevelType w:val="multilevel"/>
    <w:tmpl w:val="B5BEE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E860999"/>
    <w:multiLevelType w:val="multilevel"/>
    <w:tmpl w:val="C5364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E942039"/>
    <w:multiLevelType w:val="multilevel"/>
    <w:tmpl w:val="E3A2832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27" w15:restartNumberingAfterBreak="0">
    <w:nsid w:val="5F631F86"/>
    <w:multiLevelType w:val="multilevel"/>
    <w:tmpl w:val="258CD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2EB1A54"/>
    <w:multiLevelType w:val="multilevel"/>
    <w:tmpl w:val="7CECC6A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776BD1"/>
    <w:multiLevelType w:val="multilevel"/>
    <w:tmpl w:val="0930E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6406FEB"/>
    <w:multiLevelType w:val="multilevel"/>
    <w:tmpl w:val="C66CCC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68125907"/>
    <w:multiLevelType w:val="multilevel"/>
    <w:tmpl w:val="5412AEA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B24111C"/>
    <w:multiLevelType w:val="multilevel"/>
    <w:tmpl w:val="412EF3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6DAD4E1F"/>
    <w:multiLevelType w:val="multilevel"/>
    <w:tmpl w:val="8FAAD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E6037CC"/>
    <w:multiLevelType w:val="multilevel"/>
    <w:tmpl w:val="74B0EA16"/>
    <w:lvl w:ilvl="0">
      <w:start w:val="1"/>
      <w:numFmt w:val="bullet"/>
      <w:lvlText w:val="o"/>
      <w:lvlJc w:val="left"/>
      <w:pPr>
        <w:ind w:left="995" w:hanging="360"/>
      </w:pPr>
      <w:rPr>
        <w:rFonts w:ascii="Courier New" w:eastAsia="Courier New" w:hAnsi="Courier New" w:cs="Courier New"/>
        <w:u w:val="none"/>
      </w:rPr>
    </w:lvl>
    <w:lvl w:ilvl="1">
      <w:start w:val="1"/>
      <w:numFmt w:val="bullet"/>
      <w:lvlText w:val="○"/>
      <w:lvlJc w:val="left"/>
      <w:pPr>
        <w:ind w:left="1715" w:hanging="360"/>
      </w:pPr>
      <w:rPr>
        <w:u w:val="none"/>
      </w:rPr>
    </w:lvl>
    <w:lvl w:ilvl="2">
      <w:start w:val="1"/>
      <w:numFmt w:val="bullet"/>
      <w:lvlText w:val="■"/>
      <w:lvlJc w:val="left"/>
      <w:pPr>
        <w:ind w:left="2435" w:hanging="360"/>
      </w:pPr>
      <w:rPr>
        <w:u w:val="none"/>
      </w:rPr>
    </w:lvl>
    <w:lvl w:ilvl="3">
      <w:start w:val="1"/>
      <w:numFmt w:val="bullet"/>
      <w:lvlText w:val="●"/>
      <w:lvlJc w:val="left"/>
      <w:pPr>
        <w:ind w:left="3155" w:hanging="360"/>
      </w:pPr>
      <w:rPr>
        <w:u w:val="none"/>
      </w:rPr>
    </w:lvl>
    <w:lvl w:ilvl="4">
      <w:start w:val="1"/>
      <w:numFmt w:val="bullet"/>
      <w:lvlText w:val="○"/>
      <w:lvlJc w:val="left"/>
      <w:pPr>
        <w:ind w:left="3875" w:hanging="360"/>
      </w:pPr>
      <w:rPr>
        <w:u w:val="none"/>
      </w:rPr>
    </w:lvl>
    <w:lvl w:ilvl="5">
      <w:start w:val="1"/>
      <w:numFmt w:val="bullet"/>
      <w:lvlText w:val="■"/>
      <w:lvlJc w:val="left"/>
      <w:pPr>
        <w:ind w:left="4595" w:hanging="360"/>
      </w:pPr>
      <w:rPr>
        <w:u w:val="none"/>
      </w:rPr>
    </w:lvl>
    <w:lvl w:ilvl="6">
      <w:start w:val="1"/>
      <w:numFmt w:val="bullet"/>
      <w:lvlText w:val="●"/>
      <w:lvlJc w:val="left"/>
      <w:pPr>
        <w:ind w:left="5315" w:hanging="360"/>
      </w:pPr>
      <w:rPr>
        <w:u w:val="none"/>
      </w:rPr>
    </w:lvl>
    <w:lvl w:ilvl="7">
      <w:start w:val="1"/>
      <w:numFmt w:val="bullet"/>
      <w:lvlText w:val="○"/>
      <w:lvlJc w:val="left"/>
      <w:pPr>
        <w:ind w:left="6035" w:hanging="360"/>
      </w:pPr>
      <w:rPr>
        <w:u w:val="none"/>
      </w:rPr>
    </w:lvl>
    <w:lvl w:ilvl="8">
      <w:start w:val="1"/>
      <w:numFmt w:val="bullet"/>
      <w:lvlText w:val="■"/>
      <w:lvlJc w:val="left"/>
      <w:pPr>
        <w:ind w:left="6755" w:hanging="360"/>
      </w:pPr>
      <w:rPr>
        <w:u w:val="none"/>
      </w:rPr>
    </w:lvl>
  </w:abstractNum>
  <w:abstractNum w:abstractNumId="35" w15:restartNumberingAfterBreak="0">
    <w:nsid w:val="6F7A7990"/>
    <w:multiLevelType w:val="multilevel"/>
    <w:tmpl w:val="BAB08E04"/>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2A27533"/>
    <w:multiLevelType w:val="multilevel"/>
    <w:tmpl w:val="E37A7F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7C5F294C"/>
    <w:multiLevelType w:val="multilevel"/>
    <w:tmpl w:val="28FCC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D1016F3"/>
    <w:multiLevelType w:val="multilevel"/>
    <w:tmpl w:val="44A4C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EF12633"/>
    <w:multiLevelType w:val="multilevel"/>
    <w:tmpl w:val="461C0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5190179">
    <w:abstractNumId w:val="25"/>
  </w:num>
  <w:num w:numId="2" w16cid:durableId="646201224">
    <w:abstractNumId w:val="20"/>
  </w:num>
  <w:num w:numId="3" w16cid:durableId="1880119967">
    <w:abstractNumId w:val="19"/>
  </w:num>
  <w:num w:numId="4" w16cid:durableId="1178273633">
    <w:abstractNumId w:val="33"/>
  </w:num>
  <w:num w:numId="5" w16cid:durableId="1249535916">
    <w:abstractNumId w:val="6"/>
  </w:num>
  <w:num w:numId="6" w16cid:durableId="1612936799">
    <w:abstractNumId w:val="21"/>
  </w:num>
  <w:num w:numId="7" w16cid:durableId="1640525479">
    <w:abstractNumId w:val="38"/>
  </w:num>
  <w:num w:numId="8" w16cid:durableId="1302880301">
    <w:abstractNumId w:val="14"/>
  </w:num>
  <w:num w:numId="9" w16cid:durableId="1869029740">
    <w:abstractNumId w:val="24"/>
  </w:num>
  <w:num w:numId="10" w16cid:durableId="1515072250">
    <w:abstractNumId w:val="34"/>
  </w:num>
  <w:num w:numId="11" w16cid:durableId="1464692993">
    <w:abstractNumId w:val="11"/>
  </w:num>
  <w:num w:numId="12" w16cid:durableId="1910336697">
    <w:abstractNumId w:val="0"/>
  </w:num>
  <w:num w:numId="13" w16cid:durableId="1964922009">
    <w:abstractNumId w:val="4"/>
  </w:num>
  <w:num w:numId="14" w16cid:durableId="349112021">
    <w:abstractNumId w:val="1"/>
  </w:num>
  <w:num w:numId="15" w16cid:durableId="136262699">
    <w:abstractNumId w:val="29"/>
  </w:num>
  <w:num w:numId="16" w16cid:durableId="1701583981">
    <w:abstractNumId w:val="37"/>
  </w:num>
  <w:num w:numId="17" w16cid:durableId="515195352">
    <w:abstractNumId w:val="36"/>
  </w:num>
  <w:num w:numId="18" w16cid:durableId="1567566877">
    <w:abstractNumId w:val="23"/>
  </w:num>
  <w:num w:numId="19" w16cid:durableId="2017076715">
    <w:abstractNumId w:val="32"/>
  </w:num>
  <w:num w:numId="20" w16cid:durableId="305284341">
    <w:abstractNumId w:val="17"/>
  </w:num>
  <w:num w:numId="21" w16cid:durableId="59596541">
    <w:abstractNumId w:val="27"/>
  </w:num>
  <w:num w:numId="22" w16cid:durableId="1270966725">
    <w:abstractNumId w:val="5"/>
  </w:num>
  <w:num w:numId="23" w16cid:durableId="622271895">
    <w:abstractNumId w:val="18"/>
  </w:num>
  <w:num w:numId="24" w16cid:durableId="57868710">
    <w:abstractNumId w:val="8"/>
  </w:num>
  <w:num w:numId="25" w16cid:durableId="1326468891">
    <w:abstractNumId w:val="13"/>
  </w:num>
  <w:num w:numId="26" w16cid:durableId="1836531120">
    <w:abstractNumId w:val="3"/>
  </w:num>
  <w:num w:numId="27" w16cid:durableId="2047019713">
    <w:abstractNumId w:val="39"/>
  </w:num>
  <w:num w:numId="28" w16cid:durableId="1862277971">
    <w:abstractNumId w:val="9"/>
  </w:num>
  <w:num w:numId="29" w16cid:durableId="1252159359">
    <w:abstractNumId w:val="2"/>
  </w:num>
  <w:num w:numId="30" w16cid:durableId="1775592234">
    <w:abstractNumId w:val="7"/>
  </w:num>
  <w:num w:numId="31" w16cid:durableId="546576073">
    <w:abstractNumId w:val="26"/>
  </w:num>
  <w:num w:numId="32" w16cid:durableId="216860461">
    <w:abstractNumId w:val="10"/>
  </w:num>
  <w:num w:numId="33" w16cid:durableId="708182702">
    <w:abstractNumId w:val="16"/>
  </w:num>
  <w:num w:numId="34" w16cid:durableId="1042638089">
    <w:abstractNumId w:val="30"/>
  </w:num>
  <w:num w:numId="35" w16cid:durableId="1658269708">
    <w:abstractNumId w:val="15"/>
  </w:num>
  <w:num w:numId="36" w16cid:durableId="2047947693">
    <w:abstractNumId w:val="28"/>
  </w:num>
  <w:num w:numId="37" w16cid:durableId="1736514532">
    <w:abstractNumId w:val="22"/>
  </w:num>
  <w:num w:numId="38" w16cid:durableId="59983796">
    <w:abstractNumId w:val="31"/>
  </w:num>
  <w:num w:numId="39" w16cid:durableId="217743072">
    <w:abstractNumId w:val="35"/>
  </w:num>
  <w:num w:numId="40" w16cid:durableId="20149185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E1"/>
    <w:rsid w:val="001C7EFE"/>
    <w:rsid w:val="002959B0"/>
    <w:rsid w:val="003934DA"/>
    <w:rsid w:val="00721C74"/>
    <w:rsid w:val="008E5FE1"/>
    <w:rsid w:val="009162B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67655"/>
  <w15:docId w15:val="{96F221A8-A287-471F-B064-EC44AA5A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1E2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8A2"/>
    <w:rPr>
      <w:rFonts w:ascii="Calibri" w:eastAsia="Calibri" w:hAnsi="Calibri" w:cs="Calibri"/>
    </w:rPr>
  </w:style>
  <w:style w:type="character" w:styleId="CommentReference">
    <w:name w:val="annotation reference"/>
    <w:basedOn w:val="DefaultParagraphFont"/>
    <w:uiPriority w:val="99"/>
    <w:semiHidden/>
    <w:unhideWhenUsed/>
    <w:rsid w:val="001E28A2"/>
    <w:rPr>
      <w:sz w:val="16"/>
      <w:szCs w:val="16"/>
    </w:rPr>
  </w:style>
  <w:style w:type="paragraph" w:styleId="CommentText">
    <w:name w:val="annotation text"/>
    <w:basedOn w:val="Normal"/>
    <w:link w:val="CommentTextChar"/>
    <w:uiPriority w:val="99"/>
    <w:semiHidden/>
    <w:unhideWhenUsed/>
    <w:rsid w:val="001E28A2"/>
    <w:pPr>
      <w:spacing w:after="180" w:line="240" w:lineRule="auto"/>
    </w:pPr>
    <w:rPr>
      <w:sz w:val="20"/>
      <w:szCs w:val="20"/>
    </w:rPr>
  </w:style>
  <w:style w:type="character" w:customStyle="1" w:styleId="CommentTextChar">
    <w:name w:val="Comment Text Char"/>
    <w:basedOn w:val="DefaultParagraphFont"/>
    <w:link w:val="CommentText"/>
    <w:uiPriority w:val="99"/>
    <w:semiHidden/>
    <w:rsid w:val="001E28A2"/>
    <w:rPr>
      <w:rFonts w:ascii="Calibri" w:eastAsia="Calibri" w:hAnsi="Calibri" w:cs="Calibri"/>
      <w:sz w:val="20"/>
      <w:szCs w:val="20"/>
    </w:rPr>
  </w:style>
  <w:style w:type="character" w:styleId="Hyperlink">
    <w:name w:val="Hyperlink"/>
    <w:basedOn w:val="DefaultParagraphFont"/>
    <w:uiPriority w:val="99"/>
    <w:unhideWhenUsed/>
    <w:rsid w:val="00FD02F1"/>
    <w:rPr>
      <w:color w:val="0000FF"/>
      <w:u w:val="single"/>
    </w:rPr>
  </w:style>
  <w:style w:type="character" w:styleId="UnresolvedMention">
    <w:name w:val="Unresolved Mention"/>
    <w:basedOn w:val="DefaultParagraphFont"/>
    <w:uiPriority w:val="99"/>
    <w:semiHidden/>
    <w:unhideWhenUsed/>
    <w:rsid w:val="005E4163"/>
    <w:rPr>
      <w:color w:val="605E5C"/>
      <w:shd w:val="clear" w:color="auto" w:fill="E1DFDD"/>
    </w:rPr>
  </w:style>
  <w:style w:type="paragraph" w:styleId="ListParagraph">
    <w:name w:val="List Paragraph"/>
    <w:basedOn w:val="Normal"/>
    <w:uiPriority w:val="34"/>
    <w:qFormat/>
    <w:rsid w:val="00705BD0"/>
    <w:pPr>
      <w:ind w:left="720"/>
      <w:contextualSpacing/>
    </w:pPr>
  </w:style>
  <w:style w:type="paragraph" w:styleId="Header">
    <w:name w:val="header"/>
    <w:basedOn w:val="Normal"/>
    <w:link w:val="HeaderChar"/>
    <w:uiPriority w:val="99"/>
    <w:unhideWhenUsed/>
    <w:rsid w:val="00955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837"/>
  </w:style>
  <w:style w:type="paragraph" w:styleId="CommentSubject">
    <w:name w:val="annotation subject"/>
    <w:basedOn w:val="CommentText"/>
    <w:next w:val="CommentText"/>
    <w:link w:val="CommentSubjectChar"/>
    <w:uiPriority w:val="99"/>
    <w:semiHidden/>
    <w:unhideWhenUsed/>
    <w:rsid w:val="00AE76F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E76FE"/>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687B0E"/>
    <w:rPr>
      <w:color w:val="954F72" w:themeColor="followedHyperlink"/>
      <w:u w:val="single"/>
    </w:rPr>
  </w:style>
  <w:style w:type="character" w:styleId="Strong">
    <w:name w:val="Strong"/>
    <w:basedOn w:val="DefaultParagraphFont"/>
    <w:uiPriority w:val="22"/>
    <w:qFormat/>
    <w:rsid w:val="0083290A"/>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doe.mass.edu/frameworks/math/2017-06qrg-smp-pk-2.pdf" TargetMode="External"/><Relationship Id="rId21" Type="http://schemas.openxmlformats.org/officeDocument/2006/relationships/hyperlink" Target="http://www.doe.mass.edu/frameworks/math/2017-06.pdf" TargetMode="External"/><Relationship Id="rId42" Type="http://schemas.openxmlformats.org/officeDocument/2006/relationships/hyperlink" Target="http://udlguidelines.cast.org/action-expression" TargetMode="External"/><Relationship Id="rId47" Type="http://schemas.openxmlformats.org/officeDocument/2006/relationships/hyperlink" Target="https://wida.wisc.edu/teach/standards/eld/2020" TargetMode="External"/><Relationship Id="rId63" Type="http://schemas.openxmlformats.org/officeDocument/2006/relationships/hyperlink" Target="http://www.project2061.org/research/ccms/site.archive/documents/Promote_Teacher_Learning.pdf"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frameworks/math/2017-06.pdf" TargetMode="External"/><Relationship Id="rId29" Type="http://schemas.openxmlformats.org/officeDocument/2006/relationships/hyperlink" Target="http://www.doe.mass.edu/frameworks/math/2017-06qrg-smp-hs.pdf" TargetMode="External"/><Relationship Id="rId11" Type="http://schemas.openxmlformats.org/officeDocument/2006/relationships/image" Target="media/image1.png"/><Relationship Id="rId24" Type="http://schemas.openxmlformats.org/officeDocument/2006/relationships/hyperlink" Target="https://ul.stanford.edu/sites/default/files/resource/2021-11/Principles%20for%20the%20Design%20of%20Mathematics%20Curricula_1.pdf" TargetMode="External"/><Relationship Id="rId32" Type="http://schemas.openxmlformats.org/officeDocument/2006/relationships/hyperlink" Target="http://www.doe.mass.edu/frameworks/ela/2017-06.pdf" TargetMode="External"/><Relationship Id="rId37" Type="http://schemas.openxmlformats.org/officeDocument/2006/relationships/hyperlink" Target="http://www.doe.mass.edu/edeval/model/PartIII_AppxC.pdf" TargetMode="External"/><Relationship Id="rId40" Type="http://schemas.openxmlformats.org/officeDocument/2006/relationships/hyperlink" Target="http://udlguidelines.cast.org/?utm_medium=web&amp;utm_campaign=none&amp;utm_source=cast-about-udl" TargetMode="External"/><Relationship Id="rId45" Type="http://schemas.openxmlformats.org/officeDocument/2006/relationships/hyperlink" Target="https://www.doe.mass.edu/ele/blueprint/dashboard.html" TargetMode="External"/><Relationship Id="rId53" Type="http://schemas.openxmlformats.org/officeDocument/2006/relationships/hyperlink" Target="https://steinhardt.nyu.edu/sites/default/files/2021-02/CRSE-STEAMScorecard_FIN_optimized%20%281%29.pdf" TargetMode="External"/><Relationship Id="rId58" Type="http://schemas.openxmlformats.org/officeDocument/2006/relationships/hyperlink" Target="http://www.doe.mass.edu/edeval/model/PartIII_AppxC.pdf" TargetMode="External"/><Relationship Id="rId66" Type="http://schemas.openxmlformats.org/officeDocument/2006/relationships/hyperlink" Target="https://www2.ed.gov/policy/elsec/leg/essa/guidanceuseseinvestment.pdf" TargetMode="External"/><Relationship Id="rId5" Type="http://schemas.openxmlformats.org/officeDocument/2006/relationships/numbering" Target="numbering.xml"/><Relationship Id="rId61" Type="http://schemas.openxmlformats.org/officeDocument/2006/relationships/hyperlink" Target="https://assets-global.website-files.com/5b43fc97fcf4773f14ee92f3/5e73a972f52c4e4007662b52_ELSF%20Math%20Guidelines.pdf" TargetMode="External"/><Relationship Id="rId19" Type="http://schemas.openxmlformats.org/officeDocument/2006/relationships/hyperlink" Target="https://docs.google.com/document/d/1p2RoSDrw3F3aV8ijGuRuYi4K6ylILwPKwy0gWe_x7ck/edit?usp=sharing" TargetMode="External"/><Relationship Id="rId14" Type="http://schemas.openxmlformats.org/officeDocument/2006/relationships/hyperlink" Target="http://www.doe.mass.edu/instruction/impd/qrg-aligning-curriculum.pdf" TargetMode="External"/><Relationship Id="rId22" Type="http://schemas.openxmlformats.org/officeDocument/2006/relationships/hyperlink" Target="http://www.doe.mass.edu/frameworks/math/2017-06.pdf" TargetMode="External"/><Relationship Id="rId27" Type="http://schemas.openxmlformats.org/officeDocument/2006/relationships/hyperlink" Target="http://www.doe.mass.edu/frameworks/math/2017-06qrg-smp-3-5.pdf" TargetMode="External"/><Relationship Id="rId30" Type="http://schemas.openxmlformats.org/officeDocument/2006/relationships/hyperlink" Target="http://www.doe.mass.edu/frameworks/ela/2017-06.pdf" TargetMode="External"/><Relationship Id="rId35" Type="http://schemas.openxmlformats.org/officeDocument/2006/relationships/hyperlink" Target="http://www.doe.mass.edu/frameworks/ela/2017-06.pdf" TargetMode="External"/><Relationship Id="rId43" Type="http://schemas.openxmlformats.org/officeDocument/2006/relationships/hyperlink" Target="https://wida.wisc.edu/sites/default/files/resource/Implementation-Guide-WIDA-ELD-Standards-Framework.pdf" TargetMode="External"/><Relationship Id="rId48" Type="http://schemas.openxmlformats.org/officeDocument/2006/relationships/hyperlink" Target="https://wida.wisc.edu/resources/administrator-supplement-wida-eld-standards-framework-implementation-guide" TargetMode="External"/><Relationship Id="rId56" Type="http://schemas.openxmlformats.org/officeDocument/2006/relationships/hyperlink" Target="https://www.doe.mass.edu/instruction/culturally-sustaining/default.html" TargetMode="External"/><Relationship Id="rId64" Type="http://schemas.openxmlformats.org/officeDocument/2006/relationships/hyperlink" Target="https://www.doe.mass.edu/instruction/culturally-sustaining/default.html"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greatlakesequity.org/resource/assessing-bias-standards-and-curricular-materials" TargetMode="External"/><Relationship Id="rId3" Type="http://schemas.openxmlformats.org/officeDocument/2006/relationships/customXml" Target="../customXml/item3.xml"/><Relationship Id="rId12" Type="http://schemas.openxmlformats.org/officeDocument/2006/relationships/hyperlink" Target="https://edreports.org/" TargetMode="External"/><Relationship Id="rId17" Type="http://schemas.openxmlformats.org/officeDocument/2006/relationships/hyperlink" Target="http://www.doe.mass.edu/frameworks/math/2017-06.pdf" TargetMode="External"/><Relationship Id="rId25" Type="http://schemas.openxmlformats.org/officeDocument/2006/relationships/hyperlink" Target="https://assets-global.website-files.com/5b43fc97fcf4773f14ee92f3/5e73a972f52c4e4007662b52_ELSF%20Math%20Guidelines.pdf" TargetMode="External"/><Relationship Id="rId33" Type="http://schemas.openxmlformats.org/officeDocument/2006/relationships/hyperlink" Target="http://www.doe.mass.edu/frameworks/ela/2017-06.pdf" TargetMode="External"/><Relationship Id="rId38" Type="http://schemas.openxmlformats.org/officeDocument/2006/relationships/hyperlink" Target="http://udlguidelines.cast.org/representation" TargetMode="External"/><Relationship Id="rId46" Type="http://schemas.openxmlformats.org/officeDocument/2006/relationships/hyperlink" Target="https://uploads-ssl.webflow.com/5a5e93221338fa00010fc521/5b895eabfac9977d07bd3b57_ELSF_Math_Guidelines_03.pdf" TargetMode="External"/><Relationship Id="rId59" Type="http://schemas.openxmlformats.org/officeDocument/2006/relationships/hyperlink" Target="https://ul.stanford.edu/sites/default/files/resource/2021-11/Principles%20for%20the%20Design%20of%20Mathematics%20Curricula_1.pdf" TargetMode="External"/><Relationship Id="rId67" Type="http://schemas.openxmlformats.org/officeDocument/2006/relationships/hyperlink" Target="http://www.doe.mass.edu/research/howdoweknow/" TargetMode="External"/><Relationship Id="rId20" Type="http://schemas.openxmlformats.org/officeDocument/2006/relationships/hyperlink" Target="https://steinhardt.nyu.edu/sites/default/files/2021-02/CRSE-STEAMScorecard_FIN_optimized%20%281%29.pdf" TargetMode="External"/><Relationship Id="rId41" Type="http://schemas.openxmlformats.org/officeDocument/2006/relationships/hyperlink" Target="https://assets-global.website-files.com/5b43fc97fcf4773f14ee92f3/5e73a972f52c4e4007662b52_ELSF%20Math%20Guidelines.pdf" TargetMode="External"/><Relationship Id="rId54" Type="http://schemas.openxmlformats.org/officeDocument/2006/relationships/hyperlink" Target="https://www.wasa-oly.org//WASA/images/WASA/6.0%20Resources/Equity/DISCUSSION%20GUIDE---CULTURALLY%20RESPONSIVE%20CURRICULUM.pdf" TargetMode="External"/><Relationship Id="rId62" Type="http://schemas.openxmlformats.org/officeDocument/2006/relationships/hyperlink" Target="http://www.doe.mass.edu/edprep/resources/guidelines-advisories/"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doe.mass.edu/frameworks/math/2017-06revisionhighlights.docx" TargetMode="External"/><Relationship Id="rId23" Type="http://schemas.openxmlformats.org/officeDocument/2006/relationships/hyperlink" Target="http://www.doe.mass.edu/frameworks/math/2017-06.pdf" TargetMode="External"/><Relationship Id="rId28" Type="http://schemas.openxmlformats.org/officeDocument/2006/relationships/hyperlink" Target="http://www.doe.mass.edu/frameworks/math/2017-06qrg-smp-6-8.pdf" TargetMode="External"/><Relationship Id="rId36" Type="http://schemas.openxmlformats.org/officeDocument/2006/relationships/hyperlink" Target="https://assets-global.website-files.com/5b43fc97fcf4773f14ee92f3/5e73a972f52c4e4007662b52_ELSF%20Math%20Guidelines.pdf" TargetMode="External"/><Relationship Id="rId49" Type="http://schemas.openxmlformats.org/officeDocument/2006/relationships/hyperlink" Target="http://www.ascd.org/publications/newsletters/education-update/apr18/vol60/num04/ELLs-Count-on-Language-Support-in-Math.aspx" TargetMode="External"/><Relationship Id="rId57" Type="http://schemas.openxmlformats.org/officeDocument/2006/relationships/hyperlink" Target="https://assets-global.website-files.com/5b43fc97fcf4773f14ee92f3/5e73a972f52c4e4007662b52_ELSF%20Math%20Guidelines.pdf" TargetMode="External"/><Relationship Id="rId10" Type="http://schemas.openxmlformats.org/officeDocument/2006/relationships/endnotes" Target="endnotes.xml"/><Relationship Id="rId31" Type="http://schemas.openxmlformats.org/officeDocument/2006/relationships/hyperlink" Target="http://www.doe.mass.edu/frameworks/ela/2017-06.pdf" TargetMode="External"/><Relationship Id="rId44" Type="http://schemas.openxmlformats.org/officeDocument/2006/relationships/hyperlink" Target="https://wida.wisc.edu/sites/default/files/resource/2012-ELD-Standards.pdf" TargetMode="External"/><Relationship Id="rId52" Type="http://schemas.openxmlformats.org/officeDocument/2006/relationships/hyperlink" Target="https://www.edweek.org/ew/articles/2019/10/11/seattle-schools-lead-controversial-push-to-rehumanize.html?cmp=eml-eb-popweek-10182019&amp;M=58958820&amp;U=&amp;UUID=46e852b9f6102a20a5264ce2d37d9dbf" TargetMode="External"/><Relationship Id="rId60" Type="http://schemas.openxmlformats.org/officeDocument/2006/relationships/hyperlink" Target="mailto:DESE-CURATE@mass.gov" TargetMode="External"/><Relationship Id="rId65" Type="http://schemas.openxmlformats.org/officeDocument/2006/relationships/hyperlink" Target="https://www.wasa-oly.org//WASA/images/WASA/6.0%20Resources/Equity/DISCUSSION%20GUIDE---CULTURALLY%20RESPONSIVE%20CURRICULUM.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doe.mass.edu/frameworks/search/default.aspx" TargetMode="External"/><Relationship Id="rId18" Type="http://schemas.openxmlformats.org/officeDocument/2006/relationships/hyperlink" Target="http://www.doe.mass.edu/frameworks/math/2017-06qrg-course-sequences.pdf" TargetMode="External"/><Relationship Id="rId39" Type="http://schemas.openxmlformats.org/officeDocument/2006/relationships/hyperlink" Target="http://www.doe.mass.edu/edeval/guidebook/5b-exartifacts.pdf" TargetMode="External"/><Relationship Id="rId34" Type="http://schemas.openxmlformats.org/officeDocument/2006/relationships/hyperlink" Target="http://www.doe.mass.edu/frameworks/ela/2017-06.pdf" TargetMode="External"/><Relationship Id="rId50" Type="http://schemas.openxmlformats.org/officeDocument/2006/relationships/hyperlink" Target="https://www.colorincolorado.org/article/math-instruction-english-language-learners" TargetMode="External"/><Relationship Id="rId55" Type="http://schemas.openxmlformats.org/officeDocument/2006/relationships/hyperlink" Target="https://educate.bankstreet.edu/cgi/viewcontent.cgi?article=1276&amp;context=occasional-paper-series&amp;_ke=eyJrbF9lbWFpbCI6ICJzdGVwaGVuLmdhcnNjaGluYS1ib2Jyb3dAbWFzcy5nb3YiLCAia2xfY29tcGFueV9pZCI6ICJKZUJXUmsifQ%3D%3D"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70C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WiAnIEZZhrym9vXg2WhJ6oWwg==">CgMxLjAyCGguZ2pkZ3hzMgloLjMwajB6bGwyCWguMWZvYjl0ZTIJaC4zem55c2g3MgloLjJldDkycDAyCGgudHlqY3d0MgloLjNkeTZ2a20yCWguMXQzaDVzZjgAciExM1NvaUdRX1M4bDB2UUVMeFhLM0s0RU5yQ0pQMUVMMTY=</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32A99-334F-47FB-8C59-B012B996D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FE92DD5-9D91-4D37-834C-54ECAB1F34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F45F82-6CDA-4626-990D-DA0FBE6F26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3956</Words>
  <Characters>23621</Characters>
  <Application>Microsoft Office Word</Application>
  <DocSecurity>0</DocSecurity>
  <Lines>843</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K-12_SY24</dc:title>
  <dc:subject/>
  <dc:creator>DESE</dc:creator>
  <cp:keywords/>
  <cp:lastModifiedBy>Zou, Dong (EOE)</cp:lastModifiedBy>
  <cp:revision>5</cp:revision>
  <dcterms:created xsi:type="dcterms:W3CDTF">2023-08-28T15:50:00Z</dcterms:created>
  <dcterms:modified xsi:type="dcterms:W3CDTF">2023-08-28T20:09:00Z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2023 12:00AM</vt:lpwstr>
  </property>
</Properties>
</file>