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E35EF" w14:textId="77777777" w:rsidR="008A10C2" w:rsidRDefault="008A10C2">
      <w:r>
        <w:rPr>
          <w:noProof/>
          <w:lang w:eastAsia="zh-CN"/>
        </w:rPr>
        <w:drawing>
          <wp:anchor distT="0" distB="0" distL="114300" distR="114300" simplePos="0" relativeHeight="251659264" behindDoc="1" locked="0" layoutInCell="1" allowOverlap="1" wp14:anchorId="44AE361C" wp14:editId="44AE361D">
            <wp:simplePos x="0" y="0"/>
            <wp:positionH relativeFrom="column">
              <wp:posOffset>4810125</wp:posOffset>
            </wp:positionH>
            <wp:positionV relativeFrom="paragraph">
              <wp:posOffset>533400</wp:posOffset>
            </wp:positionV>
            <wp:extent cx="1534160" cy="657225"/>
            <wp:effectExtent l="19050" t="0" r="8890" b="0"/>
            <wp:wrapTight wrapText="bothSides">
              <wp:wrapPolygon edited="0">
                <wp:start x="1609" y="2504"/>
                <wp:lineTo x="-268" y="3757"/>
                <wp:lineTo x="1073" y="18783"/>
                <wp:lineTo x="20921" y="18783"/>
                <wp:lineTo x="21725" y="15026"/>
                <wp:lineTo x="21725" y="12522"/>
                <wp:lineTo x="17166" y="12522"/>
                <wp:lineTo x="21725" y="11896"/>
                <wp:lineTo x="21725" y="7513"/>
                <wp:lineTo x="2950" y="2504"/>
                <wp:lineTo x="1609" y="2504"/>
              </wp:wrapPolygon>
            </wp:wrapTight>
            <wp:docPr id="24"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b\AppData\Local\Microsoft\Windows\Temporary Internet Files\Content.Outlook\8E5F0D8U\Successful-After-School_695x338_color with heart.png"/>
                    <pic:cNvPicPr>
                      <a:picLocks noChangeAspect="1" noChangeArrowheads="1"/>
                    </pic:cNvPicPr>
                  </pic:nvPicPr>
                  <pic:blipFill>
                    <a:blip r:embed="rId9" cstate="print"/>
                    <a:srcRect/>
                    <a:stretch>
                      <a:fillRect/>
                    </a:stretch>
                  </pic:blipFill>
                  <pic:spPr bwMode="auto">
                    <a:xfrm>
                      <a:off x="0" y="0"/>
                      <a:ext cx="1534160" cy="657225"/>
                    </a:xfrm>
                    <a:prstGeom prst="rect">
                      <a:avLst/>
                    </a:prstGeom>
                    <a:noFill/>
                    <a:ln w="9525">
                      <a:noFill/>
                      <a:miter lim="800000"/>
                      <a:headEnd/>
                      <a:tailEnd/>
                    </a:ln>
                  </pic:spPr>
                </pic:pic>
              </a:graphicData>
            </a:graphic>
          </wp:anchor>
        </w:drawing>
      </w:r>
      <w:r w:rsidRPr="008A10C2">
        <w:rPr>
          <w:noProof/>
          <w:lang w:eastAsia="zh-CN"/>
        </w:rPr>
        <w:drawing>
          <wp:inline distT="0" distB="0" distL="0" distR="0" wp14:anchorId="44AE361E" wp14:editId="44AE361F">
            <wp:extent cx="981075" cy="800100"/>
            <wp:effectExtent l="19050" t="0" r="0" b="0"/>
            <wp:docPr id="59" name="Picture 4" descr="LE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994202" cy="810806"/>
                    </a:xfrm>
                    <a:prstGeom prst="rect">
                      <a:avLst/>
                    </a:prstGeom>
                    <a:noFill/>
                    <a:ln w="9525">
                      <a:noFill/>
                      <a:miter lim="800000"/>
                      <a:headEnd/>
                      <a:tailEnd/>
                    </a:ln>
                  </pic:spPr>
                </pic:pic>
              </a:graphicData>
            </a:graphic>
          </wp:inline>
        </w:drawing>
      </w:r>
      <w:r>
        <w:tab/>
      </w:r>
      <w:r>
        <w:tab/>
      </w:r>
      <w:r>
        <w:tab/>
      </w:r>
      <w:r>
        <w:tab/>
      </w:r>
      <w:r>
        <w:tab/>
      </w:r>
    </w:p>
    <w:p w14:paraId="44AE35F0" w14:textId="77777777" w:rsidR="008A10C2" w:rsidRPr="008A10C2" w:rsidRDefault="008A10C2" w:rsidP="008A10C2">
      <w:pPr>
        <w:rPr>
          <w:rFonts w:cs="Arial"/>
          <w:b/>
          <w:sz w:val="28"/>
          <w:szCs w:val="28"/>
        </w:rPr>
      </w:pPr>
      <w:r w:rsidRPr="008A10C2">
        <w:rPr>
          <w:rFonts w:cs="Arial"/>
          <w:b/>
          <w:color w:val="00B050"/>
          <w:sz w:val="28"/>
          <w:szCs w:val="28"/>
          <w:u w:val="single"/>
        </w:rPr>
        <w:t>L</w:t>
      </w:r>
      <w:r w:rsidRPr="008A10C2">
        <w:rPr>
          <w:rFonts w:cs="Arial"/>
          <w:b/>
          <w:sz w:val="28"/>
          <w:szCs w:val="28"/>
        </w:rPr>
        <w:t xml:space="preserve">ow-income </w:t>
      </w:r>
      <w:bookmarkStart w:id="0" w:name="_GoBack"/>
      <w:bookmarkEnd w:id="0"/>
      <w:r w:rsidRPr="008A10C2">
        <w:rPr>
          <w:rFonts w:cs="Arial"/>
          <w:b/>
          <w:color w:val="00B050"/>
          <w:sz w:val="28"/>
          <w:szCs w:val="28"/>
          <w:u w:val="single"/>
        </w:rPr>
        <w:t>E</w:t>
      </w:r>
      <w:r w:rsidRPr="008A10C2">
        <w:rPr>
          <w:rFonts w:cs="Arial"/>
          <w:b/>
          <w:sz w:val="28"/>
          <w:szCs w:val="28"/>
        </w:rPr>
        <w:t xml:space="preserve">ducation </w:t>
      </w:r>
      <w:r w:rsidRPr="008A10C2">
        <w:rPr>
          <w:rFonts w:cs="Arial"/>
          <w:b/>
          <w:color w:val="00B050"/>
          <w:sz w:val="28"/>
          <w:szCs w:val="28"/>
          <w:u w:val="single"/>
        </w:rPr>
        <w:t>A</w:t>
      </w:r>
      <w:r w:rsidRPr="008A10C2">
        <w:rPr>
          <w:rFonts w:cs="Arial"/>
          <w:b/>
          <w:sz w:val="28"/>
          <w:szCs w:val="28"/>
        </w:rPr>
        <w:t xml:space="preserve">ccess </w:t>
      </w:r>
      <w:r w:rsidRPr="008A10C2">
        <w:rPr>
          <w:rFonts w:cs="Arial"/>
          <w:b/>
          <w:color w:val="00B050"/>
          <w:sz w:val="28"/>
          <w:szCs w:val="28"/>
          <w:u w:val="single"/>
        </w:rPr>
        <w:t>P</w:t>
      </w:r>
      <w:r w:rsidRPr="008A10C2">
        <w:rPr>
          <w:rFonts w:cs="Arial"/>
          <w:b/>
          <w:sz w:val="28"/>
          <w:szCs w:val="28"/>
        </w:rPr>
        <w:t>roject</w:t>
      </w:r>
    </w:p>
    <w:p w14:paraId="44AE35F1" w14:textId="77777777" w:rsidR="008A10C2" w:rsidRDefault="008A10C2"/>
    <w:p w14:paraId="44AE35F2" w14:textId="77777777" w:rsidR="009673FA" w:rsidRPr="009673FA" w:rsidRDefault="009673FA">
      <w:r w:rsidRPr="009673FA">
        <w:t>The following information is a collection of ongoing district activities to support the educational needs of all students with a specific focus on economically disadvantaged students. Please keep in mind that some of the activities listed are district-wide, while others are occurring in specific schools and classrooms.</w:t>
      </w:r>
    </w:p>
    <w:p w14:paraId="44AE35F3" w14:textId="77777777" w:rsidR="009673FA" w:rsidRPr="009673FA" w:rsidRDefault="009673FA">
      <w:r w:rsidRPr="009673FA">
        <w:t>While ESE is not formally endorsing specific activities included here, we believe that it is important to share this information with you as you continue to develop your own strategies for student support.</w:t>
      </w:r>
    </w:p>
    <w:p w14:paraId="44AE35F4" w14:textId="77777777" w:rsidR="009673FA" w:rsidRDefault="009673FA">
      <w:pPr>
        <w:rPr>
          <w:b/>
        </w:rPr>
      </w:pPr>
    </w:p>
    <w:p w14:paraId="44AE35F5" w14:textId="77777777" w:rsidR="00844D32" w:rsidRPr="00E14A4D" w:rsidRDefault="00844D32">
      <w:pPr>
        <w:rPr>
          <w:b/>
        </w:rPr>
      </w:pPr>
      <w:r w:rsidRPr="00E14A4D">
        <w:rPr>
          <w:b/>
        </w:rPr>
        <w:t>Professional Development and Training</w:t>
      </w:r>
    </w:p>
    <w:p w14:paraId="44AE35F6" w14:textId="77777777" w:rsidR="0088786A" w:rsidRPr="00E14A4D" w:rsidRDefault="0088786A" w:rsidP="00E14A4D">
      <w:pPr>
        <w:pStyle w:val="ListParagraph"/>
        <w:numPr>
          <w:ilvl w:val="3"/>
          <w:numId w:val="18"/>
        </w:numPr>
        <w:ind w:left="720"/>
      </w:pPr>
      <w:r w:rsidRPr="00E14A4D">
        <w:t>PLCs and book study groups</w:t>
      </w:r>
    </w:p>
    <w:p w14:paraId="44AE35F7" w14:textId="77777777" w:rsidR="0088786A" w:rsidRPr="0088786A" w:rsidRDefault="0088786A" w:rsidP="00E14A4D">
      <w:pPr>
        <w:pStyle w:val="ListParagraph"/>
        <w:numPr>
          <w:ilvl w:val="0"/>
          <w:numId w:val="27"/>
        </w:numPr>
        <w:tabs>
          <w:tab w:val="left" w:pos="1440"/>
        </w:tabs>
        <w:ind w:left="1440"/>
        <w:rPr>
          <w:rStyle w:val="citationtext"/>
        </w:rPr>
      </w:pPr>
      <w:r w:rsidRPr="0088786A">
        <w:rPr>
          <w:rStyle w:val="citationtext"/>
        </w:rPr>
        <w:t xml:space="preserve">Jensen, Eric. </w:t>
      </w:r>
      <w:r w:rsidRPr="0088786A">
        <w:rPr>
          <w:rStyle w:val="citationtext"/>
          <w:i/>
          <w:iCs/>
        </w:rPr>
        <w:t>Teaching with Poverty in Mind: What Being Poor Does to Kids' Brains and What Schools Can Do About It</w:t>
      </w:r>
      <w:r w:rsidRPr="0088786A">
        <w:rPr>
          <w:rStyle w:val="citationtext"/>
        </w:rPr>
        <w:t>. Alexandria, VA: ASCD, 2009. Print.</w:t>
      </w:r>
    </w:p>
    <w:p w14:paraId="44AE35F8" w14:textId="77777777" w:rsidR="0088786A" w:rsidRPr="0088786A" w:rsidRDefault="0088786A" w:rsidP="00E14A4D">
      <w:pPr>
        <w:pStyle w:val="ListParagraph"/>
        <w:numPr>
          <w:ilvl w:val="0"/>
          <w:numId w:val="27"/>
        </w:numPr>
        <w:tabs>
          <w:tab w:val="left" w:pos="1440"/>
        </w:tabs>
        <w:ind w:left="1440"/>
        <w:rPr>
          <w:rStyle w:val="citationtext"/>
        </w:rPr>
      </w:pPr>
      <w:r w:rsidRPr="0088786A">
        <w:rPr>
          <w:rStyle w:val="citationtext"/>
        </w:rPr>
        <w:t>Jensen, Eric. Engaging Students with Poverty in Mind. Alexandria, VA: ASCD, 2013. Print</w:t>
      </w:r>
    </w:p>
    <w:p w14:paraId="44AE35F9" w14:textId="77777777" w:rsidR="00E14A4D" w:rsidRPr="00E14A4D" w:rsidRDefault="0088786A" w:rsidP="00E14A4D">
      <w:pPr>
        <w:pStyle w:val="ListParagraph"/>
        <w:numPr>
          <w:ilvl w:val="0"/>
          <w:numId w:val="27"/>
        </w:numPr>
        <w:tabs>
          <w:tab w:val="left" w:pos="1440"/>
        </w:tabs>
        <w:ind w:left="1440"/>
        <w:rPr>
          <w:rStyle w:val="citationtext"/>
        </w:rPr>
      </w:pPr>
      <w:r w:rsidRPr="00E14A4D">
        <w:rPr>
          <w:rStyle w:val="citationtext"/>
        </w:rPr>
        <w:t xml:space="preserve">Milner, H. Richard. </w:t>
      </w:r>
      <w:r w:rsidRPr="00E14A4D">
        <w:rPr>
          <w:rStyle w:val="citationtext"/>
          <w:i/>
          <w:iCs/>
        </w:rPr>
        <w:t>Rac(e)ing to Class: Confronting Poverty and Race in Schools and Classrooms</w:t>
      </w:r>
      <w:r w:rsidRPr="00E14A4D">
        <w:rPr>
          <w:rStyle w:val="citationtext"/>
        </w:rPr>
        <w:t>. Cambridge, MA: Harvard Education, 2015. Print.</w:t>
      </w:r>
    </w:p>
    <w:p w14:paraId="44AE35FA" w14:textId="77777777" w:rsidR="0088786A" w:rsidRPr="00E14A4D" w:rsidRDefault="00E14A4D" w:rsidP="00E14A4D">
      <w:pPr>
        <w:pStyle w:val="ListParagraph"/>
        <w:numPr>
          <w:ilvl w:val="0"/>
          <w:numId w:val="24"/>
        </w:numPr>
      </w:pPr>
      <w:r w:rsidRPr="00E14A4D">
        <w:t>School-based or district-wide p</w:t>
      </w:r>
      <w:r w:rsidR="0088786A" w:rsidRPr="00E14A4D">
        <w:t>rofessional development series on:</w:t>
      </w:r>
    </w:p>
    <w:p w14:paraId="44AE35FB" w14:textId="77777777" w:rsidR="00E14A4D" w:rsidRDefault="0088786A" w:rsidP="00E14A4D">
      <w:pPr>
        <w:pStyle w:val="ListParagraph"/>
        <w:numPr>
          <w:ilvl w:val="0"/>
          <w:numId w:val="28"/>
        </w:numPr>
        <w:ind w:left="1440"/>
      </w:pPr>
      <w:r>
        <w:t>Brain-based science and the impact of poverty on student learning</w:t>
      </w:r>
    </w:p>
    <w:p w14:paraId="44AE35FC" w14:textId="77777777" w:rsidR="00E14A4D" w:rsidRDefault="00E14A4D" w:rsidP="00E14A4D">
      <w:pPr>
        <w:pStyle w:val="ListParagraph"/>
        <w:numPr>
          <w:ilvl w:val="0"/>
          <w:numId w:val="28"/>
        </w:numPr>
        <w:ind w:left="1440"/>
      </w:pPr>
      <w:r>
        <w:t>Stressors, cognitive capacity, and working memory</w:t>
      </w:r>
    </w:p>
    <w:p w14:paraId="44AE35FD" w14:textId="77777777" w:rsidR="00E14A4D" w:rsidRDefault="00E14A4D" w:rsidP="00E14A4D">
      <w:pPr>
        <w:pStyle w:val="ListParagraph"/>
        <w:numPr>
          <w:ilvl w:val="0"/>
          <w:numId w:val="28"/>
        </w:numPr>
        <w:ind w:left="1440"/>
      </w:pPr>
      <w:r>
        <w:t>Effective engagement  practices, including building relationships with students and families</w:t>
      </w:r>
    </w:p>
    <w:p w14:paraId="44AE35FE" w14:textId="77777777" w:rsidR="00E14A4D" w:rsidRDefault="00E14A4D" w:rsidP="00E14A4D">
      <w:pPr>
        <w:pStyle w:val="ListParagraph"/>
        <w:numPr>
          <w:ilvl w:val="0"/>
          <w:numId w:val="28"/>
        </w:numPr>
        <w:ind w:left="1440"/>
      </w:pPr>
      <w:r>
        <w:t>Co-teaching, Positive Behavior Intervention and Supports (PBIS), and Universal Design for Learning (UDL)</w:t>
      </w:r>
    </w:p>
    <w:p w14:paraId="44AE35FF" w14:textId="77777777" w:rsidR="00E14A4D" w:rsidRDefault="00E14A4D" w:rsidP="00E14A4D">
      <w:pPr>
        <w:pStyle w:val="ListParagraph"/>
        <w:numPr>
          <w:ilvl w:val="0"/>
          <w:numId w:val="28"/>
        </w:numPr>
        <w:ind w:left="1440"/>
      </w:pPr>
      <w:r>
        <w:t>Peer mentoring for educators to promote engagement in the work</w:t>
      </w:r>
    </w:p>
    <w:p w14:paraId="44AE3600" w14:textId="77777777" w:rsidR="00757369" w:rsidRDefault="00757369" w:rsidP="00E14A4D">
      <w:pPr>
        <w:pStyle w:val="ListParagraph"/>
        <w:numPr>
          <w:ilvl w:val="0"/>
          <w:numId w:val="28"/>
        </w:numPr>
        <w:ind w:left="1440"/>
      </w:pPr>
      <w:r>
        <w:t>Cultural proficiency</w:t>
      </w:r>
    </w:p>
    <w:p w14:paraId="44AE3601" w14:textId="77777777" w:rsidR="00844D32" w:rsidRPr="00E14A4D" w:rsidRDefault="00844D32">
      <w:pPr>
        <w:rPr>
          <w:b/>
        </w:rPr>
      </w:pPr>
      <w:r w:rsidRPr="00E14A4D">
        <w:rPr>
          <w:b/>
        </w:rPr>
        <w:t>Student Supports – Academic and Nonacademic</w:t>
      </w:r>
    </w:p>
    <w:p w14:paraId="44AE3602" w14:textId="77777777" w:rsidR="0088786A" w:rsidRDefault="0088786A" w:rsidP="0088786A">
      <w:pPr>
        <w:pStyle w:val="ListParagraph"/>
        <w:numPr>
          <w:ilvl w:val="0"/>
          <w:numId w:val="19"/>
        </w:numPr>
      </w:pPr>
      <w:r>
        <w:t>K-12 working group focused on inclusionary practice</w:t>
      </w:r>
    </w:p>
    <w:p w14:paraId="44AE3603" w14:textId="77777777" w:rsidR="00E14A4D" w:rsidRDefault="0088786A" w:rsidP="00E14A4D">
      <w:pPr>
        <w:pStyle w:val="ListParagraph"/>
        <w:numPr>
          <w:ilvl w:val="0"/>
          <w:numId w:val="19"/>
        </w:numPr>
      </w:pPr>
      <w:r>
        <w:t>K-12 working group focused on school culture and climate</w:t>
      </w:r>
    </w:p>
    <w:p w14:paraId="44AE3604" w14:textId="77777777" w:rsidR="00E14A4D" w:rsidRDefault="00E14A4D" w:rsidP="00E14A4D">
      <w:pPr>
        <w:pStyle w:val="ListParagraph"/>
        <w:numPr>
          <w:ilvl w:val="0"/>
          <w:numId w:val="19"/>
        </w:numPr>
      </w:pPr>
      <w:r>
        <w:t>Linking social emotional focus and priorities with the instructional focus</w:t>
      </w:r>
    </w:p>
    <w:p w14:paraId="44AE3605" w14:textId="77777777" w:rsidR="00E14A4D" w:rsidRDefault="00E14A4D" w:rsidP="00E14A4D">
      <w:pPr>
        <w:pStyle w:val="ListParagraph"/>
        <w:numPr>
          <w:ilvl w:val="0"/>
          <w:numId w:val="19"/>
        </w:numPr>
      </w:pPr>
      <w:r>
        <w:t>Building in “safe spaces” for students in classrooms</w:t>
      </w:r>
    </w:p>
    <w:p w14:paraId="44AE3606" w14:textId="77777777" w:rsidR="00E14A4D" w:rsidRDefault="00E14A4D" w:rsidP="00E14A4D">
      <w:pPr>
        <w:pStyle w:val="ListParagraph"/>
        <w:numPr>
          <w:ilvl w:val="0"/>
          <w:numId w:val="19"/>
        </w:numPr>
      </w:pPr>
      <w:r>
        <w:t>Teaching students mindfulness, relaxation, and resilience</w:t>
      </w:r>
    </w:p>
    <w:p w14:paraId="44AE3607" w14:textId="77777777" w:rsidR="00E14A4D" w:rsidRDefault="00E14A4D" w:rsidP="00E14A4D">
      <w:pPr>
        <w:pStyle w:val="ListParagraph"/>
        <w:numPr>
          <w:ilvl w:val="0"/>
          <w:numId w:val="19"/>
        </w:numPr>
      </w:pPr>
      <w:r>
        <w:t>Implementation of Tiered System of Supports (MTSS)</w:t>
      </w:r>
    </w:p>
    <w:p w14:paraId="44AE3608" w14:textId="77777777" w:rsidR="00E14A4D" w:rsidRDefault="00E14A4D" w:rsidP="00E14A4D">
      <w:pPr>
        <w:pStyle w:val="ListParagraph"/>
        <w:numPr>
          <w:ilvl w:val="1"/>
          <w:numId w:val="29"/>
        </w:numPr>
      </w:pPr>
      <w:r>
        <w:lastRenderedPageBreak/>
        <w:t>Measuring the impact of positive social emotional classroom strategies on student behaviors through data reporting</w:t>
      </w:r>
    </w:p>
    <w:p w14:paraId="44AE3609" w14:textId="77777777" w:rsidR="00E14A4D" w:rsidRDefault="00E14A4D" w:rsidP="00757369">
      <w:pPr>
        <w:pStyle w:val="ListParagraph"/>
        <w:numPr>
          <w:ilvl w:val="1"/>
          <w:numId w:val="30"/>
        </w:numPr>
        <w:ind w:left="720"/>
      </w:pPr>
      <w:r>
        <w:t>Promoting access to the arts, extracurricular activities, and enrichment activities for students from economically disadvantaged families (e.g., no charge for instrument rental and music lessons, free tickets to events)</w:t>
      </w:r>
    </w:p>
    <w:p w14:paraId="44AE360A" w14:textId="77777777" w:rsidR="00757369" w:rsidRDefault="00757369" w:rsidP="00757369">
      <w:pPr>
        <w:pStyle w:val="ListParagraph"/>
        <w:numPr>
          <w:ilvl w:val="1"/>
          <w:numId w:val="30"/>
        </w:numPr>
        <w:ind w:left="720"/>
      </w:pPr>
      <w:r>
        <w:t xml:space="preserve">Summer mentoring programs for students </w:t>
      </w:r>
    </w:p>
    <w:p w14:paraId="44AE360B" w14:textId="77777777" w:rsidR="00E14A4D" w:rsidRPr="00E14A4D" w:rsidRDefault="00E14A4D" w:rsidP="00E14A4D">
      <w:pPr>
        <w:rPr>
          <w:b/>
        </w:rPr>
      </w:pPr>
      <w:r w:rsidRPr="00E14A4D">
        <w:rPr>
          <w:b/>
        </w:rPr>
        <w:t>Student Support Teams</w:t>
      </w:r>
    </w:p>
    <w:p w14:paraId="44AE360C" w14:textId="77777777" w:rsidR="00E14A4D" w:rsidRDefault="00E14A4D" w:rsidP="00E14A4D">
      <w:pPr>
        <w:pStyle w:val="ListParagraph"/>
        <w:numPr>
          <w:ilvl w:val="0"/>
          <w:numId w:val="23"/>
        </w:numPr>
      </w:pPr>
      <w:r>
        <w:t>Evaluation of student support/child study team process and practices</w:t>
      </w:r>
    </w:p>
    <w:p w14:paraId="44AE360D" w14:textId="77777777" w:rsidR="00E14A4D" w:rsidRDefault="00E14A4D" w:rsidP="00E14A4D">
      <w:pPr>
        <w:pStyle w:val="ListParagraph"/>
        <w:numPr>
          <w:ilvl w:val="0"/>
          <w:numId w:val="23"/>
        </w:numPr>
      </w:pPr>
      <w:r>
        <w:t>SST  focus includes evaluation of classroom based activities and supports prior to referral for special education eligibility evaluation</w:t>
      </w:r>
    </w:p>
    <w:p w14:paraId="44AE360E" w14:textId="77777777" w:rsidR="00E14A4D" w:rsidRDefault="00E14A4D" w:rsidP="00E14A4D">
      <w:pPr>
        <w:pStyle w:val="ListParagraph"/>
        <w:numPr>
          <w:ilvl w:val="0"/>
          <w:numId w:val="23"/>
        </w:numPr>
      </w:pPr>
      <w:r>
        <w:t>Using data to identify individual student needs (e.g., EWIS, discipline data, assessments)</w:t>
      </w:r>
    </w:p>
    <w:p w14:paraId="44AE360F" w14:textId="77777777" w:rsidR="00E14A4D" w:rsidRDefault="00E14A4D" w:rsidP="00E14A4D">
      <w:pPr>
        <w:pStyle w:val="ListParagraph"/>
        <w:numPr>
          <w:ilvl w:val="0"/>
          <w:numId w:val="23"/>
        </w:numPr>
      </w:pPr>
      <w:r>
        <w:t>Recognizing the difference between opportunity gaps and disability</w:t>
      </w:r>
    </w:p>
    <w:p w14:paraId="44AE3610" w14:textId="77777777" w:rsidR="00757369" w:rsidRDefault="00757369" w:rsidP="00E14A4D">
      <w:pPr>
        <w:pStyle w:val="ListParagraph"/>
        <w:numPr>
          <w:ilvl w:val="0"/>
          <w:numId w:val="23"/>
        </w:numPr>
      </w:pPr>
      <w:r>
        <w:t>Increase translation of documents, including assessments</w:t>
      </w:r>
    </w:p>
    <w:p w14:paraId="44AE3611" w14:textId="77777777" w:rsidR="00757369" w:rsidRDefault="00757369" w:rsidP="00E14A4D">
      <w:pPr>
        <w:pStyle w:val="ListParagraph"/>
        <w:numPr>
          <w:ilvl w:val="0"/>
          <w:numId w:val="23"/>
        </w:numPr>
      </w:pPr>
      <w:r>
        <w:t>Understanding students’ backgrounds by expanding screening tools and communication with families</w:t>
      </w:r>
    </w:p>
    <w:p w14:paraId="44AE3612" w14:textId="77777777" w:rsidR="00844D32" w:rsidRPr="00E14A4D" w:rsidRDefault="00844D32">
      <w:pPr>
        <w:rPr>
          <w:b/>
        </w:rPr>
      </w:pPr>
      <w:r w:rsidRPr="00E14A4D">
        <w:rPr>
          <w:b/>
        </w:rPr>
        <w:t>Community and Family Engagement</w:t>
      </w:r>
    </w:p>
    <w:p w14:paraId="44AE3613" w14:textId="77777777" w:rsidR="00E14A4D" w:rsidRDefault="00E14A4D" w:rsidP="00E14A4D">
      <w:pPr>
        <w:pStyle w:val="ListParagraph"/>
        <w:numPr>
          <w:ilvl w:val="0"/>
          <w:numId w:val="22"/>
        </w:numPr>
      </w:pPr>
      <w:r>
        <w:t>Guided staff walking tour of community to promote awareness of and connections with families and community-based service agencies</w:t>
      </w:r>
    </w:p>
    <w:p w14:paraId="44AE3614" w14:textId="77777777" w:rsidR="00E14A4D" w:rsidRDefault="00E14A4D" w:rsidP="00E14A4D">
      <w:pPr>
        <w:pStyle w:val="ListParagraph"/>
        <w:numPr>
          <w:ilvl w:val="0"/>
          <w:numId w:val="22"/>
        </w:numPr>
      </w:pPr>
      <w:r>
        <w:t>Initiating home visits to promote family engagement</w:t>
      </w:r>
    </w:p>
    <w:p w14:paraId="44AE3615" w14:textId="77777777" w:rsidR="00E14A4D" w:rsidRDefault="00E14A4D" w:rsidP="00E14A4D">
      <w:pPr>
        <w:pStyle w:val="ListParagraph"/>
        <w:numPr>
          <w:ilvl w:val="0"/>
          <w:numId w:val="22"/>
        </w:numPr>
      </w:pPr>
      <w:r>
        <w:t>Engagement and coordination with municipal priorities focusing on supporting families with economic disadvantage</w:t>
      </w:r>
    </w:p>
    <w:p w14:paraId="44AE3616" w14:textId="77777777" w:rsidR="00E14A4D" w:rsidRDefault="00757369" w:rsidP="00E14A4D">
      <w:pPr>
        <w:pStyle w:val="ListParagraph"/>
        <w:numPr>
          <w:ilvl w:val="0"/>
          <w:numId w:val="22"/>
        </w:numPr>
      </w:pPr>
      <w:r>
        <w:t>Understanding families’ expectations and needs regarding their children’s education</w:t>
      </w:r>
    </w:p>
    <w:p w14:paraId="44AE3617" w14:textId="77777777" w:rsidR="0088786A" w:rsidRPr="009673FA" w:rsidRDefault="0088786A">
      <w:pPr>
        <w:rPr>
          <w:b/>
        </w:rPr>
      </w:pPr>
      <w:r w:rsidRPr="009673FA">
        <w:rPr>
          <w:b/>
        </w:rPr>
        <w:t>Collaboration</w:t>
      </w:r>
    </w:p>
    <w:p w14:paraId="44AE3618" w14:textId="77777777" w:rsidR="00AB2374" w:rsidRDefault="00AB2374" w:rsidP="0088786A">
      <w:pPr>
        <w:pStyle w:val="ListParagraph"/>
        <w:numPr>
          <w:ilvl w:val="0"/>
          <w:numId w:val="20"/>
        </w:numPr>
      </w:pPr>
      <w:r>
        <w:t>Collaboration</w:t>
      </w:r>
      <w:r w:rsidR="0088786A">
        <w:t xml:space="preserve"> and coordination </w:t>
      </w:r>
      <w:r>
        <w:t xml:space="preserve"> with other districts to share practices and resources</w:t>
      </w:r>
    </w:p>
    <w:p w14:paraId="44AE3619" w14:textId="77777777" w:rsidR="0011531F" w:rsidRDefault="00844D32">
      <w:r>
        <w:t xml:space="preserve"> </w:t>
      </w:r>
    </w:p>
    <w:p w14:paraId="44AE361A" w14:textId="77777777" w:rsidR="00145FB7" w:rsidRPr="009673FA" w:rsidRDefault="00145FB7" w:rsidP="00145FB7">
      <w:r w:rsidRPr="009673FA">
        <w:t>Thank you for your continued efforts to supp</w:t>
      </w:r>
      <w:r>
        <w:t>ort successful student outcomes!</w:t>
      </w:r>
    </w:p>
    <w:p w14:paraId="44AE361B" w14:textId="77777777" w:rsidR="009673FA" w:rsidRDefault="009673FA"/>
    <w:sectPr w:rsidR="009673FA" w:rsidSect="008A10C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62B2"/>
    <w:multiLevelType w:val="multilevel"/>
    <w:tmpl w:val="269ECF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28371E5"/>
    <w:multiLevelType w:val="multilevel"/>
    <w:tmpl w:val="42564C86"/>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 w15:restartNumberingAfterBreak="0">
    <w:nsid w:val="16487F13"/>
    <w:multiLevelType w:val="multilevel"/>
    <w:tmpl w:val="89B20B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6DC3205"/>
    <w:multiLevelType w:val="hybridMultilevel"/>
    <w:tmpl w:val="AE2E8A70"/>
    <w:lvl w:ilvl="0" w:tplc="27F078C6">
      <w:start w:val="1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CC08FF"/>
    <w:multiLevelType w:val="hybridMultilevel"/>
    <w:tmpl w:val="37FE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7032E"/>
    <w:multiLevelType w:val="hybridMultilevel"/>
    <w:tmpl w:val="5BA2C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D5656"/>
    <w:multiLevelType w:val="hybridMultilevel"/>
    <w:tmpl w:val="ADC6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06BA0"/>
    <w:multiLevelType w:val="hybridMultilevel"/>
    <w:tmpl w:val="6BD8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07DF3"/>
    <w:multiLevelType w:val="multilevel"/>
    <w:tmpl w:val="5CEC42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36714CD6"/>
    <w:multiLevelType w:val="hybridMultilevel"/>
    <w:tmpl w:val="FE50DB82"/>
    <w:lvl w:ilvl="0" w:tplc="27F078C6">
      <w:start w:val="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73BB4"/>
    <w:multiLevelType w:val="hybridMultilevel"/>
    <w:tmpl w:val="6E1C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A792A"/>
    <w:multiLevelType w:val="multilevel"/>
    <w:tmpl w:val="0E74E1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02E6E19"/>
    <w:multiLevelType w:val="multilevel"/>
    <w:tmpl w:val="F468F3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4494307E"/>
    <w:multiLevelType w:val="hybridMultilevel"/>
    <w:tmpl w:val="30B4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D7261"/>
    <w:multiLevelType w:val="hybridMultilevel"/>
    <w:tmpl w:val="92960A36"/>
    <w:lvl w:ilvl="0" w:tplc="27F078C6">
      <w:start w:val="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0959ED"/>
    <w:multiLevelType w:val="hybridMultilevel"/>
    <w:tmpl w:val="4F6AEF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02717"/>
    <w:multiLevelType w:val="hybridMultilevel"/>
    <w:tmpl w:val="D3505E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A7EE8"/>
    <w:multiLevelType w:val="multilevel"/>
    <w:tmpl w:val="D35C15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50AE75CF"/>
    <w:multiLevelType w:val="multilevel"/>
    <w:tmpl w:val="BD6A1D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523D333F"/>
    <w:multiLevelType w:val="hybridMultilevel"/>
    <w:tmpl w:val="2B388E32"/>
    <w:lvl w:ilvl="0" w:tplc="9E5A5BC0">
      <w:start w:val="1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C61751"/>
    <w:multiLevelType w:val="hybridMultilevel"/>
    <w:tmpl w:val="E4BCB6A2"/>
    <w:lvl w:ilvl="0" w:tplc="04090001">
      <w:start w:val="1"/>
      <w:numFmt w:val="bullet"/>
      <w:lvlText w:val=""/>
      <w:lvlJc w:val="left"/>
      <w:pPr>
        <w:ind w:left="720" w:hanging="360"/>
      </w:pPr>
      <w:rPr>
        <w:rFonts w:ascii="Symbol" w:hAnsi="Symbol" w:hint="default"/>
      </w:rPr>
    </w:lvl>
    <w:lvl w:ilvl="1" w:tplc="27F078C6">
      <w:start w:val="11"/>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F554D"/>
    <w:multiLevelType w:val="multilevel"/>
    <w:tmpl w:val="444A3E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F562136"/>
    <w:multiLevelType w:val="multilevel"/>
    <w:tmpl w:val="ACBE78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655E15C4"/>
    <w:multiLevelType w:val="hybridMultilevel"/>
    <w:tmpl w:val="542EC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E71807"/>
    <w:multiLevelType w:val="multilevel"/>
    <w:tmpl w:val="DEA4C1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6749304C"/>
    <w:multiLevelType w:val="hybridMultilevel"/>
    <w:tmpl w:val="E87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1F5029"/>
    <w:multiLevelType w:val="multilevel"/>
    <w:tmpl w:val="D9C4F8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15:restartNumberingAfterBreak="0">
    <w:nsid w:val="741474E5"/>
    <w:multiLevelType w:val="multilevel"/>
    <w:tmpl w:val="9BDE28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15:restartNumberingAfterBreak="0">
    <w:nsid w:val="75867367"/>
    <w:multiLevelType w:val="hybridMultilevel"/>
    <w:tmpl w:val="94C6FCF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872A5D"/>
    <w:multiLevelType w:val="hybridMultilevel"/>
    <w:tmpl w:val="C892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2"/>
  </w:num>
  <w:num w:numId="4">
    <w:abstractNumId w:val="24"/>
  </w:num>
  <w:num w:numId="5">
    <w:abstractNumId w:val="8"/>
  </w:num>
  <w:num w:numId="6">
    <w:abstractNumId w:val="22"/>
  </w:num>
  <w:num w:numId="7">
    <w:abstractNumId w:val="26"/>
  </w:num>
  <w:num w:numId="8">
    <w:abstractNumId w:val="2"/>
  </w:num>
  <w:num w:numId="9">
    <w:abstractNumId w:val="17"/>
  </w:num>
  <w:num w:numId="10">
    <w:abstractNumId w:val="27"/>
  </w:num>
  <w:num w:numId="11">
    <w:abstractNumId w:val="11"/>
  </w:num>
  <w:num w:numId="12">
    <w:abstractNumId w:val="0"/>
  </w:num>
  <w:num w:numId="13">
    <w:abstractNumId w:val="21"/>
  </w:num>
  <w:num w:numId="14">
    <w:abstractNumId w:val="10"/>
  </w:num>
  <w:num w:numId="15">
    <w:abstractNumId w:val="23"/>
  </w:num>
  <w:num w:numId="16">
    <w:abstractNumId w:val="3"/>
  </w:num>
  <w:num w:numId="17">
    <w:abstractNumId w:val="19"/>
  </w:num>
  <w:num w:numId="18">
    <w:abstractNumId w:val="25"/>
  </w:num>
  <w:num w:numId="19">
    <w:abstractNumId w:val="28"/>
  </w:num>
  <w:num w:numId="20">
    <w:abstractNumId w:val="29"/>
  </w:num>
  <w:num w:numId="21">
    <w:abstractNumId w:val="6"/>
  </w:num>
  <w:num w:numId="22">
    <w:abstractNumId w:val="7"/>
  </w:num>
  <w:num w:numId="23">
    <w:abstractNumId w:val="13"/>
  </w:num>
  <w:num w:numId="24">
    <w:abstractNumId w:val="4"/>
  </w:num>
  <w:num w:numId="25">
    <w:abstractNumId w:val="5"/>
  </w:num>
  <w:num w:numId="26">
    <w:abstractNumId w:val="16"/>
  </w:num>
  <w:num w:numId="27">
    <w:abstractNumId w:val="14"/>
  </w:num>
  <w:num w:numId="28">
    <w:abstractNumId w:val="9"/>
  </w:num>
  <w:num w:numId="29">
    <w:abstractNumId w:val="2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11531F"/>
    <w:rsid w:val="000724D4"/>
    <w:rsid w:val="00077FAA"/>
    <w:rsid w:val="0011531F"/>
    <w:rsid w:val="00145FB7"/>
    <w:rsid w:val="00186A85"/>
    <w:rsid w:val="002479DF"/>
    <w:rsid w:val="00253416"/>
    <w:rsid w:val="00253734"/>
    <w:rsid w:val="00380530"/>
    <w:rsid w:val="00384056"/>
    <w:rsid w:val="00385948"/>
    <w:rsid w:val="003E5471"/>
    <w:rsid w:val="00455D53"/>
    <w:rsid w:val="00460269"/>
    <w:rsid w:val="00475C10"/>
    <w:rsid w:val="00602279"/>
    <w:rsid w:val="006B3FEC"/>
    <w:rsid w:val="006F6445"/>
    <w:rsid w:val="00757369"/>
    <w:rsid w:val="007F4798"/>
    <w:rsid w:val="008243FE"/>
    <w:rsid w:val="00844D32"/>
    <w:rsid w:val="0088786A"/>
    <w:rsid w:val="008A10C2"/>
    <w:rsid w:val="00945D3A"/>
    <w:rsid w:val="009673FA"/>
    <w:rsid w:val="00996182"/>
    <w:rsid w:val="009A5B66"/>
    <w:rsid w:val="009F7A40"/>
    <w:rsid w:val="00A84097"/>
    <w:rsid w:val="00AB2374"/>
    <w:rsid w:val="00B03A85"/>
    <w:rsid w:val="00B11B72"/>
    <w:rsid w:val="00BD31F9"/>
    <w:rsid w:val="00CA0D5F"/>
    <w:rsid w:val="00D129DB"/>
    <w:rsid w:val="00D47688"/>
    <w:rsid w:val="00E14A4D"/>
    <w:rsid w:val="00E460D0"/>
    <w:rsid w:val="00E60466"/>
    <w:rsid w:val="00E7027A"/>
    <w:rsid w:val="00E85CDD"/>
    <w:rsid w:val="00F62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35EF"/>
  <w15:docId w15:val="{37854A8F-2973-4261-8D54-B820B0D55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1531F"/>
    <w:pPr>
      <w:spacing w:after="0"/>
    </w:pPr>
    <w:rPr>
      <w:rFonts w:ascii="Arial" w:eastAsia="Arial" w:hAnsi="Arial" w:cs="Arial"/>
      <w:color w:val="000000"/>
    </w:rPr>
  </w:style>
  <w:style w:type="paragraph" w:styleId="NoSpacing">
    <w:name w:val="No Spacing"/>
    <w:uiPriority w:val="1"/>
    <w:qFormat/>
    <w:rsid w:val="00460269"/>
    <w:pPr>
      <w:spacing w:after="0" w:line="240" w:lineRule="auto"/>
    </w:pPr>
  </w:style>
  <w:style w:type="paragraph" w:styleId="ListParagraph">
    <w:name w:val="List Paragraph"/>
    <w:basedOn w:val="Normal"/>
    <w:uiPriority w:val="34"/>
    <w:qFormat/>
    <w:rsid w:val="00D47688"/>
    <w:pPr>
      <w:ind w:left="720"/>
      <w:contextualSpacing/>
    </w:pPr>
  </w:style>
  <w:style w:type="character" w:customStyle="1" w:styleId="citationtext">
    <w:name w:val="citation_text"/>
    <w:basedOn w:val="DefaultParagraphFont"/>
    <w:rsid w:val="0088786A"/>
  </w:style>
  <w:style w:type="paragraph" w:styleId="BalloonText">
    <w:name w:val="Balloon Text"/>
    <w:basedOn w:val="Normal"/>
    <w:link w:val="BalloonTextChar"/>
    <w:uiPriority w:val="99"/>
    <w:semiHidden/>
    <w:unhideWhenUsed/>
    <w:rsid w:val="008A1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0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6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DESE-231-34826</_dlc_DocId>
    <_dlc_DocIdUrl xmlns="733efe1c-5bbe-4968-87dc-d400e65c879f">
      <Url>https://sharepoint.doemass.org/ese/webteam/cps/_layouts/DocIdRedir.aspx?ID=DESE-231-34826</Url>
      <Description>DESE-231-34826</Description>
    </_dlc_DocIdUrl>
  </documentManagement>
</p:properties>
</file>

<file path=customXml/itemProps1.xml><?xml version="1.0" encoding="utf-8"?>
<ds:datastoreItem xmlns:ds="http://schemas.openxmlformats.org/officeDocument/2006/customXml" ds:itemID="{97B4B075-2EF4-4AE7-BF42-2E31DE5C7736}"/>
</file>

<file path=customXml/itemProps2.xml><?xml version="1.0" encoding="utf-8"?>
<ds:datastoreItem xmlns:ds="http://schemas.openxmlformats.org/officeDocument/2006/customXml" ds:itemID="{77B1E2A1-9CFD-4DE4-BD3E-730D0F99B0EC}"/>
</file>

<file path=customXml/itemProps3.xml><?xml version="1.0" encoding="utf-8"?>
<ds:datastoreItem xmlns:ds="http://schemas.openxmlformats.org/officeDocument/2006/customXml" ds:itemID="{0979F523-8B40-4E3D-BEF4-34E3F0CCED7C}"/>
</file>

<file path=customXml/itemProps4.xml><?xml version="1.0" encoding="utf-8"?>
<ds:datastoreItem xmlns:ds="http://schemas.openxmlformats.org/officeDocument/2006/customXml" ds:itemID="{22EBACC0-6CE0-47CE-9176-4769391B76FC}"/>
</file>

<file path=docProps/app.xml><?xml version="1.0" encoding="utf-8"?>
<Properties xmlns="http://schemas.openxmlformats.org/officeDocument/2006/extended-properties" xmlns:vt="http://schemas.openxmlformats.org/officeDocument/2006/docPropsVTypes">
  <Template>Normal.dotm</Template>
  <TotalTime>4</TotalTime>
  <Pages>2</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District Work</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Work</dc:title>
  <dc:creator>ESE</dc:creator>
  <cp:lastModifiedBy>dzou</cp:lastModifiedBy>
  <cp:revision>3</cp:revision>
  <dcterms:created xsi:type="dcterms:W3CDTF">2017-07-17T18:20:00Z</dcterms:created>
  <dcterms:modified xsi:type="dcterms:W3CDTF">2017-08-03T14:45:00Z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 2017</vt:lpwstr>
  </property>
  <property fmtid="{D5CDD505-2E9C-101B-9397-08002B2CF9AE}" pid="3" name="ContentTypeId">
    <vt:lpwstr>0x010100524261BFE874874F899C38CF9C771BFF</vt:lpwstr>
  </property>
</Properties>
</file>