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32A03" w14:textId="42B4CE23" w:rsidR="002A17CD" w:rsidRPr="002A17CD" w:rsidRDefault="002A17CD" w:rsidP="00275DC3">
      <w:pPr>
        <w:spacing w:after="240"/>
        <w:jc w:val="center"/>
        <w:rPr>
          <w:sz w:val="28"/>
          <w:szCs w:val="28"/>
        </w:rPr>
      </w:pPr>
      <w:bookmarkStart w:id="0" w:name="_GoBack"/>
      <w:bookmarkEnd w:id="0"/>
      <w:r w:rsidRPr="002A17CD">
        <w:rPr>
          <w:sz w:val="28"/>
          <w:szCs w:val="28"/>
        </w:rPr>
        <w:t>Mode Adjustment</w:t>
      </w:r>
      <w:r>
        <w:rPr>
          <w:sz w:val="28"/>
          <w:szCs w:val="28"/>
        </w:rPr>
        <w:t>s</w:t>
      </w:r>
      <w:r w:rsidRPr="002A17CD">
        <w:rPr>
          <w:sz w:val="28"/>
          <w:szCs w:val="28"/>
        </w:rPr>
        <w:t xml:space="preserve"> on the ACCESS for ELLs Tests</w:t>
      </w:r>
    </w:p>
    <w:p w14:paraId="780233A7" w14:textId="5BB967DB" w:rsidR="00436D42" w:rsidRDefault="009E67AD">
      <w:r>
        <w:t>Since 2016, t</w:t>
      </w:r>
      <w:r w:rsidR="002F3DAA">
        <w:t xml:space="preserve">he percentage of </w:t>
      </w:r>
      <w:r w:rsidR="00275DC3">
        <w:t xml:space="preserve">Massachusetts English learners (ELs) </w:t>
      </w:r>
      <w:r w:rsidR="002F3DAA">
        <w:t xml:space="preserve">in grades 1-12 </w:t>
      </w:r>
      <w:r w:rsidR="00275DC3">
        <w:t xml:space="preserve">and who </w:t>
      </w:r>
      <w:r>
        <w:t xml:space="preserve">take </w:t>
      </w:r>
      <w:r w:rsidR="002F3DAA">
        <w:t xml:space="preserve">the </w:t>
      </w:r>
      <w:r w:rsidR="00275DC3" w:rsidRPr="00275DC3">
        <w:rPr>
          <w:b/>
          <w:bCs/>
        </w:rPr>
        <w:t>online</w:t>
      </w:r>
      <w:r w:rsidR="00275DC3">
        <w:t xml:space="preserve"> </w:t>
      </w:r>
      <w:r w:rsidR="002F3DAA">
        <w:t>ACCESS for ELLs test</w:t>
      </w:r>
      <w:r>
        <w:t xml:space="preserve"> has increased annually, compared with paper test-takers,</w:t>
      </w:r>
      <w:r w:rsidR="002F3DAA">
        <w:t xml:space="preserve"> since </w:t>
      </w:r>
      <w:r>
        <w:t xml:space="preserve">the </w:t>
      </w:r>
      <w:r w:rsidR="002F3DAA">
        <w:t xml:space="preserve">online </w:t>
      </w:r>
      <w:r w:rsidR="002A17CD">
        <w:t xml:space="preserve">ACCESS </w:t>
      </w:r>
      <w:r w:rsidR="002F3DAA">
        <w:t>test</w:t>
      </w:r>
      <w:r>
        <w:t xml:space="preserve"> was introduced </w:t>
      </w:r>
      <w:r w:rsidR="002F3DAA">
        <w:t xml:space="preserve">in 2016.  </w:t>
      </w:r>
      <w:r>
        <w:t>Fewer</w:t>
      </w:r>
      <w:r w:rsidR="008A0C7D">
        <w:t xml:space="preserve"> than half </w:t>
      </w:r>
      <w:r w:rsidR="002A17CD">
        <w:t xml:space="preserve">the </w:t>
      </w:r>
      <w:r w:rsidR="008A0C7D">
        <w:t>test</w:t>
      </w:r>
      <w:r w:rsidR="002A17CD">
        <w:t>-</w:t>
      </w:r>
      <w:r w:rsidR="008A0C7D">
        <w:t xml:space="preserve">takers </w:t>
      </w:r>
      <w:r w:rsidR="002A17CD">
        <w:t xml:space="preserve">in 2016 </w:t>
      </w:r>
      <w:r w:rsidR="008A0C7D">
        <w:t xml:space="preserve">took the </w:t>
      </w:r>
      <w:r>
        <w:t xml:space="preserve">online </w:t>
      </w:r>
      <w:r w:rsidR="008A0C7D">
        <w:t xml:space="preserve">test; </w:t>
      </w:r>
      <w:r w:rsidR="002A17CD">
        <w:t xml:space="preserve">by </w:t>
      </w:r>
      <w:r w:rsidR="008A0C7D">
        <w:t xml:space="preserve">2019, almost all </w:t>
      </w:r>
      <w:r w:rsidR="002A17CD">
        <w:t xml:space="preserve">(98%) </w:t>
      </w:r>
      <w:r w:rsidR="008A0C7D">
        <w:t xml:space="preserve">students </w:t>
      </w:r>
      <w:r>
        <w:t xml:space="preserve">had taken </w:t>
      </w:r>
      <w:r w:rsidR="008A0C7D">
        <w:t>the online test</w:t>
      </w:r>
      <w:r w:rsidR="002A17CD">
        <w:t xml:space="preserve"> </w:t>
      </w:r>
      <w:r w:rsidR="008A0C7D">
        <w:t xml:space="preserve">(see Table </w:t>
      </w:r>
      <w:r>
        <w:t>1</w:t>
      </w:r>
      <w:r w:rsidR="008A0C7D">
        <w:t>).</w:t>
      </w:r>
      <w:r w:rsidR="00436D42">
        <w:t xml:space="preserve"> </w:t>
      </w:r>
      <w:r w:rsidR="002A17CD">
        <w:t>I</w:t>
      </w:r>
      <w:r w:rsidR="008A0C7D">
        <w:t xml:space="preserve">n 2017, WIDA offered states the </w:t>
      </w:r>
      <w:r w:rsidR="002A17CD">
        <w:t xml:space="preserve">option of applying </w:t>
      </w:r>
      <w:r w:rsidR="008A0C7D" w:rsidRPr="002A17CD">
        <w:rPr>
          <w:i/>
          <w:iCs/>
        </w:rPr>
        <w:t>mode</w:t>
      </w:r>
      <w:r w:rsidR="002A17CD" w:rsidRPr="002A17CD">
        <w:rPr>
          <w:i/>
          <w:iCs/>
        </w:rPr>
        <w:t xml:space="preserve"> </w:t>
      </w:r>
      <w:r w:rsidR="008A0C7D" w:rsidRPr="002A17CD">
        <w:rPr>
          <w:i/>
          <w:iCs/>
        </w:rPr>
        <w:t>adjust</w:t>
      </w:r>
      <w:r w:rsidR="002A17CD" w:rsidRPr="002A17CD">
        <w:rPr>
          <w:i/>
          <w:iCs/>
        </w:rPr>
        <w:t>ments</w:t>
      </w:r>
      <w:r w:rsidR="002A17CD">
        <w:t xml:space="preserve"> to the </w:t>
      </w:r>
      <w:r w:rsidR="008A0C7D">
        <w:t xml:space="preserve">scores </w:t>
      </w:r>
      <w:r w:rsidR="002A17CD">
        <w:t xml:space="preserve">of </w:t>
      </w:r>
      <w:r w:rsidR="008A0C7D">
        <w:t xml:space="preserve">students taking the paper version of the ACCESS for ELLs tests. </w:t>
      </w:r>
      <w:r w:rsidR="00436D42">
        <w:t xml:space="preserve">Since a sizeable portion of Massachusetts students took the paper test versions in 2017 and 2018, the state applied mode-adjusted scores for paper test-takers in those years. </w:t>
      </w:r>
      <w:r>
        <w:t>Scores for paper-based test-takers were lowered as a result of the mode adjustment process.</w:t>
      </w:r>
    </w:p>
    <w:p w14:paraId="33061B2E" w14:textId="03867824" w:rsidR="0012318D" w:rsidRDefault="00436D42">
      <w:r>
        <w:t xml:space="preserve">The rationale for using mode-adjusted scores became evident when examining average student growth percentiles (SGPs) each year. </w:t>
      </w:r>
      <w:r w:rsidR="009E67AD">
        <w:t xml:space="preserve">ACCESS scores </w:t>
      </w:r>
      <w:r>
        <w:t xml:space="preserve">that were </w:t>
      </w:r>
      <w:r w:rsidRPr="00436D42">
        <w:rPr>
          <w:b/>
          <w:bCs/>
        </w:rPr>
        <w:t>not</w:t>
      </w:r>
      <w:r>
        <w:t xml:space="preserve"> adjusted </w:t>
      </w:r>
      <w:r w:rsidR="009E67AD">
        <w:t xml:space="preserve">would have resulted in larger mean differences advantaging paper testers across almost all grades (excepting grades 1 and 4, as shown in the left-hand side of Graph 1). Student Growth Percentile (SGP) differences were greatly ameliorated when mode-adjusted scores were applied, as shown in the right-hand side of Graph 1, in which SGP averages for both groups averaged close to 50. </w:t>
      </w:r>
      <w:r w:rsidR="00275DC3">
        <w:t>B</w:t>
      </w:r>
      <w:r w:rsidR="00903CD7">
        <w:t>ecause SGPs are conditioned on students’ prior ACCESS scores, disparities in SGPs by mode provide</w:t>
      </w:r>
      <w:r w:rsidR="00275DC3">
        <w:t>d</w:t>
      </w:r>
      <w:r w:rsidR="00903CD7">
        <w:t xml:space="preserve"> strong evidence of mode effects in test results</w:t>
      </w:r>
      <w:r>
        <w:t>,</w:t>
      </w:r>
      <w:r w:rsidR="002F3DAA">
        <w:t xml:space="preserve"> </w:t>
      </w:r>
      <w:r w:rsidR="00275DC3">
        <w:t xml:space="preserve">since </w:t>
      </w:r>
      <w:r w:rsidR="002F3DAA">
        <w:t xml:space="preserve">we </w:t>
      </w:r>
      <w:r w:rsidR="00275DC3">
        <w:t xml:space="preserve">would </w:t>
      </w:r>
      <w:r>
        <w:t xml:space="preserve">have </w:t>
      </w:r>
      <w:r w:rsidR="002F3DAA">
        <w:t>expect</w:t>
      </w:r>
      <w:r>
        <w:t>ed</w:t>
      </w:r>
      <w:r w:rsidR="002F3DAA">
        <w:t xml:space="preserve"> SGPs for any </w:t>
      </w:r>
      <w:proofErr w:type="gramStart"/>
      <w:r w:rsidR="002F3DAA">
        <w:t>substantially-sized</w:t>
      </w:r>
      <w:proofErr w:type="gramEnd"/>
      <w:r w:rsidR="002F3DAA">
        <w:t xml:space="preserve"> group to average </w:t>
      </w:r>
      <w:r w:rsidR="00275DC3">
        <w:t xml:space="preserve">about </w:t>
      </w:r>
      <w:r w:rsidR="002F3DAA">
        <w:t>50</w:t>
      </w:r>
      <w:r w:rsidR="008A0C7D">
        <w:t xml:space="preserve">.  </w:t>
      </w:r>
    </w:p>
    <w:p w14:paraId="69F37F94" w14:textId="4EC106DF" w:rsidR="0012318D" w:rsidRPr="00275DC3" w:rsidRDefault="008A0C7D">
      <w:pPr>
        <w:rPr>
          <w:b/>
          <w:bCs/>
        </w:rPr>
      </w:pPr>
      <w:r w:rsidRPr="00275DC3">
        <w:rPr>
          <w:b/>
          <w:bCs/>
        </w:rPr>
        <w:t xml:space="preserve">Table </w:t>
      </w:r>
      <w:r w:rsidR="00275DC3">
        <w:rPr>
          <w:b/>
          <w:bCs/>
        </w:rPr>
        <w:t>1</w:t>
      </w:r>
      <w:r w:rsidRPr="00275DC3">
        <w:rPr>
          <w:b/>
          <w:bCs/>
        </w:rPr>
        <w:t>: Test Counts and Percentages for Online Test Takers, 2016 to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900"/>
        <w:gridCol w:w="946"/>
        <w:gridCol w:w="1263"/>
      </w:tblGrid>
      <w:tr w:rsidR="0012318D" w:rsidRPr="0012318D" w14:paraId="62E16B10" w14:textId="77777777" w:rsidTr="008A0C7D">
        <w:trPr>
          <w:trHeight w:val="300"/>
        </w:trPr>
        <w:tc>
          <w:tcPr>
            <w:tcW w:w="3840" w:type="dxa"/>
            <w:gridSpan w:val="4"/>
            <w:noWrap/>
            <w:hideMark/>
          </w:tcPr>
          <w:p w14:paraId="3D723ED6" w14:textId="77777777" w:rsidR="0012318D" w:rsidRPr="0012318D" w:rsidRDefault="0012318D">
            <w:r w:rsidRPr="0012318D">
              <w:t>Online Test Takers from 2016 to 2019</w:t>
            </w:r>
          </w:p>
        </w:tc>
      </w:tr>
      <w:tr w:rsidR="0012318D" w:rsidRPr="0012318D" w14:paraId="418D9EDE" w14:textId="77777777" w:rsidTr="008A0C7D">
        <w:trPr>
          <w:trHeight w:val="300"/>
        </w:trPr>
        <w:tc>
          <w:tcPr>
            <w:tcW w:w="731" w:type="dxa"/>
            <w:noWrap/>
            <w:hideMark/>
          </w:tcPr>
          <w:p w14:paraId="7CD51E0C" w14:textId="77777777" w:rsidR="0012318D" w:rsidRPr="0012318D" w:rsidRDefault="0012318D"/>
        </w:tc>
        <w:tc>
          <w:tcPr>
            <w:tcW w:w="900" w:type="dxa"/>
            <w:noWrap/>
            <w:hideMark/>
          </w:tcPr>
          <w:p w14:paraId="16EEBF61" w14:textId="77777777" w:rsidR="0012318D" w:rsidRPr="0012318D" w:rsidRDefault="0012318D" w:rsidP="0012318D">
            <w:r w:rsidRPr="0012318D">
              <w:t>Total</w:t>
            </w:r>
          </w:p>
        </w:tc>
        <w:tc>
          <w:tcPr>
            <w:tcW w:w="946" w:type="dxa"/>
            <w:noWrap/>
            <w:hideMark/>
          </w:tcPr>
          <w:p w14:paraId="60309A05" w14:textId="77777777" w:rsidR="0012318D" w:rsidRPr="0012318D" w:rsidRDefault="0012318D" w:rsidP="0012318D">
            <w:r w:rsidRPr="0012318D">
              <w:t>Online</w:t>
            </w:r>
          </w:p>
        </w:tc>
        <w:tc>
          <w:tcPr>
            <w:tcW w:w="1263" w:type="dxa"/>
            <w:noWrap/>
            <w:hideMark/>
          </w:tcPr>
          <w:p w14:paraId="43918AFB" w14:textId="77777777" w:rsidR="0012318D" w:rsidRPr="0012318D" w:rsidRDefault="0012318D" w:rsidP="0012318D">
            <w:r w:rsidRPr="0012318D">
              <w:t>% Online</w:t>
            </w:r>
          </w:p>
        </w:tc>
      </w:tr>
      <w:tr w:rsidR="0012318D" w:rsidRPr="0012318D" w14:paraId="0F55D428" w14:textId="77777777" w:rsidTr="008A0C7D">
        <w:trPr>
          <w:trHeight w:val="300"/>
        </w:trPr>
        <w:tc>
          <w:tcPr>
            <w:tcW w:w="731" w:type="dxa"/>
            <w:noWrap/>
            <w:hideMark/>
          </w:tcPr>
          <w:p w14:paraId="711482C3" w14:textId="77777777" w:rsidR="0012318D" w:rsidRPr="00275DC3" w:rsidRDefault="0012318D" w:rsidP="0012318D">
            <w:r w:rsidRPr="00275DC3">
              <w:t>2016</w:t>
            </w:r>
          </w:p>
        </w:tc>
        <w:tc>
          <w:tcPr>
            <w:tcW w:w="900" w:type="dxa"/>
            <w:noWrap/>
            <w:hideMark/>
          </w:tcPr>
          <w:p w14:paraId="3AE9640F" w14:textId="77777777" w:rsidR="0012318D" w:rsidRPr="0012318D" w:rsidRDefault="0012318D" w:rsidP="008A0C7D">
            <w:pPr>
              <w:jc w:val="center"/>
            </w:pPr>
            <w:r w:rsidRPr="0012318D">
              <w:t>72076</w:t>
            </w:r>
          </w:p>
        </w:tc>
        <w:tc>
          <w:tcPr>
            <w:tcW w:w="946" w:type="dxa"/>
            <w:noWrap/>
            <w:hideMark/>
          </w:tcPr>
          <w:p w14:paraId="26B0589C" w14:textId="77777777" w:rsidR="0012318D" w:rsidRPr="0012318D" w:rsidRDefault="0012318D" w:rsidP="008A0C7D">
            <w:pPr>
              <w:jc w:val="center"/>
            </w:pPr>
            <w:r w:rsidRPr="0012318D">
              <w:t>33238</w:t>
            </w:r>
          </w:p>
        </w:tc>
        <w:tc>
          <w:tcPr>
            <w:tcW w:w="1263" w:type="dxa"/>
            <w:noWrap/>
            <w:hideMark/>
          </w:tcPr>
          <w:p w14:paraId="5644253F" w14:textId="77777777" w:rsidR="0012318D" w:rsidRPr="0012318D" w:rsidRDefault="0012318D" w:rsidP="008A0C7D">
            <w:pPr>
              <w:jc w:val="center"/>
            </w:pPr>
            <w:r w:rsidRPr="0012318D">
              <w:t>46%</w:t>
            </w:r>
          </w:p>
        </w:tc>
      </w:tr>
      <w:tr w:rsidR="0012318D" w:rsidRPr="0012318D" w14:paraId="0A3C8BB4" w14:textId="77777777" w:rsidTr="008A0C7D">
        <w:trPr>
          <w:trHeight w:val="300"/>
        </w:trPr>
        <w:tc>
          <w:tcPr>
            <w:tcW w:w="731" w:type="dxa"/>
            <w:noWrap/>
            <w:hideMark/>
          </w:tcPr>
          <w:p w14:paraId="6AB8B614" w14:textId="77777777" w:rsidR="0012318D" w:rsidRPr="0012318D" w:rsidRDefault="0012318D" w:rsidP="0012318D">
            <w:r w:rsidRPr="0012318D">
              <w:t>2017</w:t>
            </w:r>
          </w:p>
        </w:tc>
        <w:tc>
          <w:tcPr>
            <w:tcW w:w="900" w:type="dxa"/>
            <w:noWrap/>
            <w:hideMark/>
          </w:tcPr>
          <w:p w14:paraId="4B2E1C45" w14:textId="77777777" w:rsidR="0012318D" w:rsidRPr="0012318D" w:rsidRDefault="0012318D" w:rsidP="008A0C7D">
            <w:pPr>
              <w:jc w:val="center"/>
            </w:pPr>
            <w:r w:rsidRPr="0012318D">
              <w:t>75033</w:t>
            </w:r>
          </w:p>
        </w:tc>
        <w:tc>
          <w:tcPr>
            <w:tcW w:w="946" w:type="dxa"/>
            <w:noWrap/>
            <w:hideMark/>
          </w:tcPr>
          <w:p w14:paraId="42FF5856" w14:textId="77777777" w:rsidR="0012318D" w:rsidRPr="0012318D" w:rsidRDefault="0012318D" w:rsidP="008A0C7D">
            <w:pPr>
              <w:jc w:val="center"/>
            </w:pPr>
            <w:r w:rsidRPr="0012318D">
              <w:t>46255</w:t>
            </w:r>
          </w:p>
        </w:tc>
        <w:tc>
          <w:tcPr>
            <w:tcW w:w="1263" w:type="dxa"/>
            <w:noWrap/>
            <w:hideMark/>
          </w:tcPr>
          <w:p w14:paraId="58ECA9D7" w14:textId="77777777" w:rsidR="0012318D" w:rsidRPr="0012318D" w:rsidRDefault="0012318D" w:rsidP="008A0C7D">
            <w:pPr>
              <w:jc w:val="center"/>
            </w:pPr>
            <w:r w:rsidRPr="0012318D">
              <w:t>62%</w:t>
            </w:r>
          </w:p>
        </w:tc>
      </w:tr>
      <w:tr w:rsidR="0012318D" w:rsidRPr="0012318D" w14:paraId="5FD23020" w14:textId="77777777" w:rsidTr="008A0C7D">
        <w:trPr>
          <w:trHeight w:val="300"/>
        </w:trPr>
        <w:tc>
          <w:tcPr>
            <w:tcW w:w="731" w:type="dxa"/>
            <w:noWrap/>
            <w:hideMark/>
          </w:tcPr>
          <w:p w14:paraId="4FC82FC3" w14:textId="77777777" w:rsidR="0012318D" w:rsidRPr="0012318D" w:rsidRDefault="0012318D" w:rsidP="0012318D">
            <w:r w:rsidRPr="0012318D">
              <w:t>2018</w:t>
            </w:r>
          </w:p>
        </w:tc>
        <w:tc>
          <w:tcPr>
            <w:tcW w:w="900" w:type="dxa"/>
            <w:noWrap/>
            <w:hideMark/>
          </w:tcPr>
          <w:p w14:paraId="4DDD2E98" w14:textId="77777777" w:rsidR="0012318D" w:rsidRPr="0012318D" w:rsidRDefault="0012318D" w:rsidP="008A0C7D">
            <w:pPr>
              <w:jc w:val="center"/>
            </w:pPr>
            <w:r w:rsidRPr="0012318D">
              <w:t>81888</w:t>
            </w:r>
          </w:p>
        </w:tc>
        <w:tc>
          <w:tcPr>
            <w:tcW w:w="946" w:type="dxa"/>
            <w:noWrap/>
            <w:hideMark/>
          </w:tcPr>
          <w:p w14:paraId="3951667E" w14:textId="77777777" w:rsidR="0012318D" w:rsidRPr="0012318D" w:rsidRDefault="0012318D" w:rsidP="008A0C7D">
            <w:pPr>
              <w:jc w:val="center"/>
            </w:pPr>
            <w:r w:rsidRPr="0012318D">
              <w:t>71157</w:t>
            </w:r>
          </w:p>
        </w:tc>
        <w:tc>
          <w:tcPr>
            <w:tcW w:w="1263" w:type="dxa"/>
            <w:noWrap/>
            <w:hideMark/>
          </w:tcPr>
          <w:p w14:paraId="02D5D17C" w14:textId="77777777" w:rsidR="0012318D" w:rsidRPr="0012318D" w:rsidRDefault="0012318D" w:rsidP="008A0C7D">
            <w:pPr>
              <w:jc w:val="center"/>
            </w:pPr>
            <w:r w:rsidRPr="0012318D">
              <w:t>87%</w:t>
            </w:r>
          </w:p>
        </w:tc>
      </w:tr>
      <w:tr w:rsidR="0012318D" w:rsidRPr="0012318D" w14:paraId="711B470B" w14:textId="77777777" w:rsidTr="008A0C7D">
        <w:trPr>
          <w:trHeight w:val="300"/>
        </w:trPr>
        <w:tc>
          <w:tcPr>
            <w:tcW w:w="731" w:type="dxa"/>
            <w:noWrap/>
            <w:hideMark/>
          </w:tcPr>
          <w:p w14:paraId="1D8D30AB" w14:textId="77777777" w:rsidR="0012318D" w:rsidRPr="0012318D" w:rsidRDefault="0012318D" w:rsidP="0012318D">
            <w:r w:rsidRPr="0012318D">
              <w:t>2019</w:t>
            </w:r>
          </w:p>
        </w:tc>
        <w:tc>
          <w:tcPr>
            <w:tcW w:w="900" w:type="dxa"/>
            <w:noWrap/>
            <w:hideMark/>
          </w:tcPr>
          <w:p w14:paraId="4C90CFF6" w14:textId="77777777" w:rsidR="0012318D" w:rsidRPr="0012318D" w:rsidRDefault="0012318D" w:rsidP="008A0C7D">
            <w:pPr>
              <w:jc w:val="center"/>
            </w:pPr>
            <w:r w:rsidRPr="0012318D">
              <w:t>82715</w:t>
            </w:r>
          </w:p>
        </w:tc>
        <w:tc>
          <w:tcPr>
            <w:tcW w:w="946" w:type="dxa"/>
            <w:noWrap/>
            <w:hideMark/>
          </w:tcPr>
          <w:p w14:paraId="6A86E0EA" w14:textId="77777777" w:rsidR="0012318D" w:rsidRPr="0012318D" w:rsidRDefault="0012318D" w:rsidP="008A0C7D">
            <w:pPr>
              <w:jc w:val="center"/>
            </w:pPr>
            <w:r w:rsidRPr="0012318D">
              <w:t>81879</w:t>
            </w:r>
          </w:p>
        </w:tc>
        <w:tc>
          <w:tcPr>
            <w:tcW w:w="1263" w:type="dxa"/>
            <w:noWrap/>
            <w:hideMark/>
          </w:tcPr>
          <w:p w14:paraId="536F54F6" w14:textId="77777777" w:rsidR="0012318D" w:rsidRPr="0012318D" w:rsidRDefault="0012318D" w:rsidP="008A0C7D">
            <w:pPr>
              <w:jc w:val="center"/>
            </w:pPr>
            <w:r w:rsidRPr="0012318D">
              <w:t>99%</w:t>
            </w:r>
          </w:p>
        </w:tc>
      </w:tr>
    </w:tbl>
    <w:p w14:paraId="62274F74" w14:textId="56F3ED1D" w:rsidR="003418AA" w:rsidRDefault="004A4027"/>
    <w:p w14:paraId="66DC544A" w14:textId="6A4B3AFA" w:rsidR="008A0C7D" w:rsidRPr="00275DC3" w:rsidRDefault="00275DC3">
      <w:pPr>
        <w:rPr>
          <w:b/>
          <w:bCs/>
        </w:rPr>
      </w:pPr>
      <w:r w:rsidRPr="00275DC3">
        <w:rPr>
          <w:b/>
          <w:bCs/>
        </w:rPr>
        <w:t>Graph 1</w:t>
      </w:r>
      <w:r w:rsidR="008A0C7D" w:rsidRPr="00275DC3">
        <w:rPr>
          <w:b/>
          <w:bCs/>
        </w:rPr>
        <w:t>: Average SGPs by Mode, Using Adjusted and Unadjusted Scores</w:t>
      </w:r>
    </w:p>
    <w:p w14:paraId="507EACFA" w14:textId="7892B4FE" w:rsidR="008A0C7D" w:rsidRDefault="008A0C7D">
      <w:r w:rsidRPr="008A0C7D">
        <w:rPr>
          <w:noProof/>
        </w:rPr>
        <w:drawing>
          <wp:inline distT="0" distB="0" distL="0" distR="0" wp14:anchorId="2F366185" wp14:editId="6DF62E81">
            <wp:extent cx="5943600" cy="2835910"/>
            <wp:effectExtent l="0" t="0" r="0" b="2540"/>
            <wp:docPr id="1" name="Picture 1" descr="Bar graph showing Average SGPs by Mode, Using Adjusted and Unadjusted Scores for online an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r graph showing Average SGPs by Mode, Using Adjusted and Unadjusted Scores for online and paper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0C7D" w:rsidSect="00275DC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FD"/>
    <w:rsid w:val="0012318D"/>
    <w:rsid w:val="00275DC3"/>
    <w:rsid w:val="002A17CD"/>
    <w:rsid w:val="002F3DAA"/>
    <w:rsid w:val="00436D42"/>
    <w:rsid w:val="004A4027"/>
    <w:rsid w:val="00651420"/>
    <w:rsid w:val="006C25FD"/>
    <w:rsid w:val="008A0C7D"/>
    <w:rsid w:val="00903CD7"/>
    <w:rsid w:val="009E67AD"/>
    <w:rsid w:val="00A02460"/>
    <w:rsid w:val="00A13D42"/>
    <w:rsid w:val="00F9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40833"/>
  <w15:chartTrackingRefBased/>
  <w15:docId w15:val="{4187D6B5-2B89-4E7C-B0D9-71D3E37E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DESE-231-66746</_dlc_DocId>
    <_dlc_DocIdUrl xmlns="733efe1c-5bbe-4968-87dc-d400e65c879f">
      <Url>https://sharepoint.doemass.org/ese/webteam/cps/_layouts/DocIdRedir.aspx?ID=DESE-231-66746</Url>
      <Description>DESE-231-66746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32BC16-ABEC-4FD9-86DC-420A5DF8D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FDDF3-D505-43C0-813A-73EF6419FF7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3F983AAA-1414-444F-ADE0-9FBF20EA36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CEEF05-66C2-4760-8AD0-ACBB4D5FE88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Mode Adjustments for Testing December 2020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Mode Adjustments for Testing December 2020</dc:title>
  <dc:subject/>
  <dc:creator>DESE</dc:creator>
  <cp:keywords/>
  <dc:description/>
  <cp:lastModifiedBy>Zou, Dong (EOE)</cp:lastModifiedBy>
  <cp:revision>4</cp:revision>
  <dcterms:created xsi:type="dcterms:W3CDTF">2020-12-11T18:38:00Z</dcterms:created>
  <dcterms:modified xsi:type="dcterms:W3CDTF">2020-12-14T18:15:00Z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14 2020</vt:lpwstr>
  </property>
</Properties>
</file>