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D1E21" w14:textId="77777777" w:rsidR="006941FC" w:rsidRDefault="00FC19DD" w:rsidP="009E65FD">
      <w:pPr>
        <w:spacing w:after="720"/>
        <w:jc w:val="center"/>
        <w:outlineLvl w:val="0"/>
        <w:rPr>
          <w:rFonts w:ascii="Arial" w:eastAsia="Arial" w:hAnsi="Arial" w:cs="Arial"/>
          <w:b/>
          <w:bCs/>
          <w:color w:val="4B4B4D"/>
          <w:w w:val="80"/>
          <w:sz w:val="26"/>
          <w:szCs w:val="26"/>
        </w:rPr>
      </w:pPr>
      <w:bookmarkStart w:id="0" w:name="_GoBack"/>
      <w:bookmarkEnd w:id="0"/>
      <w:r>
        <w:rPr>
          <w:rFonts w:ascii="Arial" w:eastAsia="Arial" w:hAnsi="Arial" w:cs="Arial"/>
          <w:b/>
          <w:bCs/>
          <w:color w:val="4B4B4D"/>
          <w:w w:val="80"/>
          <w:sz w:val="26"/>
          <w:szCs w:val="26"/>
        </w:rPr>
        <w:t>Easthampton High School</w:t>
      </w:r>
      <w:r w:rsidR="006259DE">
        <w:rPr>
          <w:rFonts w:ascii="Arial" w:eastAsia="Arial" w:hAnsi="Arial" w:cs="Arial"/>
          <w:b/>
          <w:bCs/>
          <w:color w:val="4B4B4D"/>
          <w:spacing w:val="31"/>
          <w:w w:val="80"/>
          <w:sz w:val="26"/>
          <w:szCs w:val="26"/>
        </w:rPr>
        <w:t xml:space="preserve"> </w:t>
      </w:r>
      <w:r w:rsidR="006259DE">
        <w:rPr>
          <w:rFonts w:ascii="Arial" w:eastAsia="Arial" w:hAnsi="Arial" w:cs="Arial"/>
          <w:b/>
          <w:bCs/>
          <w:color w:val="4B4B4D"/>
          <w:w w:val="80"/>
          <w:sz w:val="26"/>
          <w:szCs w:val="26"/>
        </w:rPr>
        <w:t>Professional</w:t>
      </w:r>
      <w:r w:rsidR="006259DE">
        <w:rPr>
          <w:rFonts w:ascii="Arial" w:eastAsia="Arial" w:hAnsi="Arial" w:cs="Arial"/>
          <w:b/>
          <w:bCs/>
          <w:color w:val="4B4B4D"/>
          <w:spacing w:val="39"/>
          <w:w w:val="80"/>
          <w:sz w:val="26"/>
          <w:szCs w:val="26"/>
        </w:rPr>
        <w:t xml:space="preserve"> </w:t>
      </w:r>
      <w:r w:rsidR="006259DE">
        <w:rPr>
          <w:rFonts w:ascii="Arial" w:eastAsia="Arial" w:hAnsi="Arial" w:cs="Arial"/>
          <w:b/>
          <w:bCs/>
          <w:color w:val="4B4B4D"/>
          <w:w w:val="80"/>
          <w:sz w:val="26"/>
          <w:szCs w:val="26"/>
        </w:rPr>
        <w:t>Development</w:t>
      </w:r>
      <w:r w:rsidR="006259DE">
        <w:rPr>
          <w:rFonts w:ascii="Arial" w:eastAsia="Arial" w:hAnsi="Arial" w:cs="Arial"/>
          <w:b/>
          <w:bCs/>
          <w:color w:val="4B4B4D"/>
          <w:spacing w:val="33"/>
          <w:w w:val="80"/>
          <w:sz w:val="26"/>
          <w:szCs w:val="26"/>
        </w:rPr>
        <w:t xml:space="preserve"> </w:t>
      </w:r>
      <w:r w:rsidR="006259DE">
        <w:rPr>
          <w:rFonts w:ascii="Arial" w:eastAsia="Arial" w:hAnsi="Arial" w:cs="Arial"/>
          <w:b/>
          <w:bCs/>
          <w:color w:val="4B4B4D"/>
          <w:w w:val="80"/>
          <w:sz w:val="26"/>
          <w:szCs w:val="26"/>
        </w:rPr>
        <w:t>Planning,</w:t>
      </w:r>
      <w:r w:rsidR="006259DE">
        <w:rPr>
          <w:rFonts w:ascii="Arial" w:eastAsia="Arial" w:hAnsi="Arial" w:cs="Arial"/>
          <w:b/>
          <w:bCs/>
          <w:color w:val="4B4B4D"/>
          <w:spacing w:val="27"/>
          <w:w w:val="80"/>
          <w:sz w:val="26"/>
          <w:szCs w:val="26"/>
        </w:rPr>
        <w:t xml:space="preserve"> </w:t>
      </w:r>
      <w:r w:rsidR="006259DE">
        <w:rPr>
          <w:rFonts w:ascii="Arial" w:eastAsia="Arial" w:hAnsi="Arial" w:cs="Arial"/>
          <w:b/>
          <w:bCs/>
          <w:color w:val="4B4B4D"/>
          <w:w w:val="80"/>
          <w:sz w:val="26"/>
          <w:szCs w:val="26"/>
        </w:rPr>
        <w:t>Implementation,</w:t>
      </w:r>
      <w:r w:rsidR="006259DE">
        <w:rPr>
          <w:rFonts w:ascii="Arial" w:eastAsia="Arial" w:hAnsi="Arial" w:cs="Arial"/>
          <w:b/>
          <w:bCs/>
          <w:color w:val="4B4B4D"/>
          <w:spacing w:val="35"/>
          <w:w w:val="80"/>
          <w:sz w:val="26"/>
          <w:szCs w:val="26"/>
        </w:rPr>
        <w:t xml:space="preserve"> </w:t>
      </w:r>
      <w:r w:rsidR="006259DE">
        <w:rPr>
          <w:rFonts w:ascii="Arial" w:eastAsia="Arial" w:hAnsi="Arial" w:cs="Arial"/>
          <w:b/>
          <w:bCs/>
          <w:color w:val="4B4B4D"/>
          <w:w w:val="80"/>
          <w:sz w:val="26"/>
          <w:szCs w:val="26"/>
        </w:rPr>
        <w:t>and</w:t>
      </w:r>
      <w:r w:rsidR="006259DE">
        <w:rPr>
          <w:rFonts w:ascii="Arial" w:eastAsia="Arial" w:hAnsi="Arial" w:cs="Arial"/>
          <w:b/>
          <w:bCs/>
          <w:color w:val="4B4B4D"/>
          <w:spacing w:val="14"/>
          <w:w w:val="80"/>
          <w:sz w:val="26"/>
          <w:szCs w:val="26"/>
        </w:rPr>
        <w:t xml:space="preserve"> </w:t>
      </w:r>
      <w:r w:rsidR="006259DE">
        <w:rPr>
          <w:rFonts w:ascii="Arial" w:eastAsia="Arial" w:hAnsi="Arial" w:cs="Arial"/>
          <w:b/>
          <w:bCs/>
          <w:color w:val="4B4B4D"/>
          <w:w w:val="80"/>
          <w:sz w:val="26"/>
          <w:szCs w:val="26"/>
        </w:rPr>
        <w:t>Assessment</w:t>
      </w:r>
      <w:r w:rsidR="006259DE">
        <w:rPr>
          <w:rFonts w:ascii="Arial" w:eastAsia="Arial" w:hAnsi="Arial" w:cs="Arial"/>
          <w:b/>
          <w:bCs/>
          <w:color w:val="4B4B4D"/>
          <w:spacing w:val="38"/>
          <w:w w:val="80"/>
          <w:sz w:val="26"/>
          <w:szCs w:val="26"/>
        </w:rPr>
        <w:t xml:space="preserve"> </w:t>
      </w:r>
      <w:r w:rsidR="006259DE">
        <w:rPr>
          <w:rFonts w:ascii="Arial" w:eastAsia="Arial" w:hAnsi="Arial" w:cs="Arial"/>
          <w:b/>
          <w:bCs/>
          <w:color w:val="4B4B4D"/>
          <w:w w:val="80"/>
          <w:sz w:val="26"/>
          <w:szCs w:val="26"/>
        </w:rPr>
        <w:t>Timeline</w:t>
      </w:r>
    </w:p>
    <w:p w14:paraId="5C5D1E22" w14:textId="77777777" w:rsidR="009E65FD" w:rsidRDefault="009E65FD" w:rsidP="009E65FD">
      <w:r>
        <w:rPr>
          <w:noProof/>
          <w:lang w:eastAsia="zh-CN"/>
        </w:rPr>
        <w:drawing>
          <wp:inline distT="0" distB="0" distL="0" distR="0" wp14:anchorId="5C5D1E23" wp14:editId="5C5D1E24">
            <wp:extent cx="9601200" cy="2231737"/>
            <wp:effectExtent l="0" t="0" r="0" b="0"/>
            <wp:docPr id="1" name="Picture 1" descr="The timeline, which runs from July to June, shows the major professional development planning, implementation, and assessment activities taking place throughout the year.&#10; &#10;The first section illustrates ongoing HQPD Planning and Assessment Activities, including goal setting, PD committee/team meetings, data team meetings, learning walkthroughs, and action research. The school assesses and reflects on goals in June, and sets goals for the upcoming school year in July. The school’s PD committee and data teams meet monthly throughout the school year. The school uses data to plan each meeting and assesses and reflects after each meeting. In addition, the school conducts formal learning walkthroughs three times per year: in October, January, and March. As part of the school’s action research activities, staff identify student learning problems in August and September, participate in monthly small group inquiry meetings to generate and test solutions to student learning problems from October through March, and determine best practices based on data collected from April through June.&#10; &#10;The second section illustrates ongoing HQPD opportunities, which include monthly faculty meetings during the school year (late August through the end of June) and PD courses that are available throughout the entire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2015\EDU\B_POL\15-1947_MA ESE PPT, reports, artifacts (PE,ER,JG)\Graphics\15-1749_v17 MA Melrose timeline 3226.001 lvr 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88" t="19456" r="2282"/>
                    <a:stretch/>
                  </pic:blipFill>
                  <pic:spPr bwMode="auto">
                    <a:xfrm>
                      <a:off x="0" y="0"/>
                      <a:ext cx="9601200" cy="2231737"/>
                    </a:xfrm>
                    <a:prstGeom prst="rect">
                      <a:avLst/>
                    </a:prstGeom>
                    <a:noFill/>
                    <a:ln>
                      <a:noFill/>
                    </a:ln>
                    <a:extLst>
                      <a:ext uri="{53640926-AAD7-44D8-BBD7-CCE9431645EC}">
                        <a14:shadowObscured xmlns:a14="http://schemas.microsoft.com/office/drawing/2010/main"/>
                      </a:ext>
                    </a:extLst>
                  </pic:spPr>
                </pic:pic>
              </a:graphicData>
            </a:graphic>
          </wp:inline>
        </w:drawing>
      </w:r>
    </w:p>
    <w:sectPr w:rsidR="009E65FD" w:rsidSect="009E65FD">
      <w:type w:val="continuous"/>
      <w:pgSz w:w="15840" w:h="12240" w:orient="landscape" w:code="1"/>
      <w:pgMar w:top="360" w:right="360" w:bottom="360" w:left="36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FC"/>
    <w:rsid w:val="006259DE"/>
    <w:rsid w:val="006941FC"/>
    <w:rsid w:val="00934EAE"/>
    <w:rsid w:val="00964BA0"/>
    <w:rsid w:val="009E65FD"/>
    <w:rsid w:val="00AB1A1F"/>
    <w:rsid w:val="00D00CED"/>
    <w:rsid w:val="00FC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1E21"/>
  <w15:docId w15:val="{81B14070-7AEA-41D0-8503-6F951BEF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92"/>
      <w:outlineLvl w:val="0"/>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00CED"/>
    <w:rPr>
      <w:rFonts w:ascii="Tahoma" w:hAnsi="Tahoma" w:cs="Tahoma"/>
      <w:sz w:val="16"/>
      <w:szCs w:val="16"/>
    </w:rPr>
  </w:style>
  <w:style w:type="character" w:customStyle="1" w:styleId="BalloonTextChar">
    <w:name w:val="Balloon Text Char"/>
    <w:basedOn w:val="DefaultParagraphFont"/>
    <w:link w:val="BalloonText"/>
    <w:uiPriority w:val="99"/>
    <w:semiHidden/>
    <w:rsid w:val="00D00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DESE-231-15819</_dlc_DocId>
    <_dlc_DocIdUrl xmlns="733efe1c-5bbe-4968-87dc-d400e65c879f">
      <Url>https://sharepoint.doemass.org/ese/webteam/cps/_layouts/DocIdRedir.aspx?ID=DESE-231-15819</Url>
      <Description>DESE-231-15819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2789F-F0C7-431A-8543-AAEB18D937DC}">
  <ds:schemaRefs>
    <ds:schemaRef ds:uri="http://schemas.microsoft.com/sharepoint/v3/contenttype/forms"/>
  </ds:schemaRefs>
</ds:datastoreItem>
</file>

<file path=customXml/itemProps2.xml><?xml version="1.0" encoding="utf-8"?>
<ds:datastoreItem xmlns:ds="http://schemas.openxmlformats.org/officeDocument/2006/customXml" ds:itemID="{088C0C5A-611F-4121-A720-03E936DF083A}">
  <ds:schemaRefs>
    <ds:schemaRef ds:uri="http://schemas.microsoft.com/office/2006/documentManagement/types"/>
    <ds:schemaRef ds:uri="http://schemas.microsoft.com/office/2006/metadata/properties"/>
    <ds:schemaRef ds:uri="http://purl.org/dc/dcmitype/"/>
    <ds:schemaRef ds:uri="http://purl.org/dc/terms/"/>
    <ds:schemaRef ds:uri="0a4e05da-b9bc-4326-ad73-01ef31b95567"/>
    <ds:schemaRef ds:uri="http://purl.org/dc/elements/1.1/"/>
    <ds:schemaRef ds:uri="733efe1c-5bbe-4968-87dc-d400e65c879f"/>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6570405-D8FD-4CCD-ABEE-14F14B95262B}">
  <ds:schemaRefs>
    <ds:schemaRef ds:uri="http://schemas.microsoft.com/sharepoint/events"/>
  </ds:schemaRefs>
</ds:datastoreItem>
</file>

<file path=customXml/itemProps4.xml><?xml version="1.0" encoding="utf-8"?>
<ds:datastoreItem xmlns:ds="http://schemas.openxmlformats.org/officeDocument/2006/customXml" ds:itemID="{E6E6AB7D-B783-4E05-9A9D-3B5677954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Easthampton High School Professional Development Planning, Implementation, and Assessment Timeline</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Easthampton High School Professional Development Planning, Implementation, and Assessment Timeline</dc:title>
  <dc:creator>DESE</dc:creator>
  <cp:keywords>Easthampton High School, Massachusetts, Timeline, Implementation, Assessment, Professional Development Planning</cp:keywords>
  <cp:lastModifiedBy>Zou, Dong (EOE)</cp:lastModifiedBy>
  <cp:revision>3</cp:revision>
  <dcterms:created xsi:type="dcterms:W3CDTF">2018-12-03T20:38:00Z</dcterms:created>
  <dcterms:modified xsi:type="dcterms:W3CDTF">2018-12-03T20:38:00Z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2015</vt:lpwstr>
  </property>
</Properties>
</file>