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2"/>
        <w:tblpPr w:leftFromText="180" w:rightFromText="180" w:vertAnchor="page" w:horzAnchor="margin" w:tblpY="1862"/>
        <w:tblW w:w="10098" w:type="dxa"/>
        <w:tblLook w:val="04A0" w:firstRow="1" w:lastRow="0" w:firstColumn="1" w:lastColumn="0" w:noHBand="0" w:noVBand="1"/>
        <w:tblDescription w:val="Content Area&#10;&#10;Arts:&#10;Content area includes:&#10; Performing Arts (e.g. dance, music, theatre)&#10; Fine Arts (e.g. painting, visual arts)&#10;Visit http://www.doe.mass.edu/frameworks/current.html to view the 1999 MA Arts Curriculum Framework&#10;&#10;&#10;Career/Vocational Technical Education:&#10;View the Career/Vocational Technical Education Frameworks&#10; &#10;&#10;College Career Readiness:&#10;Content area includes:&#10; Career Development Education (CDE)&#10; Dropout Prevention and Recovery&#10; Early College Designs&#10; Interdisciplinary Creativity and Innovation&#10;Read more about ESE’s work around College and Career Readiness.&#10;&#10;&#10;Comprehensive Health:&#10;Content area includes:&#10; Physical Education&#10; Health Education&#10; Physical Activity&#10;Visit http://www.doe.mass.edu/frameworks/current.html to view the 1999 MA Comprehensive Health Frameworks&#10;&#10;&#10;Curriculum and Instruction - General:&#10;Content area includes&#10; Lesson/curriculum development&#10; Other (Pedagogy): &#10;Read more about ESE’s work around Curriculum and Instruction.&#10;&#10;&#10;Data &amp; Assessment:&#10;Content area includes:&#10; Data Literacy&#10; Assessment Data Literacy&#10; Edwin Teaching/Learning (ET&amp;L) Assessment Literacy&#10; Assessment Content Generation for ET&amp;L&#10;Read more about ESE’s work around Student Assessment.&#10;&#10;&#10;Digital literacy and Computer Science:&#10;Visit http://www.doe.mass.edu/frameworks/ to view the MA Digital Literacy and Computer Science Curriculum Framework&#10;&#10;&#10;English Language Arts/Literacy:&#10;Visit http://www.doe.mass.edu/frameworks/ to view the MA English Language Arts and Literacy Curriculum Framework&#10;&#10;&#10;English Language Learners:&#10;Content area includes:&#10; Methodologies and strategies in second language teaching&#10; WIDA&#10; Co-Teaching&#10; Academic Language&#10; Cultural Awareness&#10; Differentiation for ELL students&#10;Read more about ESE’s work around English Language Learners.&#10;&#10;&#10;Foreign Languages:&#10;1999 MA Foreign Languages Curriculum Framework&#10;&#10;&#10;History/Social Science:&#10;2003 MA History/Social Science Curriculum Framework&#10;&#10;&#10;Instructional Technology/Digital Literacy:&#10;Content area includes&#10; Designing/implementing learning activities, lessons, or courses for online or blended environments&#10; Designing/implementing formative or summative assessments using digital tools&#10; Using ESE’s digital resources (e.g., Edwin Analytics, Edwin Teaching and Learning, etc.)&#10; Using digital tools to collaborate with other educators, students, parents, or other stakeholders&#10; Using technology for instructional coaching&#10; Selecting/using assistive technologies and/or accessible instructional materials to meet the needs of students&#10; Using digital tools to enhance learning for special populations (e.g., ELLs, students with disabilities, credit recovery, etc.)&#10; Locating and vetting open resources and assessing whether they can help meet local curricular goals &#10;Read more about ESE’s work around Digital Learning.&#10;&#10;Leadership/Administration:&#10;Content area includes:&#10; ELL/SEl Administrators &#10; Special Education Administrators&#10; Leadership – general&#10;Please see the tools and resources for districts and schools on the Accountability, Partnership, and Assistance website. &#10;&#10;&#10;Mathematics:&#10;Content area includes:&#10; Financial Literacy&#10;Visit http://www.doe.mass.edu/frameworks/ to view the MA Mathematics Curriculum Framework&#10;&#10;&#10;Safe &amp; Supportive Learning Environments:&#10;Content area includes:&#10; School Counseling&#10; School Climate &amp; Culture&#10; School Safety&#10; Behavioral Health&#10; Classroom management and discipline&#10; Cultural proficiency&#10; Family and community engagement&#10; General Student Support Services&#10;&#10;&#10;Science and Technology/Engineering:&#10;Visit http://www.doe.mass.edu/frameworks/ to view the MA Science and Technology/Engineering Curriculum Framework&#10;Please also view the Draft 2013 MA Science and Technology/Engineering Standards.&#10;&#10;Special Education- General:&#10;Content area includes:&#10; Assessment of Students with Disabilities&#10; Disability Related Topics &#10; Evidence-based Best Practice &#10; Family and Community Engagement&#10; Program Evaluation and Improvement&#10; Results Driven Leadership and Special Education Systems Improvement &#10;Read more about ESE’s work around Special Education.&#10;&#10;Supervising Practitioner:&#10;**Only for IHEs: Colleges and universities**&#10;&#10;&#10;Supporting Additional Learning Time [Learning Supports and Early Learning]:&#10;Content area includes:&#10; Expanded Learning Time (expanded school day)&#10; Afterschool &amp; Out-of School Time (including, but not limited to 21st CCLC)&#10; Early Childhood&#10; Academic Support&#10; Service-Learning&#10; Civic Engagement&#10;Read more about ESE’s work around Learning Supports and Early Learning&#10;&#10;Other:&#10;This category is for content areas not covered above. "/>
      </w:tblPr>
      <w:tblGrid>
        <w:gridCol w:w="2745"/>
        <w:gridCol w:w="7353"/>
      </w:tblGrid>
      <w:tr w:rsidR="001D4A81" w:rsidRPr="00D2175A" w:rsidTr="005B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1D4A81" w:rsidRPr="00D2175A" w:rsidRDefault="001D4A81" w:rsidP="001D4A81">
            <w:pPr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 Area</w:t>
            </w:r>
          </w:p>
        </w:tc>
        <w:tc>
          <w:tcPr>
            <w:tcW w:w="7353" w:type="dxa"/>
          </w:tcPr>
          <w:p w:rsidR="001D4A81" w:rsidRPr="00D2175A" w:rsidRDefault="001D4A81" w:rsidP="001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D2175A">
              <w:rPr>
                <w:rFonts w:ascii="Tahoma" w:hAnsi="Tahoma" w:cs="Tahoma"/>
                <w:b w:val="0"/>
              </w:rPr>
              <w:t xml:space="preserve"> Additional Information </w:t>
            </w:r>
          </w:p>
        </w:tc>
      </w:tr>
      <w:tr w:rsidR="001D4A81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1D4A81" w:rsidRPr="00D2175A" w:rsidRDefault="001D4A81" w:rsidP="001D4A81">
            <w:pPr>
              <w:contextualSpacing/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 xml:space="preserve"> Arts</w:t>
            </w:r>
          </w:p>
          <w:p w:rsidR="001D4A81" w:rsidRPr="00D2175A" w:rsidRDefault="001D4A81" w:rsidP="001D4A8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353" w:type="dxa"/>
          </w:tcPr>
          <w:p w:rsidR="001D4A81" w:rsidRPr="00D2175A" w:rsidRDefault="001D4A81" w:rsidP="001D4A8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1D4A81" w:rsidRPr="00D2175A" w:rsidRDefault="001D4A81" w:rsidP="001D4A81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Performing Art</w:t>
            </w:r>
            <w:r w:rsidR="00D30C09">
              <w:rPr>
                <w:rFonts w:ascii="Tahoma" w:hAnsi="Tahoma" w:cs="Tahoma"/>
              </w:rPr>
              <w:t>s</w:t>
            </w:r>
            <w:r w:rsidRPr="00D2175A">
              <w:rPr>
                <w:rFonts w:ascii="Tahoma" w:hAnsi="Tahoma" w:cs="Tahoma"/>
              </w:rPr>
              <w:t xml:space="preserve"> (e.g. dance, music, theatre)</w:t>
            </w:r>
          </w:p>
          <w:p w:rsidR="001D4A81" w:rsidRPr="00D2175A" w:rsidRDefault="001D4A81" w:rsidP="001D4A81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Fine Arts (e.g. painting, visual arts)</w:t>
            </w:r>
          </w:p>
          <w:p w:rsidR="001D4A81" w:rsidRPr="00D2175A" w:rsidRDefault="001D4A81" w:rsidP="001D4A8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1D4A81" w:rsidRPr="00D2175A" w:rsidRDefault="001D4A81" w:rsidP="001D4A8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Visit </w:t>
            </w:r>
            <w:hyperlink r:id="rId11" w:history="1">
              <w:r w:rsidRPr="00D2175A">
                <w:rPr>
                  <w:rStyle w:val="Hyperlink"/>
                  <w:rFonts w:ascii="Tahoma" w:hAnsi="Tahoma" w:cs="Tahoma"/>
                </w:rPr>
                <w:t>http://www.doe.mass.edu/frameworks/current.html</w:t>
              </w:r>
            </w:hyperlink>
            <w:r w:rsidRPr="00D2175A">
              <w:rPr>
                <w:rFonts w:ascii="Tahoma" w:hAnsi="Tahoma" w:cs="Tahoma"/>
              </w:rPr>
              <w:t xml:space="preserve"> to view the </w:t>
            </w:r>
          </w:p>
          <w:p w:rsidR="001D4A81" w:rsidRPr="00D2175A" w:rsidRDefault="008D2BAB" w:rsidP="001D4A8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2" w:history="1">
              <w:r w:rsidR="001D4A81" w:rsidRPr="00D2175A">
                <w:rPr>
                  <w:rStyle w:val="Hyperlink"/>
                  <w:rFonts w:ascii="Tahoma" w:hAnsi="Tahoma" w:cs="Tahoma"/>
                </w:rPr>
                <w:t>1999 MA Arts Curriculum Framework</w:t>
              </w:r>
            </w:hyperlink>
          </w:p>
          <w:p w:rsidR="001D4A81" w:rsidRPr="00D2175A" w:rsidRDefault="001D4A81" w:rsidP="001D4A8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 xml:space="preserve">Career/Vocational Technical Education </w:t>
            </w:r>
          </w:p>
        </w:tc>
        <w:tc>
          <w:tcPr>
            <w:tcW w:w="7353" w:type="dxa"/>
          </w:tcPr>
          <w:p w:rsidR="007725F7" w:rsidRPr="00D2175A" w:rsidRDefault="007725F7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View the </w:t>
            </w:r>
            <w:hyperlink r:id="rId13" w:history="1">
              <w:r w:rsidRPr="00D2175A">
                <w:rPr>
                  <w:rStyle w:val="Hyperlink"/>
                  <w:rFonts w:ascii="Tahoma" w:hAnsi="Tahoma" w:cs="Tahoma"/>
                </w:rPr>
                <w:t>Career/Vocational Technical Education Frameworks</w:t>
              </w:r>
            </w:hyperlink>
          </w:p>
          <w:p w:rsidR="007725F7" w:rsidRPr="00D2175A" w:rsidRDefault="007725F7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r w:rsidRPr="00D2175A">
              <w:rPr>
                <w:rFonts w:ascii="Tahoma" w:hAnsi="Tahoma" w:cs="Tahoma"/>
              </w:rPr>
              <w:t xml:space="preserve"> </w:t>
            </w:r>
          </w:p>
        </w:tc>
      </w:tr>
      <w:tr w:rsidR="007725F7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</w:p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College Career Readiness</w:t>
            </w:r>
          </w:p>
        </w:tc>
        <w:tc>
          <w:tcPr>
            <w:tcW w:w="7353" w:type="dxa"/>
          </w:tcPr>
          <w:p w:rsidR="007725F7" w:rsidRPr="00D2175A" w:rsidRDefault="007725F7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7725F7" w:rsidRPr="00D2175A" w:rsidRDefault="007725F7" w:rsidP="007725F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Career Development Education (CDE)</w:t>
            </w:r>
          </w:p>
          <w:p w:rsidR="007725F7" w:rsidRPr="00D2175A" w:rsidRDefault="007725F7" w:rsidP="007725F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Dropout Prevention and Recovery</w:t>
            </w:r>
          </w:p>
          <w:p w:rsidR="007725F7" w:rsidRPr="00D2175A" w:rsidRDefault="007725F7" w:rsidP="007725F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Early College Designs</w:t>
            </w:r>
          </w:p>
          <w:p w:rsidR="007725F7" w:rsidRPr="00D2175A" w:rsidRDefault="007725F7" w:rsidP="007725F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Interdisciplinary Creativity and Innovation</w:t>
            </w:r>
          </w:p>
          <w:p w:rsidR="007725F7" w:rsidRPr="00D2175A" w:rsidRDefault="007725F7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</w:p>
          <w:p w:rsidR="007725F7" w:rsidRPr="00D2175A" w:rsidRDefault="007725F7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Read more about ESE’s work around </w:t>
            </w:r>
            <w:hyperlink r:id="rId14" w:history="1">
              <w:r w:rsidRPr="00D2175A">
                <w:rPr>
                  <w:rStyle w:val="Hyperlink"/>
                  <w:rFonts w:ascii="Tahoma" w:hAnsi="Tahoma" w:cs="Tahoma"/>
                </w:rPr>
                <w:t>College and Career Readiness</w:t>
              </w:r>
            </w:hyperlink>
            <w:r w:rsidRPr="00D2175A">
              <w:rPr>
                <w:rFonts w:ascii="Tahoma" w:hAnsi="Tahoma" w:cs="Tahoma"/>
              </w:rPr>
              <w:t>.</w:t>
            </w:r>
          </w:p>
          <w:p w:rsidR="007725F7" w:rsidRPr="00D2175A" w:rsidRDefault="007725F7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Comprehensive Health</w:t>
            </w:r>
          </w:p>
        </w:tc>
        <w:tc>
          <w:tcPr>
            <w:tcW w:w="7353" w:type="dxa"/>
          </w:tcPr>
          <w:p w:rsidR="007725F7" w:rsidRPr="00D2175A" w:rsidRDefault="007725F7" w:rsidP="007725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Physical Education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Health Education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Physical Activity</w:t>
            </w:r>
          </w:p>
          <w:p w:rsidR="007725F7" w:rsidRPr="00D2175A" w:rsidRDefault="007725F7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7725F7" w:rsidRPr="00D2175A" w:rsidRDefault="007725F7" w:rsidP="007725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Visit </w:t>
            </w:r>
            <w:hyperlink r:id="rId15" w:history="1">
              <w:r w:rsidRPr="00D2175A">
                <w:rPr>
                  <w:rStyle w:val="Hyperlink"/>
                  <w:rFonts w:ascii="Tahoma" w:hAnsi="Tahoma" w:cs="Tahoma"/>
                </w:rPr>
                <w:t>http://www.doe.mass.edu/frameworks/current.html</w:t>
              </w:r>
            </w:hyperlink>
            <w:r w:rsidRPr="00D2175A">
              <w:rPr>
                <w:rFonts w:ascii="Tahoma" w:hAnsi="Tahoma" w:cs="Tahoma"/>
              </w:rPr>
              <w:t xml:space="preserve"> to view the </w:t>
            </w:r>
          </w:p>
          <w:p w:rsidR="007725F7" w:rsidRPr="00D2175A" w:rsidRDefault="008D2BAB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16" w:history="1">
              <w:r w:rsidR="007725F7" w:rsidRPr="00D2175A">
                <w:rPr>
                  <w:rStyle w:val="Hyperlink"/>
                  <w:rFonts w:ascii="Tahoma" w:hAnsi="Tahoma" w:cs="Tahoma"/>
                </w:rPr>
                <w:t>1999 MA Comprehensive Health Frameworks</w:t>
              </w:r>
            </w:hyperlink>
          </w:p>
          <w:p w:rsidR="007725F7" w:rsidRPr="00D2175A" w:rsidRDefault="007725F7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Curriculum and Instruction - General</w:t>
            </w:r>
          </w:p>
        </w:tc>
        <w:tc>
          <w:tcPr>
            <w:tcW w:w="7353" w:type="dxa"/>
          </w:tcPr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</w:t>
            </w:r>
          </w:p>
          <w:p w:rsidR="007725F7" w:rsidRPr="00D2175A" w:rsidRDefault="007725F7" w:rsidP="007725F7">
            <w:pPr>
              <w:numPr>
                <w:ilvl w:val="0"/>
                <w:numId w:val="2"/>
              </w:numPr>
              <w:ind w:left="3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Lesson/curriculum development</w:t>
            </w:r>
          </w:p>
          <w:p w:rsidR="007725F7" w:rsidRPr="00D2175A" w:rsidRDefault="007725F7" w:rsidP="007725F7">
            <w:pPr>
              <w:numPr>
                <w:ilvl w:val="0"/>
                <w:numId w:val="2"/>
              </w:numPr>
              <w:ind w:left="3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Other (Pedagogy): </w:t>
            </w:r>
          </w:p>
          <w:p w:rsidR="007725F7" w:rsidRPr="00D2175A" w:rsidRDefault="007725F7" w:rsidP="007725F7">
            <w:pPr>
              <w:ind w:left="-1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Read more about ESE’s work around </w:t>
            </w:r>
            <w:hyperlink r:id="rId17" w:history="1">
              <w:r w:rsidRPr="00D2175A">
                <w:rPr>
                  <w:rStyle w:val="Hyperlink"/>
                  <w:rFonts w:ascii="Tahoma" w:hAnsi="Tahoma" w:cs="Tahoma"/>
                </w:rPr>
                <w:t>Curriculum and Instruction</w:t>
              </w:r>
            </w:hyperlink>
            <w:r w:rsidRPr="00D2175A">
              <w:rPr>
                <w:rFonts w:ascii="Tahoma" w:hAnsi="Tahoma" w:cs="Tahoma"/>
              </w:rPr>
              <w:t>.</w:t>
            </w:r>
          </w:p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 xml:space="preserve">Data &amp; Assessment </w:t>
            </w:r>
          </w:p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353" w:type="dxa"/>
          </w:tcPr>
          <w:p w:rsidR="007725F7" w:rsidRPr="00D2175A" w:rsidRDefault="007725F7" w:rsidP="007725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D30C09" w:rsidRDefault="00D30C09" w:rsidP="007725F7">
            <w:pPr>
              <w:numPr>
                <w:ilvl w:val="0"/>
                <w:numId w:val="1"/>
              </w:numPr>
              <w:ind w:left="3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Literacy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ind w:left="3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Assessment Data Literacy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ind w:left="3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Edwin Teaching/Learning (ET&amp;L) Assessment Literacy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ind w:left="3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Assessment Content Generation for ET&amp;L</w:t>
            </w:r>
          </w:p>
          <w:p w:rsidR="007725F7" w:rsidRPr="00D2175A" w:rsidRDefault="007725F7" w:rsidP="007725F7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7725F7" w:rsidRDefault="007725F7" w:rsidP="007725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Read more about ESE’s work around </w:t>
            </w:r>
            <w:hyperlink r:id="rId18" w:history="1">
              <w:r w:rsidRPr="00D2175A">
                <w:rPr>
                  <w:rStyle w:val="Hyperlink"/>
                  <w:rFonts w:ascii="Tahoma" w:hAnsi="Tahoma" w:cs="Tahoma"/>
                </w:rPr>
                <w:t>Student Assessment</w:t>
              </w:r>
            </w:hyperlink>
            <w:r w:rsidRPr="00D2175A">
              <w:rPr>
                <w:rFonts w:ascii="Tahoma" w:hAnsi="Tahoma" w:cs="Tahoma"/>
              </w:rPr>
              <w:t>.</w:t>
            </w:r>
          </w:p>
          <w:p w:rsidR="00D2175A" w:rsidRPr="00D2175A" w:rsidRDefault="00D2175A" w:rsidP="007725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E21FDF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E21FDF" w:rsidRPr="00B36038" w:rsidRDefault="00B36038" w:rsidP="007725F7">
            <w:pPr>
              <w:rPr>
                <w:rFonts w:ascii="Tahoma" w:hAnsi="Tahoma" w:cs="Tahoma"/>
                <w:b w:val="0"/>
              </w:rPr>
            </w:pPr>
            <w:r w:rsidRPr="00B36038">
              <w:rPr>
                <w:rFonts w:ascii="Tahoma" w:hAnsi="Tahoma" w:cs="Tahoma"/>
                <w:b w:val="0"/>
              </w:rPr>
              <w:t>Digital literacy and Computer Science</w:t>
            </w:r>
          </w:p>
        </w:tc>
        <w:tc>
          <w:tcPr>
            <w:tcW w:w="7353" w:type="dxa"/>
          </w:tcPr>
          <w:p w:rsidR="00E21FDF" w:rsidRPr="00AB7812" w:rsidRDefault="00AB7812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B7812">
              <w:rPr>
                <w:rFonts w:ascii="Tahoma" w:hAnsi="Tahoma" w:cs="Tahoma"/>
              </w:rPr>
              <w:t xml:space="preserve">Visit </w:t>
            </w:r>
            <w:hyperlink r:id="rId19" w:history="1">
              <w:r w:rsidRPr="00AB7812">
                <w:rPr>
                  <w:rStyle w:val="Hyperlink"/>
                  <w:rFonts w:ascii="Tahoma" w:hAnsi="Tahoma" w:cs="Tahoma"/>
                  <w:color w:val="0000FF"/>
                </w:rPr>
                <w:t>http://www.doe.mass.edu/frameworks/</w:t>
              </w:r>
            </w:hyperlink>
            <w:r w:rsidRPr="00AB7812">
              <w:rPr>
                <w:rFonts w:ascii="Tahoma" w:hAnsi="Tahoma" w:cs="Tahoma"/>
              </w:rPr>
              <w:t xml:space="preserve"> to view the MA Digital Literacy and Computer Science Curriculum Framework</w:t>
            </w:r>
          </w:p>
        </w:tc>
      </w:tr>
      <w:tr w:rsidR="007725F7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English Language Arts/Literacy</w:t>
            </w:r>
          </w:p>
        </w:tc>
        <w:tc>
          <w:tcPr>
            <w:tcW w:w="7353" w:type="dxa"/>
          </w:tcPr>
          <w:p w:rsidR="007725F7" w:rsidRPr="00C12DDF" w:rsidRDefault="00C12DDF" w:rsidP="00C1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1F497D"/>
              </w:rPr>
            </w:pPr>
            <w:r w:rsidRPr="00C12DDF">
              <w:rPr>
                <w:rFonts w:ascii="Tahoma" w:hAnsi="Tahoma" w:cs="Tahoma"/>
              </w:rPr>
              <w:t xml:space="preserve">Visit </w:t>
            </w:r>
            <w:hyperlink r:id="rId20" w:history="1">
              <w:r w:rsidRPr="00C12DDF">
                <w:rPr>
                  <w:rStyle w:val="Hyperlink"/>
                  <w:rFonts w:ascii="Tahoma" w:hAnsi="Tahoma" w:cs="Tahoma"/>
                  <w:color w:val="0000FF"/>
                </w:rPr>
                <w:t>http://www.doe.mass.edu/frameworks/</w:t>
              </w:r>
            </w:hyperlink>
            <w:r w:rsidRPr="00C12DDF">
              <w:rPr>
                <w:rFonts w:ascii="Tahoma" w:hAnsi="Tahoma" w:cs="Tahoma"/>
              </w:rPr>
              <w:t xml:space="preserve"> to view the MA English Language Arts and Literacy Curriculum Framework</w:t>
            </w:r>
          </w:p>
        </w:tc>
      </w:tr>
      <w:tr w:rsidR="007725F7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lastRenderedPageBreak/>
              <w:t xml:space="preserve">English Language Learners </w:t>
            </w:r>
          </w:p>
        </w:tc>
        <w:tc>
          <w:tcPr>
            <w:tcW w:w="7353" w:type="dxa"/>
          </w:tcPr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eastAsia="Times New Roman" w:hAnsi="Tahoma" w:cs="Tahoma"/>
                <w:color w:val="000000"/>
              </w:rPr>
              <w:t>Methodologies and strategies in second language teaching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WIDA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Co-Teaching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Academic Language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Cultural Awareness</w:t>
            </w:r>
          </w:p>
          <w:p w:rsidR="007725F7" w:rsidRPr="00D2175A" w:rsidRDefault="007725F7" w:rsidP="007725F7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Differentiation for ELL students</w:t>
            </w:r>
          </w:p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Read more about ESE’s work around </w:t>
            </w:r>
            <w:hyperlink r:id="rId21" w:history="1">
              <w:r w:rsidRPr="00D2175A">
                <w:rPr>
                  <w:rStyle w:val="Hyperlink"/>
                  <w:rFonts w:ascii="Tahoma" w:hAnsi="Tahoma" w:cs="Tahoma"/>
                </w:rPr>
                <w:t>English Language Learners</w:t>
              </w:r>
            </w:hyperlink>
            <w:r w:rsidRPr="00D2175A">
              <w:rPr>
                <w:rFonts w:ascii="Tahoma" w:hAnsi="Tahoma" w:cs="Tahoma"/>
              </w:rPr>
              <w:t>.</w:t>
            </w:r>
          </w:p>
          <w:p w:rsidR="007725F7" w:rsidRPr="00D2175A" w:rsidRDefault="007725F7" w:rsidP="007725F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Foreign Languages</w:t>
            </w:r>
          </w:p>
        </w:tc>
        <w:tc>
          <w:tcPr>
            <w:tcW w:w="7353" w:type="dxa"/>
          </w:tcPr>
          <w:p w:rsidR="007725F7" w:rsidRPr="00D2175A" w:rsidRDefault="008D2BAB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2" w:history="1">
              <w:r w:rsidR="007725F7" w:rsidRPr="00D2175A">
                <w:rPr>
                  <w:rStyle w:val="Hyperlink"/>
                  <w:rFonts w:ascii="Tahoma" w:hAnsi="Tahoma" w:cs="Tahoma"/>
                </w:rPr>
                <w:t>1999 MA Foreign Languages Curriculum Framework</w:t>
              </w:r>
            </w:hyperlink>
          </w:p>
          <w:p w:rsidR="007725F7" w:rsidRPr="00D2175A" w:rsidRDefault="007725F7" w:rsidP="0077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7725F7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7725F7" w:rsidRPr="00D2175A" w:rsidRDefault="007725F7" w:rsidP="007725F7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History/Social Science</w:t>
            </w:r>
          </w:p>
        </w:tc>
        <w:tc>
          <w:tcPr>
            <w:tcW w:w="7353" w:type="dxa"/>
          </w:tcPr>
          <w:p w:rsidR="007725F7" w:rsidRPr="00D2175A" w:rsidRDefault="008D2BAB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3" w:history="1">
              <w:r w:rsidR="007725F7" w:rsidRPr="00D2175A">
                <w:rPr>
                  <w:rStyle w:val="Hyperlink"/>
                  <w:rFonts w:ascii="Tahoma" w:hAnsi="Tahoma" w:cs="Tahoma"/>
                </w:rPr>
                <w:t>2003 MA History/Social Science Curriculum Framework</w:t>
              </w:r>
            </w:hyperlink>
          </w:p>
          <w:p w:rsidR="007725F7" w:rsidRPr="00D2175A" w:rsidRDefault="007725F7" w:rsidP="0077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853F5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Instructional Technology/Digital Literacy</w:t>
            </w:r>
          </w:p>
        </w:tc>
        <w:tc>
          <w:tcPr>
            <w:tcW w:w="7353" w:type="dxa"/>
          </w:tcPr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Designing/implementing learning activities, lessons, or courses for online or blended environments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Designing/implementing formative or summative assessments using digital tools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Using ESE’s digital resources (e.g., Edwin Analytics, Edwin Teaching and Learning, etc.)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Using digital tools to collaborate with other educators, students, parents, or other stakeholders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Using technology for instructional coaching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Selecting/using assistive technologies and/or accessible instructional materials to meet the needs of students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Using digital tools to enhance learning for special populations (e.g., ELLs, students with disabilities, credit recovery, etc.)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4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 xml:space="preserve">Locating and vetting open resources and assessing whether they can help meet local curricular goals </w:t>
            </w:r>
          </w:p>
          <w:p w:rsidR="004853F5" w:rsidRPr="00D2175A" w:rsidRDefault="004853F5" w:rsidP="004853F5">
            <w:pPr>
              <w:pStyle w:val="ListParagraph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Read more about ESE’s work around </w:t>
            </w:r>
            <w:hyperlink r:id="rId24" w:history="1">
              <w:r w:rsidRPr="00D2175A">
                <w:rPr>
                  <w:rStyle w:val="Hyperlink"/>
                  <w:rFonts w:ascii="Tahoma" w:hAnsi="Tahoma" w:cs="Tahoma"/>
                </w:rPr>
                <w:t>Digital Learning</w:t>
              </w:r>
            </w:hyperlink>
            <w:r w:rsidRPr="00D2175A">
              <w:rPr>
                <w:rFonts w:ascii="Tahoma" w:hAnsi="Tahoma" w:cs="Tahoma"/>
              </w:rPr>
              <w:t>.</w:t>
            </w:r>
          </w:p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853F5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  <w:b w:val="0"/>
              </w:rPr>
              <w:t>Leadership/Administration</w:t>
            </w:r>
          </w:p>
        </w:tc>
        <w:tc>
          <w:tcPr>
            <w:tcW w:w="7353" w:type="dxa"/>
          </w:tcPr>
          <w:p w:rsidR="00DC728E" w:rsidRPr="00D2175A" w:rsidRDefault="00DC728E" w:rsidP="00DC7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</w:t>
            </w:r>
            <w:r>
              <w:rPr>
                <w:rFonts w:ascii="Tahoma" w:hAnsi="Tahoma" w:cs="Tahoma"/>
              </w:rPr>
              <w:t>s</w:t>
            </w:r>
            <w:r w:rsidRPr="00D2175A">
              <w:rPr>
                <w:rFonts w:ascii="Tahoma" w:hAnsi="Tahoma" w:cs="Tahoma"/>
              </w:rPr>
              <w:t>:</w:t>
            </w:r>
          </w:p>
          <w:p w:rsidR="00DC728E" w:rsidRPr="00DC728E" w:rsidRDefault="00DC728E" w:rsidP="00DC728E">
            <w:pPr>
              <w:numPr>
                <w:ilvl w:val="0"/>
                <w:numId w:val="20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6191E"/>
              </w:rPr>
            </w:pPr>
            <w:r w:rsidRPr="00A42A60">
              <w:rPr>
                <w:rFonts w:ascii="Tahoma" w:eastAsia="Times New Roman" w:hAnsi="Tahoma" w:cs="Tahoma"/>
                <w:color w:val="16191E"/>
              </w:rPr>
              <w:t>ELL/</w:t>
            </w:r>
            <w:proofErr w:type="spellStart"/>
            <w:r w:rsidRPr="00A42A60">
              <w:rPr>
                <w:rFonts w:ascii="Tahoma" w:eastAsia="Times New Roman" w:hAnsi="Tahoma" w:cs="Tahoma"/>
                <w:color w:val="16191E"/>
              </w:rPr>
              <w:t>SEl</w:t>
            </w:r>
            <w:proofErr w:type="spellEnd"/>
            <w:r w:rsidRPr="00A42A60">
              <w:rPr>
                <w:rFonts w:ascii="Tahoma" w:eastAsia="Times New Roman" w:hAnsi="Tahoma" w:cs="Tahoma"/>
                <w:color w:val="16191E"/>
              </w:rPr>
              <w:t xml:space="preserve"> Administrators </w:t>
            </w:r>
          </w:p>
          <w:p w:rsidR="00DC728E" w:rsidRPr="00DC728E" w:rsidRDefault="00DC728E" w:rsidP="00DC728E">
            <w:pPr>
              <w:numPr>
                <w:ilvl w:val="0"/>
                <w:numId w:val="20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6191E"/>
              </w:rPr>
            </w:pPr>
            <w:r w:rsidRPr="00A42A60">
              <w:rPr>
                <w:rFonts w:ascii="Tahoma" w:eastAsia="Times New Roman" w:hAnsi="Tahoma" w:cs="Tahoma"/>
                <w:color w:val="16191E"/>
              </w:rPr>
              <w:t>Special Education Administrators</w:t>
            </w:r>
          </w:p>
          <w:p w:rsidR="00DC728E" w:rsidRDefault="00DC728E" w:rsidP="00DC728E">
            <w:pPr>
              <w:numPr>
                <w:ilvl w:val="0"/>
                <w:numId w:val="20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6191E"/>
              </w:rPr>
            </w:pPr>
            <w:r w:rsidRPr="00A42A60">
              <w:rPr>
                <w:rFonts w:ascii="Tahoma" w:eastAsia="Times New Roman" w:hAnsi="Tahoma" w:cs="Tahoma"/>
                <w:color w:val="16191E"/>
              </w:rPr>
              <w:t xml:space="preserve">Leadership </w:t>
            </w:r>
            <w:r>
              <w:rPr>
                <w:rFonts w:ascii="Tahoma" w:eastAsia="Times New Roman" w:hAnsi="Tahoma" w:cs="Tahoma"/>
                <w:color w:val="16191E"/>
              </w:rPr>
              <w:t>–</w:t>
            </w:r>
            <w:r w:rsidRPr="00A42A60">
              <w:rPr>
                <w:rFonts w:ascii="Tahoma" w:eastAsia="Times New Roman" w:hAnsi="Tahoma" w:cs="Tahoma"/>
                <w:color w:val="16191E"/>
              </w:rPr>
              <w:t xml:space="preserve"> general</w:t>
            </w:r>
          </w:p>
          <w:p w:rsidR="00DC728E" w:rsidRPr="00DC728E" w:rsidRDefault="00DC728E" w:rsidP="00DC72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6191E"/>
              </w:rPr>
            </w:pPr>
          </w:p>
          <w:p w:rsidR="004853F5" w:rsidRPr="00D2175A" w:rsidRDefault="004853F5" w:rsidP="004853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Please see the tools and resources for districts and schools on the </w:t>
            </w:r>
            <w:hyperlink r:id="rId25" w:history="1">
              <w:r w:rsidRPr="00D2175A">
                <w:rPr>
                  <w:rStyle w:val="Hyperlink"/>
                  <w:rFonts w:ascii="Tahoma" w:hAnsi="Tahoma" w:cs="Tahoma"/>
                </w:rPr>
                <w:t>Accountability, Partnership, and Assistance</w:t>
              </w:r>
            </w:hyperlink>
            <w:r w:rsidRPr="00D2175A">
              <w:rPr>
                <w:rFonts w:ascii="Tahoma" w:hAnsi="Tahoma" w:cs="Tahoma"/>
              </w:rPr>
              <w:t xml:space="preserve"> website. </w:t>
            </w:r>
          </w:p>
          <w:p w:rsidR="004853F5" w:rsidRPr="00D2175A" w:rsidRDefault="004853F5" w:rsidP="00485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  </w:t>
            </w:r>
          </w:p>
        </w:tc>
      </w:tr>
      <w:tr w:rsidR="004853F5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Mathematics</w:t>
            </w:r>
          </w:p>
        </w:tc>
        <w:tc>
          <w:tcPr>
            <w:tcW w:w="7353" w:type="dxa"/>
          </w:tcPr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</w:t>
            </w:r>
            <w:r w:rsidR="00D30C09">
              <w:rPr>
                <w:rFonts w:ascii="Tahoma" w:hAnsi="Tahoma" w:cs="Tahoma"/>
              </w:rPr>
              <w:t>s</w:t>
            </w:r>
            <w:r w:rsidRPr="00D2175A">
              <w:rPr>
                <w:rFonts w:ascii="Tahoma" w:hAnsi="Tahoma" w:cs="Tahoma"/>
              </w:rPr>
              <w:t>: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Financial Literacy</w:t>
            </w:r>
          </w:p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4853F5" w:rsidRPr="006763A5" w:rsidRDefault="006763A5" w:rsidP="00676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6763A5">
              <w:rPr>
                <w:rFonts w:ascii="Tahoma" w:hAnsi="Tahoma" w:cs="Tahoma"/>
              </w:rPr>
              <w:t xml:space="preserve">Visit </w:t>
            </w:r>
            <w:hyperlink r:id="rId26" w:history="1">
              <w:r w:rsidRPr="006763A5">
                <w:rPr>
                  <w:rStyle w:val="Hyperlink"/>
                  <w:rFonts w:ascii="Tahoma" w:hAnsi="Tahoma" w:cs="Tahoma"/>
                  <w:color w:val="0000FF"/>
                </w:rPr>
                <w:t>http://www.doe.mass.edu/frameworks/</w:t>
              </w:r>
            </w:hyperlink>
            <w:r w:rsidRPr="006763A5">
              <w:rPr>
                <w:rFonts w:ascii="Tahoma" w:hAnsi="Tahoma" w:cs="Tahoma"/>
              </w:rPr>
              <w:t xml:space="preserve"> to view the MA Mathematics Curriculum Framework</w:t>
            </w:r>
          </w:p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853F5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shd w:val="clear" w:color="auto" w:fill="FFFFFF" w:themeFill="background1"/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  <w:bCs w:val="0"/>
              </w:rPr>
              <w:lastRenderedPageBreak/>
              <w:t>Safe &amp; Supportive Learning Environments</w:t>
            </w:r>
          </w:p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353" w:type="dxa"/>
          </w:tcPr>
          <w:p w:rsidR="004853F5" w:rsidRPr="00D2175A" w:rsidRDefault="004853F5" w:rsidP="004853F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Content area includes: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School Counseling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School Climate &amp; Culture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School Safety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Behavioral Health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Classroom management and discipline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Cultural proficiency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Family and community engagement</w:t>
            </w:r>
          </w:p>
          <w:p w:rsidR="004853F5" w:rsidRPr="00D2175A" w:rsidRDefault="004853F5" w:rsidP="004853F5">
            <w:pPr>
              <w:numPr>
                <w:ilvl w:val="0"/>
                <w:numId w:val="1"/>
              </w:numPr>
              <w:ind w:left="3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  <w:bCs/>
              </w:rPr>
              <w:t>General Student Support Services</w:t>
            </w:r>
          </w:p>
        </w:tc>
      </w:tr>
      <w:tr w:rsidR="004853F5" w:rsidRPr="00D2175A" w:rsidTr="00DE02A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Science and Technology/Engineering</w:t>
            </w:r>
          </w:p>
        </w:tc>
        <w:tc>
          <w:tcPr>
            <w:tcW w:w="7353" w:type="dxa"/>
          </w:tcPr>
          <w:p w:rsidR="00DE02AC" w:rsidRPr="00DE02AC" w:rsidRDefault="00DE02AC" w:rsidP="00DE0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E02AC">
              <w:rPr>
                <w:rFonts w:ascii="Tahoma" w:hAnsi="Tahoma" w:cs="Tahoma"/>
              </w:rPr>
              <w:t xml:space="preserve">Visit </w:t>
            </w:r>
            <w:hyperlink r:id="rId27" w:history="1">
              <w:r w:rsidRPr="00DE02AC">
                <w:rPr>
                  <w:rStyle w:val="Hyperlink"/>
                  <w:rFonts w:ascii="Tahoma" w:hAnsi="Tahoma" w:cs="Tahoma"/>
                </w:rPr>
                <w:t>http://www.doe.mass.edu/frameworks/</w:t>
              </w:r>
            </w:hyperlink>
            <w:r w:rsidRPr="00DE02AC">
              <w:rPr>
                <w:rFonts w:ascii="Tahoma" w:hAnsi="Tahoma" w:cs="Tahoma"/>
              </w:rPr>
              <w:t xml:space="preserve"> to view the MA Science and Technology/Engineering Curriculum Framework</w:t>
            </w:r>
          </w:p>
          <w:p w:rsidR="00001C8C" w:rsidRDefault="00001C8C" w:rsidP="004853F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01C8C" w:rsidRPr="00D2175A" w:rsidRDefault="00001C8C" w:rsidP="004853F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also view the </w:t>
            </w:r>
            <w:hyperlink r:id="rId28" w:history="1">
              <w:r w:rsidRPr="00001C8C">
                <w:rPr>
                  <w:rStyle w:val="Hyperlink"/>
                  <w:rFonts w:ascii="Tahoma" w:hAnsi="Tahoma" w:cs="Tahoma"/>
                </w:rPr>
                <w:t>Draft 2013 MA Science and Te</w:t>
              </w:r>
              <w:bookmarkStart w:id="0" w:name="_GoBack"/>
              <w:bookmarkEnd w:id="0"/>
              <w:r w:rsidRPr="00001C8C">
                <w:rPr>
                  <w:rStyle w:val="Hyperlink"/>
                  <w:rFonts w:ascii="Tahoma" w:hAnsi="Tahoma" w:cs="Tahoma"/>
                </w:rPr>
                <w:t>chnology/Engineering Standards.</w:t>
              </w:r>
            </w:hyperlink>
          </w:p>
        </w:tc>
      </w:tr>
      <w:tr w:rsidR="004853F5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 xml:space="preserve">Special Education- General </w:t>
            </w:r>
          </w:p>
        </w:tc>
        <w:tc>
          <w:tcPr>
            <w:tcW w:w="7353" w:type="dxa"/>
          </w:tcPr>
          <w:p w:rsidR="004853F5" w:rsidRPr="00D2175A" w:rsidRDefault="004853F5" w:rsidP="00485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>Content area includes: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Assessment of Students with Disabilities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 xml:space="preserve">Disability Related Topics 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 xml:space="preserve">Evidence-based Best Practice 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Family and Community Engagement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>Program Evaluation and Improvement</w:t>
            </w:r>
          </w:p>
          <w:p w:rsidR="004853F5" w:rsidRPr="00D2175A" w:rsidRDefault="004853F5" w:rsidP="004853F5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Cs/>
                <w:sz w:val="22"/>
                <w:szCs w:val="22"/>
              </w:rPr>
            </w:pPr>
            <w:r w:rsidRPr="00D2175A">
              <w:rPr>
                <w:rFonts w:ascii="Tahoma" w:hAnsi="Tahoma" w:cs="Tahoma"/>
                <w:sz w:val="22"/>
                <w:szCs w:val="22"/>
              </w:rPr>
              <w:t xml:space="preserve">Results Driven Leadership and Special Education Systems Improvement </w:t>
            </w:r>
          </w:p>
          <w:p w:rsidR="004853F5" w:rsidRPr="00D2175A" w:rsidRDefault="004853F5" w:rsidP="00485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4853F5" w:rsidRPr="00D2175A" w:rsidRDefault="004853F5" w:rsidP="00485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  Read more about ESE’s work around </w:t>
            </w:r>
            <w:hyperlink r:id="rId29" w:history="1">
              <w:r w:rsidRPr="00D2175A">
                <w:rPr>
                  <w:rStyle w:val="Hyperlink"/>
                  <w:rFonts w:ascii="Tahoma" w:hAnsi="Tahoma" w:cs="Tahoma"/>
                </w:rPr>
                <w:t>Special Education</w:t>
              </w:r>
            </w:hyperlink>
            <w:r w:rsidRPr="00D2175A">
              <w:rPr>
                <w:rFonts w:ascii="Tahoma" w:hAnsi="Tahoma" w:cs="Tahoma"/>
              </w:rPr>
              <w:t xml:space="preserve">. </w:t>
            </w:r>
          </w:p>
        </w:tc>
      </w:tr>
      <w:tr w:rsidR="0023468A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23468A" w:rsidRPr="00D2175A" w:rsidRDefault="0023468A" w:rsidP="004853F5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Supervising Practitioner</w:t>
            </w:r>
          </w:p>
        </w:tc>
        <w:tc>
          <w:tcPr>
            <w:tcW w:w="7353" w:type="dxa"/>
          </w:tcPr>
          <w:p w:rsidR="0023468A" w:rsidRPr="00D2175A" w:rsidRDefault="0023468A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8C7185"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t>Only for IHEs</w:t>
            </w:r>
            <w:r w:rsidR="00C61BFB">
              <w:rPr>
                <w:rFonts w:ascii="Tahoma" w:hAnsi="Tahoma" w:cs="Tahoma"/>
              </w:rPr>
              <w:t>:</w:t>
            </w:r>
            <w:r w:rsidR="004B1148">
              <w:rPr>
                <w:rFonts w:ascii="Tahoma" w:hAnsi="Tahoma" w:cs="Tahoma"/>
              </w:rPr>
              <w:t xml:space="preserve"> </w:t>
            </w:r>
            <w:r w:rsidR="00C61BFB">
              <w:rPr>
                <w:rFonts w:ascii="Tahoma" w:hAnsi="Tahoma" w:cs="Tahoma"/>
              </w:rPr>
              <w:t>C</w:t>
            </w:r>
            <w:r w:rsidR="008C7185">
              <w:rPr>
                <w:rFonts w:ascii="Tahoma" w:hAnsi="Tahoma" w:cs="Tahoma"/>
              </w:rPr>
              <w:t>olleges and universities**</w:t>
            </w:r>
          </w:p>
        </w:tc>
      </w:tr>
      <w:tr w:rsidR="004853F5" w:rsidRPr="00D2175A" w:rsidTr="00DE0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shd w:val="clear" w:color="auto" w:fill="FFFFFF" w:themeFill="background1"/>
              <w:rPr>
                <w:rFonts w:ascii="Tahoma" w:hAnsi="Tahoma" w:cs="Tahoma"/>
                <w:b w:val="0"/>
                <w:bCs w:val="0"/>
              </w:rPr>
            </w:pPr>
            <w:r w:rsidRPr="00D2175A">
              <w:rPr>
                <w:rFonts w:ascii="Tahoma" w:hAnsi="Tahoma" w:cs="Tahoma"/>
                <w:b w:val="0"/>
                <w:bCs w:val="0"/>
              </w:rPr>
              <w:t>Supporting Additional Learning Time</w:t>
            </w:r>
            <w:r w:rsidR="00A74565">
              <w:rPr>
                <w:rFonts w:ascii="Tahoma" w:hAnsi="Tahoma" w:cs="Tahoma"/>
                <w:b w:val="0"/>
                <w:bCs w:val="0"/>
              </w:rPr>
              <w:t xml:space="preserve"> [Learning Supports and Early Learning]</w:t>
            </w:r>
          </w:p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353" w:type="dxa"/>
          </w:tcPr>
          <w:p w:rsidR="004853F5" w:rsidRPr="00D2175A" w:rsidRDefault="004853F5" w:rsidP="004853F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Content area includes: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Expanded Learning Time (expanded school day)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 xml:space="preserve">Afterschool &amp; </w:t>
            </w:r>
            <w:proofErr w:type="spellStart"/>
            <w:r w:rsidRPr="00D2175A">
              <w:rPr>
                <w:rFonts w:ascii="Tahoma" w:hAnsi="Tahoma" w:cs="Tahoma"/>
                <w:bCs/>
              </w:rPr>
              <w:t>Out-of</w:t>
            </w:r>
            <w:proofErr w:type="spellEnd"/>
            <w:r w:rsidRPr="00D2175A">
              <w:rPr>
                <w:rFonts w:ascii="Tahoma" w:hAnsi="Tahoma" w:cs="Tahoma"/>
                <w:bCs/>
              </w:rPr>
              <w:t xml:space="preserve"> School Time (including, but not limited to 21st CCLC)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Early Childhood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Academic Support</w:t>
            </w:r>
          </w:p>
          <w:p w:rsidR="004853F5" w:rsidRPr="00D2175A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Service-Learning</w:t>
            </w:r>
          </w:p>
          <w:p w:rsidR="004853F5" w:rsidRDefault="004853F5" w:rsidP="004853F5">
            <w:pPr>
              <w:numPr>
                <w:ilvl w:val="0"/>
                <w:numId w:val="14"/>
              </w:numPr>
              <w:shd w:val="clear" w:color="auto" w:fill="FFFFFF" w:themeFill="background1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D2175A">
              <w:rPr>
                <w:rFonts w:ascii="Tahoma" w:hAnsi="Tahoma" w:cs="Tahoma"/>
                <w:bCs/>
              </w:rPr>
              <w:t>Civic Engagement</w:t>
            </w:r>
          </w:p>
          <w:p w:rsidR="00A74565" w:rsidRDefault="00A74565" w:rsidP="00A7456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:rsidR="00A74565" w:rsidRPr="00D2175A" w:rsidRDefault="00A74565" w:rsidP="00A7456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Read more about ESE’s work around </w:t>
            </w:r>
            <w:hyperlink r:id="rId30" w:history="1">
              <w:r w:rsidRPr="00A74565">
                <w:rPr>
                  <w:rStyle w:val="Hyperlink"/>
                  <w:rFonts w:ascii="Tahoma" w:hAnsi="Tahoma" w:cs="Tahoma"/>
                  <w:bCs/>
                </w:rPr>
                <w:t>Learning Supports and Early Learning</w:t>
              </w:r>
            </w:hyperlink>
          </w:p>
        </w:tc>
      </w:tr>
      <w:tr w:rsidR="004853F5" w:rsidRPr="00D2175A" w:rsidTr="00DE0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4853F5" w:rsidRPr="00D2175A" w:rsidRDefault="004853F5" w:rsidP="004853F5">
            <w:pPr>
              <w:rPr>
                <w:rFonts w:ascii="Tahoma" w:hAnsi="Tahoma" w:cs="Tahoma"/>
                <w:b w:val="0"/>
              </w:rPr>
            </w:pPr>
            <w:r w:rsidRPr="00D2175A">
              <w:rPr>
                <w:rFonts w:ascii="Tahoma" w:hAnsi="Tahoma" w:cs="Tahoma"/>
                <w:b w:val="0"/>
              </w:rPr>
              <w:t>Other</w:t>
            </w:r>
          </w:p>
        </w:tc>
        <w:tc>
          <w:tcPr>
            <w:tcW w:w="7353" w:type="dxa"/>
          </w:tcPr>
          <w:p w:rsidR="004853F5" w:rsidRPr="00D2175A" w:rsidRDefault="004853F5" w:rsidP="0048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2175A">
              <w:rPr>
                <w:rFonts w:ascii="Tahoma" w:hAnsi="Tahoma" w:cs="Tahoma"/>
              </w:rPr>
              <w:t xml:space="preserve">This category is for content areas not covered above. </w:t>
            </w:r>
          </w:p>
        </w:tc>
      </w:tr>
    </w:tbl>
    <w:p w:rsidR="001D4A81" w:rsidRPr="00D2175A" w:rsidRDefault="001D4A81" w:rsidP="001D4A81">
      <w:pPr>
        <w:rPr>
          <w:rFonts w:ascii="Tahoma" w:hAnsi="Tahoma" w:cs="Tahoma"/>
        </w:rPr>
      </w:pPr>
    </w:p>
    <w:p w:rsidR="0024190E" w:rsidRPr="00D2175A" w:rsidRDefault="0024190E">
      <w:pPr>
        <w:rPr>
          <w:rFonts w:ascii="Tahoma" w:hAnsi="Tahoma" w:cs="Tahoma"/>
        </w:rPr>
      </w:pPr>
    </w:p>
    <w:sectPr w:rsidR="0024190E" w:rsidRPr="00D2175A" w:rsidSect="001917DF">
      <w:headerReference w:type="default" r:id="rId31"/>
      <w:head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CC" w:rsidRDefault="00ED07CC" w:rsidP="00775C9D">
      <w:pPr>
        <w:spacing w:after="0" w:line="240" w:lineRule="auto"/>
      </w:pPr>
      <w:r>
        <w:separator/>
      </w:r>
    </w:p>
  </w:endnote>
  <w:endnote w:type="continuationSeparator" w:id="0">
    <w:p w:rsidR="00ED07CC" w:rsidRDefault="00ED07CC" w:rsidP="0077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CC" w:rsidRDefault="00ED07CC" w:rsidP="00775C9D">
      <w:pPr>
        <w:spacing w:after="0" w:line="240" w:lineRule="auto"/>
      </w:pPr>
      <w:r>
        <w:separator/>
      </w:r>
    </w:p>
  </w:footnote>
  <w:footnote w:type="continuationSeparator" w:id="0">
    <w:p w:rsidR="00ED07CC" w:rsidRDefault="00ED07CC" w:rsidP="0077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9D" w:rsidRPr="001917DF" w:rsidRDefault="00775C9D" w:rsidP="001917DF">
    <w:pPr>
      <w:tabs>
        <w:tab w:val="right" w:pos="9360"/>
      </w:tabs>
      <w:jc w:val="center"/>
      <w:rPr>
        <w:color w:val="943634" w:themeColor="accent2" w:themeShade="BF"/>
        <w:sz w:val="32"/>
        <w:szCs w:val="32"/>
      </w:rPr>
    </w:pPr>
    <w:r>
      <w:rPr>
        <w:noProof/>
        <w:color w:val="1F497D"/>
        <w:lang w:eastAsia="zh-CN"/>
      </w:rPr>
      <w:drawing>
        <wp:inline distT="0" distB="0" distL="0" distR="0">
          <wp:extent cx="1016120" cy="497903"/>
          <wp:effectExtent l="19050" t="0" r="0" b="0"/>
          <wp:docPr id="4" name="Picture 0" descr="Successful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uccessful-After-School_205x100_color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12" cy="498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17DF" w:rsidRPr="001D4A81">
      <w:rPr>
        <w:b/>
        <w:color w:val="943634" w:themeColor="accent2" w:themeShade="BF"/>
        <w:sz w:val="32"/>
        <w:szCs w:val="32"/>
      </w:rPr>
      <w:t xml:space="preserve"> </w:t>
    </w:r>
    <w:r w:rsidR="001917DF">
      <w:rPr>
        <w:b/>
        <w:color w:val="943634" w:themeColor="accent2" w:themeShade="BF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DF" w:rsidRPr="001917DF" w:rsidRDefault="001917DF" w:rsidP="001917DF">
    <w:pPr>
      <w:tabs>
        <w:tab w:val="right" w:pos="9360"/>
      </w:tabs>
      <w:jc w:val="center"/>
      <w:rPr>
        <w:color w:val="943634" w:themeColor="accent2" w:themeShade="BF"/>
        <w:sz w:val="32"/>
        <w:szCs w:val="32"/>
      </w:rPr>
    </w:pPr>
    <w:r>
      <w:rPr>
        <w:noProof/>
        <w:color w:val="1F497D"/>
        <w:lang w:eastAsia="zh-CN"/>
      </w:rPr>
      <w:drawing>
        <wp:inline distT="0" distB="0" distL="0" distR="0">
          <wp:extent cx="1016120" cy="497903"/>
          <wp:effectExtent l="19050" t="0" r="0" b="0"/>
          <wp:docPr id="2" name="Picture 0" descr="Successful After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uccessful-After-School_205x100_color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12" cy="498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D4A81">
      <w:rPr>
        <w:b/>
        <w:color w:val="943634" w:themeColor="accent2" w:themeShade="BF"/>
        <w:sz w:val="32"/>
        <w:szCs w:val="32"/>
      </w:rPr>
      <w:t xml:space="preserve"> </w:t>
    </w:r>
    <w:r>
      <w:rPr>
        <w:b/>
        <w:color w:val="943634" w:themeColor="accent2" w:themeShade="BF"/>
        <w:sz w:val="32"/>
        <w:szCs w:val="32"/>
      </w:rPr>
      <w:tab/>
    </w:r>
    <w:r w:rsidRPr="001D4A81">
      <w:rPr>
        <w:b/>
        <w:color w:val="943634" w:themeColor="accent2" w:themeShade="BF"/>
        <w:sz w:val="32"/>
        <w:szCs w:val="32"/>
      </w:rPr>
      <w:t>Massachusetts PD Provider Registry Content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 w15:restartNumberingAfterBreak="0">
    <w:nsid w:val="02AD5A0E"/>
    <w:multiLevelType w:val="hybridMultilevel"/>
    <w:tmpl w:val="259A0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4479"/>
    <w:multiLevelType w:val="hybridMultilevel"/>
    <w:tmpl w:val="31A87172"/>
    <w:lvl w:ilvl="0" w:tplc="F7AE5AD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56398"/>
    <w:multiLevelType w:val="multilevel"/>
    <w:tmpl w:val="064618E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926B7"/>
    <w:multiLevelType w:val="hybridMultilevel"/>
    <w:tmpl w:val="01FC85FC"/>
    <w:lvl w:ilvl="0" w:tplc="D618D4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753AF"/>
    <w:multiLevelType w:val="hybridMultilevel"/>
    <w:tmpl w:val="4CCE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07060"/>
    <w:multiLevelType w:val="hybridMultilevel"/>
    <w:tmpl w:val="C2082BF0"/>
    <w:lvl w:ilvl="0" w:tplc="D618D4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76FC9"/>
    <w:multiLevelType w:val="hybridMultilevel"/>
    <w:tmpl w:val="1512C6AE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6EF"/>
    <w:multiLevelType w:val="hybridMultilevel"/>
    <w:tmpl w:val="F7DE8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23D28"/>
    <w:multiLevelType w:val="hybridMultilevel"/>
    <w:tmpl w:val="D726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96C58"/>
    <w:multiLevelType w:val="hybridMultilevel"/>
    <w:tmpl w:val="8A0EB264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45DA"/>
    <w:multiLevelType w:val="hybridMultilevel"/>
    <w:tmpl w:val="0748C7D4"/>
    <w:lvl w:ilvl="0" w:tplc="D618D4D6">
      <w:start w:val="1"/>
      <w:numFmt w:val="bullet"/>
      <w:lvlText w:val="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63A5B97"/>
    <w:multiLevelType w:val="hybridMultilevel"/>
    <w:tmpl w:val="01601B96"/>
    <w:lvl w:ilvl="0" w:tplc="D618D4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60811"/>
    <w:multiLevelType w:val="hybridMultilevel"/>
    <w:tmpl w:val="3A04F4F6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531F"/>
    <w:multiLevelType w:val="hybridMultilevel"/>
    <w:tmpl w:val="49A4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B6E81"/>
    <w:multiLevelType w:val="hybridMultilevel"/>
    <w:tmpl w:val="15ACD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B637A"/>
    <w:multiLevelType w:val="hybridMultilevel"/>
    <w:tmpl w:val="0700F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10A21"/>
    <w:multiLevelType w:val="hybridMultilevel"/>
    <w:tmpl w:val="81D8A9C2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D5959"/>
    <w:multiLevelType w:val="hybridMultilevel"/>
    <w:tmpl w:val="ED240A62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7427A"/>
    <w:multiLevelType w:val="hybridMultilevel"/>
    <w:tmpl w:val="FC2A75B8"/>
    <w:lvl w:ilvl="0" w:tplc="D618D4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B3A71"/>
    <w:multiLevelType w:val="hybridMultilevel"/>
    <w:tmpl w:val="950EB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9"/>
  </w:num>
  <w:num w:numId="5">
    <w:abstractNumId w:val="16"/>
  </w:num>
  <w:num w:numId="6">
    <w:abstractNumId w:val="17"/>
  </w:num>
  <w:num w:numId="7">
    <w:abstractNumId w:val="8"/>
  </w:num>
  <w:num w:numId="8">
    <w:abstractNumId w:val="14"/>
  </w:num>
  <w:num w:numId="9">
    <w:abstractNumId w:val="13"/>
  </w:num>
  <w:num w:numId="10">
    <w:abstractNumId w:val="15"/>
  </w:num>
  <w:num w:numId="11">
    <w:abstractNumId w:val="19"/>
  </w:num>
  <w:num w:numId="12">
    <w:abstractNumId w:val="7"/>
  </w:num>
  <w:num w:numId="13">
    <w:abstractNumId w:val="0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0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E"/>
    <w:rsid w:val="00001C8C"/>
    <w:rsid w:val="00002E32"/>
    <w:rsid w:val="00003AF8"/>
    <w:rsid w:val="000174EF"/>
    <w:rsid w:val="000614D2"/>
    <w:rsid w:val="00085F01"/>
    <w:rsid w:val="00143719"/>
    <w:rsid w:val="001917DF"/>
    <w:rsid w:val="001A0FBC"/>
    <w:rsid w:val="001B29B8"/>
    <w:rsid w:val="001D4A81"/>
    <w:rsid w:val="00205367"/>
    <w:rsid w:val="002211FB"/>
    <w:rsid w:val="0023468A"/>
    <w:rsid w:val="0024190E"/>
    <w:rsid w:val="00244E52"/>
    <w:rsid w:val="00245983"/>
    <w:rsid w:val="00257E8B"/>
    <w:rsid w:val="00275EDF"/>
    <w:rsid w:val="002B6B37"/>
    <w:rsid w:val="002F2CE6"/>
    <w:rsid w:val="00366134"/>
    <w:rsid w:val="00370044"/>
    <w:rsid w:val="003A41FC"/>
    <w:rsid w:val="004247D7"/>
    <w:rsid w:val="004853F5"/>
    <w:rsid w:val="004A7137"/>
    <w:rsid w:val="004B1148"/>
    <w:rsid w:val="00515D5D"/>
    <w:rsid w:val="0058011A"/>
    <w:rsid w:val="005B0F56"/>
    <w:rsid w:val="005C183D"/>
    <w:rsid w:val="005D08B1"/>
    <w:rsid w:val="005D40A1"/>
    <w:rsid w:val="005D6CF1"/>
    <w:rsid w:val="006763A5"/>
    <w:rsid w:val="0068420B"/>
    <w:rsid w:val="006D4487"/>
    <w:rsid w:val="00762C73"/>
    <w:rsid w:val="00767677"/>
    <w:rsid w:val="007725F7"/>
    <w:rsid w:val="00775C9D"/>
    <w:rsid w:val="00781C0B"/>
    <w:rsid w:val="007B35AC"/>
    <w:rsid w:val="007E3256"/>
    <w:rsid w:val="00856B10"/>
    <w:rsid w:val="00885030"/>
    <w:rsid w:val="008B1196"/>
    <w:rsid w:val="008C0055"/>
    <w:rsid w:val="008C7185"/>
    <w:rsid w:val="008D2BAB"/>
    <w:rsid w:val="008F32E5"/>
    <w:rsid w:val="00970367"/>
    <w:rsid w:val="00977CED"/>
    <w:rsid w:val="009964D4"/>
    <w:rsid w:val="00A35B6F"/>
    <w:rsid w:val="00A74565"/>
    <w:rsid w:val="00AB7812"/>
    <w:rsid w:val="00B05744"/>
    <w:rsid w:val="00B36038"/>
    <w:rsid w:val="00B648D2"/>
    <w:rsid w:val="00B90EFA"/>
    <w:rsid w:val="00BD43DF"/>
    <w:rsid w:val="00C12DDF"/>
    <w:rsid w:val="00C47301"/>
    <w:rsid w:val="00C54B95"/>
    <w:rsid w:val="00C61BFB"/>
    <w:rsid w:val="00CE62EA"/>
    <w:rsid w:val="00D2175A"/>
    <w:rsid w:val="00D30C09"/>
    <w:rsid w:val="00D31625"/>
    <w:rsid w:val="00D31FE6"/>
    <w:rsid w:val="00D74A40"/>
    <w:rsid w:val="00DC728E"/>
    <w:rsid w:val="00DE02AC"/>
    <w:rsid w:val="00E21FDF"/>
    <w:rsid w:val="00E361D6"/>
    <w:rsid w:val="00EC0E0F"/>
    <w:rsid w:val="00ED07CC"/>
    <w:rsid w:val="00EF1EF2"/>
    <w:rsid w:val="00F05DB9"/>
    <w:rsid w:val="00F30924"/>
    <w:rsid w:val="00F6312B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566FA-1B44-428B-A15D-8B85261A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0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19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9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90E"/>
    <w:rPr>
      <w:rFonts w:ascii="Times New Roman" w:eastAsiaTheme="minorEastAsia" w:hAnsi="Times New Roman" w:cs="Times New Roman"/>
      <w:sz w:val="24"/>
      <w:szCs w:val="24"/>
    </w:rPr>
  </w:style>
  <w:style w:type="table" w:styleId="LightList-Accent6">
    <w:name w:val="Light List Accent 6"/>
    <w:basedOn w:val="TableNormal"/>
    <w:uiPriority w:val="61"/>
    <w:rsid w:val="0024190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xmsonormal">
    <w:name w:val="x_msonormal"/>
    <w:basedOn w:val="Normal"/>
    <w:rsid w:val="0024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4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0E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C54B9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4B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9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9D"/>
  </w:style>
  <w:style w:type="paragraph" w:styleId="Footer">
    <w:name w:val="footer"/>
    <w:basedOn w:val="Normal"/>
    <w:link w:val="FooterChar"/>
    <w:uiPriority w:val="99"/>
    <w:unhideWhenUsed/>
    <w:rsid w:val="00775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BB5D5"/>
                    <w:bottom w:val="none" w:sz="0" w:space="0" w:color="auto"/>
                    <w:right w:val="dotted" w:sz="6" w:space="0" w:color="9BB5D5"/>
                  </w:divBdr>
                  <w:divsChild>
                    <w:div w:id="1750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cte/frameworks/?section=all" TargetMode="External"/><Relationship Id="rId18" Type="http://schemas.openxmlformats.org/officeDocument/2006/relationships/hyperlink" Target="http://www.doe.mass.edu/mcas/home.html" TargetMode="External"/><Relationship Id="rId26" Type="http://schemas.openxmlformats.org/officeDocument/2006/relationships/hyperlink" Target="http://www.doe.mass.edu/framework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ll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arts/1099.pdf" TargetMode="External"/><Relationship Id="rId17" Type="http://schemas.openxmlformats.org/officeDocument/2006/relationships/hyperlink" Target="http://www.doe.mass.edu/candi/" TargetMode="External"/><Relationship Id="rId25" Type="http://schemas.openxmlformats.org/officeDocument/2006/relationships/hyperlink" Target="http://www.doe.mass.edu/accountability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frameworks/health/1999/1099.pdf" TargetMode="External"/><Relationship Id="rId20" Type="http://schemas.openxmlformats.org/officeDocument/2006/relationships/hyperlink" Target="http://www.doe.mass.edu/frameworks/" TargetMode="External"/><Relationship Id="rId29" Type="http://schemas.openxmlformats.org/officeDocument/2006/relationships/hyperlink" Target="http://www.doe.mass.edu/spe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current.html" TargetMode="External"/><Relationship Id="rId24" Type="http://schemas.openxmlformats.org/officeDocument/2006/relationships/hyperlink" Target="http://www.doe.mass.edu/odl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frameworks/current.html" TargetMode="External"/><Relationship Id="rId23" Type="http://schemas.openxmlformats.org/officeDocument/2006/relationships/hyperlink" Target="http://www.doe.mass.edu/frameworks/hss/final.pdf" TargetMode="External"/><Relationship Id="rId28" Type="http://schemas.openxmlformats.org/officeDocument/2006/relationships/hyperlink" Target="http://www.doe.mass.edu/stem/standards/standardsdraft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oe.mass.edu/frameworks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ccr/" TargetMode="External"/><Relationship Id="rId22" Type="http://schemas.openxmlformats.org/officeDocument/2006/relationships/hyperlink" Target="http://www.doe.mass.edu/frameworks/foreign/1999.pdf" TargetMode="External"/><Relationship Id="rId27" Type="http://schemas.openxmlformats.org/officeDocument/2006/relationships/hyperlink" Target="http://www.doe.mass.edu/frameworks/" TargetMode="External"/><Relationship Id="rId30" Type="http://schemas.openxmlformats.org/officeDocument/2006/relationships/hyperlink" Target="http://www.doe.mass.edu/ssce/ss.html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2E59.8C5EE2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2E59.8C5EE26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DESE-231-40860</_dlc_DocId>
    <_dlc_DocIdUrl xmlns="733efe1c-5bbe-4968-87dc-d400e65c879f">
      <Url>https://sharepoint.doemass.org/ese/webteam/cps/_layouts/DocIdRedir.aspx?ID=DESE-231-40860</Url>
      <Description>DESE-231-40860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44ACE-10AA-4403-A50C-B546A5B95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651F1-0E2B-4622-A203-3C416716862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3497B0D-80F5-4989-8DAE-5F75708746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ABBF78-E221-4C01-AE1A-5FFAA4F6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PD Provider Registry Content Areas</vt:lpstr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PD Provider Registry Content Areas</dc:title>
  <dc:creator>DESE</dc:creator>
  <cp:lastModifiedBy>Zou, Dong (EOE)</cp:lastModifiedBy>
  <cp:revision>7</cp:revision>
  <dcterms:created xsi:type="dcterms:W3CDTF">2018-03-22T18:37:00Z</dcterms:created>
  <dcterms:modified xsi:type="dcterms:W3CDTF">2018-12-03T19:14:00Z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22 2018</vt:lpwstr>
  </property>
</Properties>
</file>